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38"/>
      </w:pPr>
      <w:r>
        <w:rPr>
          <w:rFonts w:ascii="Calibri" w:cs="Calibri" w:eastAsia="Calibri" w:hAnsi="Calibri"/>
          <w:b/>
          <w:bCs/>
          <w:color w:val="1F3864"/>
          <w:sz w:val="24"/>
          <w:szCs w:val="24"/>
        </w:rPr>
        <w:t xml:space="preserve">CGDEM-AEDD SARLU</w:t>
      </w:r>
    </w:p>
    <w:p>
      <w:pPr>
        <w:spacing w:after="0" w:before="0" w:line="238"/>
      </w:pPr>
      <w:r>
        <w:rPr>
          <w:rFonts w:ascii="Calibri" w:cs="Calibri" w:eastAsia="Calibri" w:hAnsi="Calibri"/>
          <w:color w:val="595959"/>
          <w:sz w:val="17"/>
          <w:szCs w:val="17"/>
        </w:rPr>
        <w:t xml:space="preserve">Centre Guinéen du Droit de l'Environnement, des Mines, de l'Agriculture,</w:t>
      </w:r>
    </w:p>
    <w:p>
      <w:pPr>
        <w:spacing w:after="0" w:before="0" w:line="238"/>
      </w:pPr>
      <w:r>
        <w:rPr>
          <w:rFonts w:ascii="Calibri" w:cs="Calibri" w:eastAsia="Calibri" w:hAnsi="Calibri"/>
          <w:color w:val="595959"/>
          <w:sz w:val="17"/>
          <w:szCs w:val="17"/>
        </w:rPr>
        <w:t xml:space="preserve">de l'Énergie et du Développement Durable</w:t>
      </w:r>
    </w:p>
    <w:p>
      <w:pPr>
        <w:pBdr>
          <w:bottom w:val="single" w:color="1F3864" w:sz="10" w:space="3"/>
        </w:pBdr>
        <w:spacing w:after="110"/>
      </w:pPr>
    </w:p>
    <w:p>
      <w:pPr>
        <w:spacing w:after="0" w:before="0" w:line="238"/>
      </w:pPr>
      <w:r>
        <w:rPr>
          <w:rFonts w:ascii="Calibri" w:cs="Calibri" w:eastAsia="Calibri" w:hAnsi="Calibri"/>
          <w:b/>
          <w:bCs/>
          <w:color w:val="000000"/>
          <w:sz w:val="19"/>
          <w:szCs w:val="19"/>
        </w:rPr>
        <w:t xml:space="preserve">Réf. : DP/CGDEM-AEDD/KENO/2026</w:t>
      </w:r>
    </w:p>
    <w:p>
      <w:pPr>
        <w:spacing w:after="0" w:before="0" w:line="238"/>
      </w:pPr>
      <w:r>
        <w:rPr>
          <w:rFonts w:ascii="Calibri" w:cs="Calibri" w:eastAsia="Calibri" w:hAnsi="Calibri"/>
          <w:b/>
          <w:bCs/>
          <w:color w:val="000000"/>
          <w:sz w:val="20"/>
          <w:szCs w:val="20"/>
        </w:rPr>
        <w:t xml:space="preserve">Objet : </w:t>
      </w:r>
      <w:r>
        <w:rPr>
          <w:rFonts w:ascii="Calibri" w:cs="Calibri" w:eastAsia="Calibri" w:hAnsi="Calibri"/>
          <w:b/>
          <w:bCs/>
          <w:color w:val="000000"/>
          <w:sz w:val="20"/>
          <w:szCs w:val="20"/>
        </w:rPr>
        <w:t xml:space="preserve">Demande de règlement des factures n° 02 — NIES et PAR du projet hydroélectrique de Kéno (7,2 MW)</w:t>
      </w:r>
    </w:p>
    <w:p>
      <w:pPr>
        <w:spacing w:after="150" w:before="0" w:line="238"/>
      </w:pPr>
      <w:r>
        <w:rPr>
          <w:rFonts w:ascii="Calibri" w:cs="Calibri" w:eastAsia="Calibri" w:hAnsi="Calibri"/>
          <w:b/>
          <w:bCs/>
          <w:color w:val="000000"/>
          <w:sz w:val="19"/>
          <w:szCs w:val="19"/>
        </w:rPr>
        <w:t xml:space="preserve">P.J. : </w:t>
      </w:r>
      <w:r>
        <w:rPr>
          <w:rFonts w:ascii="Calibri" w:cs="Calibri" w:eastAsia="Calibri" w:hAnsi="Calibri"/>
          <w:color w:val="000000"/>
          <w:sz w:val="19"/>
          <w:szCs w:val="19"/>
        </w:rPr>
        <w:t xml:space="preserve">Facture n° 02 NIES · Facture n° 02 PAR · Lettre de transmission n° 081/CGDEM-AEDD/EDG/ID/2026 · PV de délibération du CTAE n° 0170 du 14/07/2026</w:t>
      </w:r>
    </w:p>
    <w:p>
      <w:pPr>
        <w:spacing w:after="60" w:before="0" w:line="238"/>
        <w:jc w:val="right"/>
      </w:pPr>
      <w:r>
        <w:rPr>
          <w:rFonts w:ascii="Calibri" w:cs="Calibri" w:eastAsia="Calibri" w:hAnsi="Calibri"/>
          <w:i/>
          <w:iCs/>
          <w:color w:val="000000"/>
          <w:sz w:val="20"/>
          <w:szCs w:val="20"/>
        </w:rPr>
        <w:t xml:space="preserve">Conakry, le 19 août 2026</w:t>
      </w:r>
    </w:p>
    <w:p>
      <w:pPr>
        <w:spacing w:after="0" w:before="0" w:line="238"/>
        <w:jc w:val="right"/>
      </w:pPr>
      <w:r>
        <w:rPr>
          <w:rFonts w:ascii="Calibri" w:cs="Calibri" w:eastAsia="Calibri" w:hAnsi="Calibri"/>
          <w:b/>
          <w:bCs/>
          <w:color w:val="000000"/>
          <w:sz w:val="20"/>
          <w:szCs w:val="20"/>
        </w:rPr>
        <w:t xml:space="preserve">À l'attention de Monsieur le Directeur Général</w:t>
      </w:r>
    </w:p>
    <w:p>
      <w:pPr>
        <w:spacing w:after="0" w:before="0" w:line="238"/>
        <w:jc w:val="right"/>
      </w:pPr>
      <w:r>
        <w:rPr>
          <w:rFonts w:ascii="Calibri" w:cs="Calibri" w:eastAsia="Calibri" w:hAnsi="Calibri"/>
          <w:b/>
          <w:bCs/>
          <w:color w:val="000000"/>
          <w:sz w:val="22"/>
          <w:szCs w:val="22"/>
        </w:rPr>
        <w:t xml:space="preserve">KAMA SA</w:t>
      </w:r>
    </w:p>
    <w:p>
      <w:pPr>
        <w:spacing w:after="150" w:before="0" w:line="238"/>
        <w:jc w:val="right"/>
      </w:pPr>
      <w:r>
        <w:rPr>
          <w:rFonts w:ascii="Calibri" w:cs="Calibri" w:eastAsia="Calibri" w:hAnsi="Calibri"/>
          <w:color w:val="595959"/>
          <w:sz w:val="19"/>
          <w:szCs w:val="19"/>
        </w:rPr>
        <w:t xml:space="preserve">Maître d'Ouvrage — Projet de Kéno</w:t>
      </w:r>
    </w:p>
    <w:p>
      <w:pPr>
        <w:spacing w:after="100" w:before="0" w:line="238"/>
      </w:pPr>
      <w:r>
        <w:rPr>
          <w:rFonts w:ascii="Calibri" w:cs="Calibri" w:eastAsia="Calibri" w:hAnsi="Calibri"/>
          <w:color w:val="000000"/>
          <w:sz w:val="20"/>
          <w:szCs w:val="20"/>
        </w:rPr>
        <w:t xml:space="preserve">Monsieur le Directeur Général,</w:t>
      </w:r>
    </w:p>
    <w:p>
      <w:pPr>
        <w:spacing w:after="100" w:before="0" w:line="238"/>
        <w:jc w:val="both"/>
      </w:pPr>
      <w:r>
        <w:rPr>
          <w:rFonts w:ascii="Calibri" w:cs="Calibri" w:eastAsia="Calibri" w:hAnsi="Calibri"/>
          <w:color w:val="000000"/>
          <w:sz w:val="20"/>
          <w:szCs w:val="20"/>
        </w:rPr>
        <w:t xml:space="preserve">Par la présente, nous avons l'honneur de solliciter le règlement des factures n° 02 relatives aux deux contrats qui nous lient dans le cadre du projet d'aménagement de la microcentrale hydroélectrique de Kéno (7,2 MW), préfecture de Guéckédou.</w:t>
      </w:r>
    </w:p>
    <w:p>
      <w:pPr>
        <w:spacing w:after="90" w:before="0" w:line="238"/>
        <w:jc w:val="both"/>
      </w:pPr>
      <w:r>
        <w:rPr>
          <w:rFonts w:ascii="Calibri" w:cs="Calibri" w:eastAsia="Calibri" w:hAnsi="Calibri"/>
          <w:color w:val="000000"/>
          <w:sz w:val="20"/>
          <w:szCs w:val="20"/>
        </w:rPr>
        <w:t xml:space="preserve">Les missions confiées à CGDEM-AEDD SARLU sont </w:t>
      </w:r>
      <w:r>
        <w:rPr>
          <w:rFonts w:ascii="Calibri" w:cs="Calibri" w:eastAsia="Calibri" w:hAnsi="Calibri"/>
          <w:b/>
          <w:bCs/>
          <w:color w:val="000000"/>
          <w:sz w:val="20"/>
          <w:szCs w:val="20"/>
        </w:rPr>
        <w:t xml:space="preserve">intégralement exécutées</w:t>
      </w:r>
      <w:r>
        <w:rPr>
          <w:rFonts w:ascii="Calibri" w:cs="Calibri" w:eastAsia="Calibri" w:hAnsi="Calibri"/>
          <w:color w:val="000000"/>
          <w:sz w:val="20"/>
          <w:szCs w:val="20"/>
        </w:rPr>
        <w:t xml:space="preserve">. Les diligences suivantes en attestent :</w:t>
      </w:r>
    </w:p>
    <w:p>
      <w:pPr>
        <w:pStyle w:val="ListParagraph"/>
        <w:numPr>
          <w:ilvl w:val="0"/>
          <w:numId w:val="2"/>
        </w:numPr>
        <w:spacing w:after="55" w:line="238"/>
      </w:pPr>
      <w:r>
        <w:rPr>
          <w:rFonts w:ascii="Calibri" w:cs="Calibri" w:eastAsia="Calibri" w:hAnsi="Calibri"/>
          <w:color w:val="000000"/>
          <w:sz w:val="20"/>
          <w:szCs w:val="20"/>
        </w:rPr>
        <w:t xml:space="preserve">Le rapport provisoire de la NIES et celui du PAR ont été examinés par le Comité Technique d'Analyse Environnementale lors de sa session n° 0170/CTAE/AGEE/DG/CONAKRY du 14 juillet 2026, et </w:t>
      </w:r>
      <w:r>
        <w:rPr>
          <w:rFonts w:ascii="Calibri" w:cs="Calibri" w:eastAsia="Calibri" w:hAnsi="Calibri"/>
          <w:b/>
          <w:bCs/>
          <w:color w:val="000000"/>
          <w:sz w:val="20"/>
          <w:szCs w:val="20"/>
        </w:rPr>
        <w:t xml:space="preserve">jugés recevables</w:t>
      </w:r>
      <w:r>
        <w:rPr>
          <w:rFonts w:ascii="Calibri" w:cs="Calibri" w:eastAsia="Calibri" w:hAnsi="Calibri"/>
          <w:color w:val="000000"/>
          <w:sz w:val="20"/>
          <w:szCs w:val="20"/>
        </w:rPr>
        <w:t xml:space="preserve">.</w:t>
      </w:r>
    </w:p>
    <w:p>
      <w:pPr>
        <w:pStyle w:val="ListParagraph"/>
        <w:numPr>
          <w:ilvl w:val="0"/>
          <w:numId w:val="2"/>
        </w:numPr>
        <w:spacing w:after="55" w:line="238"/>
      </w:pPr>
      <w:r>
        <w:rPr>
          <w:rFonts w:ascii="Calibri" w:cs="Calibri" w:eastAsia="Calibri" w:hAnsi="Calibri"/>
          <w:color w:val="000000"/>
          <w:sz w:val="20"/>
          <w:szCs w:val="20"/>
        </w:rPr>
        <w:t xml:space="preserve">Les </w:t>
      </w:r>
      <w:r>
        <w:rPr>
          <w:rFonts w:ascii="Calibri" w:cs="Calibri" w:eastAsia="Calibri" w:hAnsi="Calibri"/>
          <w:b/>
          <w:bCs/>
          <w:color w:val="000000"/>
          <w:sz w:val="20"/>
          <w:szCs w:val="20"/>
        </w:rPr>
        <w:t xml:space="preserve">soixante (60) recommandations</w:t>
      </w:r>
      <w:r>
        <w:rPr>
          <w:rFonts w:ascii="Calibri" w:cs="Calibri" w:eastAsia="Calibri" w:hAnsi="Calibri"/>
          <w:color w:val="000000"/>
          <w:sz w:val="20"/>
          <w:szCs w:val="20"/>
        </w:rPr>
        <w:t xml:space="preserve"> formulées par le Comité ont toutes été intégrées — leur prise en compte est tracée dans une matrice dédiée — et les deux rapports ont été mis en conformité avec le contenu minimal fixé par l'Arrêté A/2023/1595/MEDD/CAB/SGG (art. 25 pour la NIES, art. 27 pour le PAR).</w:t>
      </w:r>
    </w:p>
    <w:p>
      <w:pPr>
        <w:pStyle w:val="ListParagraph"/>
        <w:numPr>
          <w:ilvl w:val="0"/>
          <w:numId w:val="2"/>
        </w:numPr>
        <w:spacing w:after="55" w:line="238"/>
      </w:pPr>
      <w:r>
        <w:rPr>
          <w:rFonts w:ascii="Calibri" w:cs="Calibri" w:eastAsia="Calibri" w:hAnsi="Calibri"/>
          <w:color w:val="000000"/>
          <w:sz w:val="20"/>
          <w:szCs w:val="20"/>
        </w:rPr>
        <w:t xml:space="preserve">Les </w:t>
      </w:r>
      <w:r>
        <w:rPr>
          <w:rFonts w:ascii="Calibri" w:cs="Calibri" w:eastAsia="Calibri" w:hAnsi="Calibri"/>
          <w:b/>
          <w:bCs/>
          <w:color w:val="000000"/>
          <w:sz w:val="20"/>
          <w:szCs w:val="20"/>
        </w:rPr>
        <w:t xml:space="preserve">rapports finaux</w:t>
      </w:r>
      <w:r>
        <w:rPr>
          <w:rFonts w:ascii="Calibri" w:cs="Calibri" w:eastAsia="Calibri" w:hAnsi="Calibri"/>
          <w:color w:val="000000"/>
          <w:sz w:val="20"/>
          <w:szCs w:val="20"/>
        </w:rPr>
        <w:t xml:space="preserve"> ont été transmis à Madame la Ministre de l'Environnement et du Développement Durable sous le n° 081/CGDEM-AEDD/EDG/ID/2026, aux fins de délivrance de l'Autorisation Environnementale.</w:t>
      </w:r>
    </w:p>
    <w:p>
      <w:pPr>
        <w:spacing w:after="120" w:before="60" w:line="238"/>
        <w:jc w:val="both"/>
      </w:pPr>
      <w:r>
        <w:rPr>
          <w:rFonts w:ascii="Calibri" w:cs="Calibri" w:eastAsia="Calibri" w:hAnsi="Calibri"/>
          <w:color w:val="000000"/>
          <w:sz w:val="20"/>
          <w:szCs w:val="20"/>
        </w:rPr>
        <w:t xml:space="preserve">La deuxième tranche, correspondant au solde de 50 % de chacun des deux marchés, est donc exigible. Elle se décompose comme suit :</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2650"/>
        <w:gridCol w:w="3550"/>
        <w:gridCol w:w="1750"/>
        <w:gridCol w:w="1900"/>
      </w:tblGrid>
      <w:tr>
        <w:trPr>
          <w:tblHeader/>
        </w:trPr>
        <w:tc>
          <w:tcPr>
            <w:tcW w:type="dxa" w:w="2650"/>
            <w:tcBorders>
              <w:top w:val="single" w:color="BFBFBF" w:sz="4"/>
              <w:left w:val="single" w:color="BFBFBF" w:sz="4"/>
              <w:bottom w:val="single" w:color="BFBFBF" w:sz="4"/>
              <w:right w:val="single" w:color="BFBFBF" w:sz="4"/>
            </w:tcBorders>
            <w:shd w:fill="1F3864" w:color="auto" w:val="clear"/>
            <w:tcMar>
              <w:top w:type="dxa" w:w="40"/>
              <w:left w:type="dxa" w:w="85"/>
              <w:bottom w:type="dxa" w:w="40"/>
              <w:right w:type="dxa" w:w="85"/>
            </w:tcMar>
            <w:vAlign w:val="center"/>
          </w:tcPr>
          <w:p>
            <w:pPr>
              <w:spacing w:after="20" w:before="20" w:line="230"/>
              <w:jc w:val="center"/>
            </w:pPr>
            <w:r>
              <w:rPr>
                <w:rFonts w:ascii="Calibri" w:cs="Calibri" w:eastAsia="Calibri" w:hAnsi="Calibri"/>
                <w:b/>
                <w:bCs/>
                <w:color w:val="FFFFFF"/>
                <w:sz w:val="19"/>
                <w:szCs w:val="19"/>
              </w:rPr>
              <w:t xml:space="preserve">Facture</w:t>
            </w:r>
          </w:p>
        </w:tc>
        <w:tc>
          <w:tcPr>
            <w:tcW w:type="dxa" w:w="3550"/>
            <w:tcBorders>
              <w:top w:val="single" w:color="BFBFBF" w:sz="4"/>
              <w:left w:val="single" w:color="BFBFBF" w:sz="4"/>
              <w:bottom w:val="single" w:color="BFBFBF" w:sz="4"/>
              <w:right w:val="single" w:color="BFBFBF" w:sz="4"/>
            </w:tcBorders>
            <w:shd w:fill="1F3864" w:color="auto" w:val="clear"/>
            <w:tcMar>
              <w:top w:type="dxa" w:w="40"/>
              <w:left w:type="dxa" w:w="85"/>
              <w:bottom w:type="dxa" w:w="40"/>
              <w:right w:type="dxa" w:w="85"/>
            </w:tcMar>
            <w:vAlign w:val="center"/>
          </w:tcPr>
          <w:p>
            <w:pPr>
              <w:spacing w:after="20" w:before="20" w:line="230"/>
              <w:jc w:val="center"/>
            </w:pPr>
            <w:r>
              <w:rPr>
                <w:rFonts w:ascii="Calibri" w:cs="Calibri" w:eastAsia="Calibri" w:hAnsi="Calibri"/>
                <w:b/>
                <w:bCs/>
                <w:color w:val="FFFFFF"/>
                <w:sz w:val="19"/>
                <w:szCs w:val="19"/>
              </w:rPr>
              <w:t xml:space="preserve">Contrat</w:t>
            </w:r>
          </w:p>
        </w:tc>
        <w:tc>
          <w:tcPr>
            <w:tcW w:type="dxa" w:w="1750"/>
            <w:tcBorders>
              <w:top w:val="single" w:color="BFBFBF" w:sz="4"/>
              <w:left w:val="single" w:color="BFBFBF" w:sz="4"/>
              <w:bottom w:val="single" w:color="BFBFBF" w:sz="4"/>
              <w:right w:val="single" w:color="BFBFBF" w:sz="4"/>
            </w:tcBorders>
            <w:shd w:fill="1F3864" w:color="auto" w:val="clear"/>
            <w:tcMar>
              <w:top w:type="dxa" w:w="40"/>
              <w:left w:type="dxa" w:w="85"/>
              <w:bottom w:type="dxa" w:w="40"/>
              <w:right w:type="dxa" w:w="85"/>
            </w:tcMar>
            <w:vAlign w:val="center"/>
          </w:tcPr>
          <w:p>
            <w:pPr>
              <w:spacing w:after="20" w:before="20" w:line="230"/>
              <w:jc w:val="center"/>
            </w:pPr>
            <w:r>
              <w:rPr>
                <w:rFonts w:ascii="Calibri" w:cs="Calibri" w:eastAsia="Calibri" w:hAnsi="Calibri"/>
                <w:b/>
                <w:bCs/>
                <w:color w:val="FFFFFF"/>
                <w:sz w:val="19"/>
                <w:szCs w:val="19"/>
              </w:rPr>
              <w:t xml:space="preserve">Marché HT</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85"/>
              <w:bottom w:type="dxa" w:w="40"/>
              <w:right w:type="dxa" w:w="85"/>
            </w:tcMar>
            <w:vAlign w:val="center"/>
          </w:tcPr>
          <w:p>
            <w:pPr>
              <w:spacing w:after="20" w:before="20" w:line="230"/>
              <w:jc w:val="center"/>
            </w:pPr>
            <w:r>
              <w:rPr>
                <w:rFonts w:ascii="Calibri" w:cs="Calibri" w:eastAsia="Calibri" w:hAnsi="Calibri"/>
                <w:b/>
                <w:bCs/>
                <w:color w:val="FFFFFF"/>
                <w:sz w:val="19"/>
                <w:szCs w:val="19"/>
              </w:rPr>
              <w:t xml:space="preserve">Net à payer</w:t>
            </w:r>
          </w:p>
        </w:tc>
      </w:tr>
      <w:tr>
        <w:trPr>
          <w:tblHeader w:val="false"/>
        </w:trPr>
        <w:tc>
          <w:tcPr>
            <w:tcW w:type="dxa" w:w="2650"/>
            <w:tcBorders>
              <w:top w:val="single" w:color="BFBFBF" w:sz="4"/>
              <w:left w:val="single" w:color="BFBFBF" w:sz="4"/>
              <w:bottom w:val="single" w:color="BFBFBF" w:sz="4"/>
              <w:right w:val="single" w:color="BFBFBF" w:sz="4"/>
            </w:tcBorders>
            <w:tcMar>
              <w:top w:type="dxa" w:w="40"/>
              <w:left w:type="dxa" w:w="85"/>
              <w:bottom w:type="dxa" w:w="40"/>
              <w:right w:type="dxa" w:w="85"/>
            </w:tcMar>
            <w:vAlign w:val="center"/>
          </w:tcPr>
          <w:p>
            <w:pPr>
              <w:spacing w:after="20" w:before="20" w:line="230"/>
            </w:pPr>
            <w:r>
              <w:rPr>
                <w:rFonts w:ascii="Calibri" w:cs="Calibri" w:eastAsia="Calibri" w:hAnsi="Calibri"/>
                <w:b/>
                <w:bCs/>
                <w:color w:val="000000"/>
                <w:sz w:val="19"/>
                <w:szCs w:val="19"/>
              </w:rPr>
              <w:t xml:space="preserve">N° 02 NIES</w:t>
            </w:r>
          </w:p>
        </w:tc>
        <w:tc>
          <w:tcPr>
            <w:tcW w:type="dxa" w:w="3550"/>
            <w:tcBorders>
              <w:top w:val="single" w:color="BFBFBF" w:sz="4"/>
              <w:left w:val="single" w:color="BFBFBF" w:sz="4"/>
              <w:bottom w:val="single" w:color="BFBFBF" w:sz="4"/>
              <w:right w:val="single" w:color="BFBFBF" w:sz="4"/>
            </w:tcBorders>
            <w:tcMar>
              <w:top w:type="dxa" w:w="40"/>
              <w:left w:type="dxa" w:w="85"/>
              <w:bottom w:type="dxa" w:w="40"/>
              <w:right w:type="dxa" w:w="85"/>
            </w:tcMar>
            <w:vAlign w:val="center"/>
          </w:tcPr>
          <w:p>
            <w:pPr>
              <w:spacing w:after="20" w:before="20" w:line="230"/>
            </w:pPr>
            <w:r>
              <w:rPr>
                <w:rFonts w:ascii="Calibri" w:cs="Calibri" w:eastAsia="Calibri" w:hAnsi="Calibri"/>
                <w:color w:val="000000"/>
                <w:sz w:val="19"/>
                <w:szCs w:val="19"/>
              </w:rPr>
              <w:t xml:space="preserve">Notice d'Impact Environnemental et Social</w:t>
            </w:r>
          </w:p>
        </w:tc>
        <w:tc>
          <w:tcPr>
            <w:tcW w:type="dxa" w:w="1750"/>
            <w:tcBorders>
              <w:top w:val="single" w:color="BFBFBF" w:sz="4"/>
              <w:left w:val="single" w:color="BFBFBF" w:sz="4"/>
              <w:bottom w:val="single" w:color="BFBFBF" w:sz="4"/>
              <w:right w:val="single" w:color="BFBFBF" w:sz="4"/>
            </w:tcBorders>
            <w:tcMar>
              <w:top w:type="dxa" w:w="40"/>
              <w:left w:type="dxa" w:w="85"/>
              <w:bottom w:type="dxa" w:w="40"/>
              <w:right w:type="dxa" w:w="85"/>
            </w:tcMar>
            <w:vAlign w:val="center"/>
          </w:tcPr>
          <w:p>
            <w:pPr>
              <w:spacing w:after="20" w:before="20" w:line="230"/>
              <w:jc w:val="right"/>
            </w:pPr>
            <w:r>
              <w:rPr>
                <w:rFonts w:ascii="Calibri" w:cs="Calibri" w:eastAsia="Calibri" w:hAnsi="Calibri"/>
                <w:color w:val="000000"/>
                <w:sz w:val="19"/>
                <w:szCs w:val="19"/>
              </w:rPr>
              <w:t xml:space="preserve">400 000 000 GNF</w:t>
            </w:r>
          </w:p>
        </w:tc>
        <w:tc>
          <w:tcPr>
            <w:tcW w:type="dxa" w:w="1900"/>
            <w:tcBorders>
              <w:top w:val="single" w:color="BFBFBF" w:sz="4"/>
              <w:left w:val="single" w:color="BFBFBF" w:sz="4"/>
              <w:bottom w:val="single" w:color="BFBFBF" w:sz="4"/>
              <w:right w:val="single" w:color="BFBFBF" w:sz="4"/>
            </w:tcBorders>
            <w:tcMar>
              <w:top w:type="dxa" w:w="40"/>
              <w:left w:type="dxa" w:w="85"/>
              <w:bottom w:type="dxa" w:w="40"/>
              <w:right w:type="dxa" w:w="85"/>
            </w:tcMar>
            <w:vAlign w:val="center"/>
          </w:tcPr>
          <w:p>
            <w:pPr>
              <w:spacing w:after="20" w:before="20" w:line="230"/>
              <w:jc w:val="right"/>
            </w:pPr>
            <w:r>
              <w:rPr>
                <w:rFonts w:ascii="Calibri" w:cs="Calibri" w:eastAsia="Calibri" w:hAnsi="Calibri"/>
                <w:b/>
                <w:bCs/>
                <w:color w:val="000000"/>
                <w:sz w:val="19"/>
                <w:szCs w:val="19"/>
              </w:rPr>
              <w:t xml:space="preserve">200 000 000 GNF</w:t>
            </w:r>
          </w:p>
        </w:tc>
      </w:tr>
      <w:tr>
        <w:trPr>
          <w:tblHeader w:val="false"/>
        </w:trPr>
        <w:tc>
          <w:tcPr>
            <w:tcW w:type="dxa" w:w="2650"/>
            <w:tcBorders>
              <w:top w:val="single" w:color="BFBFBF" w:sz="4"/>
              <w:left w:val="single" w:color="BFBFBF" w:sz="4"/>
              <w:bottom w:val="single" w:color="BFBFBF" w:sz="4"/>
              <w:right w:val="single" w:color="BFBFBF" w:sz="4"/>
            </w:tcBorders>
            <w:shd w:fill="F4F8FC" w:color="auto" w:val="clear"/>
            <w:tcMar>
              <w:top w:type="dxa" w:w="40"/>
              <w:left w:type="dxa" w:w="85"/>
              <w:bottom w:type="dxa" w:w="40"/>
              <w:right w:type="dxa" w:w="85"/>
            </w:tcMar>
            <w:vAlign w:val="center"/>
          </w:tcPr>
          <w:p>
            <w:pPr>
              <w:spacing w:after="20" w:before="20" w:line="230"/>
            </w:pPr>
            <w:r>
              <w:rPr>
                <w:rFonts w:ascii="Calibri" w:cs="Calibri" w:eastAsia="Calibri" w:hAnsi="Calibri"/>
                <w:b/>
                <w:bCs/>
                <w:color w:val="000000"/>
                <w:sz w:val="19"/>
                <w:szCs w:val="19"/>
              </w:rPr>
              <w:t xml:space="preserve">N° 02 PAR</w:t>
            </w:r>
          </w:p>
        </w:tc>
        <w:tc>
          <w:tcPr>
            <w:tcW w:type="dxa" w:w="3550"/>
            <w:tcBorders>
              <w:top w:val="single" w:color="BFBFBF" w:sz="4"/>
              <w:left w:val="single" w:color="BFBFBF" w:sz="4"/>
              <w:bottom w:val="single" w:color="BFBFBF" w:sz="4"/>
              <w:right w:val="single" w:color="BFBFBF" w:sz="4"/>
            </w:tcBorders>
            <w:shd w:fill="F4F8FC" w:color="auto" w:val="clear"/>
            <w:tcMar>
              <w:top w:type="dxa" w:w="40"/>
              <w:left w:type="dxa" w:w="85"/>
              <w:bottom w:type="dxa" w:w="40"/>
              <w:right w:type="dxa" w:w="85"/>
            </w:tcMar>
            <w:vAlign w:val="center"/>
          </w:tcPr>
          <w:p>
            <w:pPr>
              <w:spacing w:after="20" w:before="20" w:line="230"/>
            </w:pPr>
            <w:r>
              <w:rPr>
                <w:rFonts w:ascii="Calibri" w:cs="Calibri" w:eastAsia="Calibri" w:hAnsi="Calibri"/>
                <w:color w:val="000000"/>
                <w:sz w:val="19"/>
                <w:szCs w:val="19"/>
              </w:rPr>
              <w:t xml:space="preserve">Plan d'Action de Réinstallation</w:t>
            </w:r>
          </w:p>
        </w:tc>
        <w:tc>
          <w:tcPr>
            <w:tcW w:type="dxa" w:w="1750"/>
            <w:tcBorders>
              <w:top w:val="single" w:color="BFBFBF" w:sz="4"/>
              <w:left w:val="single" w:color="BFBFBF" w:sz="4"/>
              <w:bottom w:val="single" w:color="BFBFBF" w:sz="4"/>
              <w:right w:val="single" w:color="BFBFBF" w:sz="4"/>
            </w:tcBorders>
            <w:shd w:fill="F4F8FC" w:color="auto" w:val="clear"/>
            <w:tcMar>
              <w:top w:type="dxa" w:w="40"/>
              <w:left w:type="dxa" w:w="85"/>
              <w:bottom w:type="dxa" w:w="40"/>
              <w:right w:type="dxa" w:w="85"/>
            </w:tcMar>
            <w:vAlign w:val="center"/>
          </w:tcPr>
          <w:p>
            <w:pPr>
              <w:spacing w:after="20" w:before="20" w:line="230"/>
              <w:jc w:val="right"/>
            </w:pPr>
            <w:r>
              <w:rPr>
                <w:rFonts w:ascii="Calibri" w:cs="Calibri" w:eastAsia="Calibri" w:hAnsi="Calibri"/>
                <w:color w:val="000000"/>
                <w:sz w:val="19"/>
                <w:szCs w:val="19"/>
              </w:rPr>
              <w:t xml:space="preserve">500 000 000 GNF</w:t>
            </w:r>
          </w:p>
        </w:tc>
        <w:tc>
          <w:tcPr>
            <w:tcW w:type="dxa" w:w="1900"/>
            <w:tcBorders>
              <w:top w:val="single" w:color="BFBFBF" w:sz="4"/>
              <w:left w:val="single" w:color="BFBFBF" w:sz="4"/>
              <w:bottom w:val="single" w:color="BFBFBF" w:sz="4"/>
              <w:right w:val="single" w:color="BFBFBF" w:sz="4"/>
            </w:tcBorders>
            <w:shd w:fill="F4F8FC" w:color="auto" w:val="clear"/>
            <w:tcMar>
              <w:top w:type="dxa" w:w="40"/>
              <w:left w:type="dxa" w:w="85"/>
              <w:bottom w:type="dxa" w:w="40"/>
              <w:right w:type="dxa" w:w="85"/>
            </w:tcMar>
            <w:vAlign w:val="center"/>
          </w:tcPr>
          <w:p>
            <w:pPr>
              <w:spacing w:after="20" w:before="20" w:line="230"/>
              <w:jc w:val="right"/>
            </w:pPr>
            <w:r>
              <w:rPr>
                <w:rFonts w:ascii="Calibri" w:cs="Calibri" w:eastAsia="Calibri" w:hAnsi="Calibri"/>
                <w:b/>
                <w:bCs/>
                <w:color w:val="000000"/>
                <w:sz w:val="19"/>
                <w:szCs w:val="19"/>
              </w:rPr>
              <w:t xml:space="preserve">250 000 000 GNF</w:t>
            </w:r>
          </w:p>
        </w:tc>
      </w:tr>
      <w:tr>
        <w:trPr>
          <w:tblHeader w:val="false"/>
        </w:trPr>
        <w:tc>
          <w:tcPr>
            <w:tcW w:type="dxa" w:w="7950"/>
            <w:gridSpan w:val="3"/>
            <w:tcBorders>
              <w:top w:val="single" w:color="BFBFBF" w:sz="4"/>
              <w:left w:val="single" w:color="BFBFBF" w:sz="4"/>
              <w:bottom w:val="single" w:color="BFBFBF" w:sz="4"/>
              <w:right w:val="single" w:color="BFBFBF" w:sz="4"/>
            </w:tcBorders>
            <w:shd w:fill="DEEAF6" w:color="auto" w:val="clear"/>
            <w:tcMar>
              <w:top w:type="dxa" w:w="40"/>
              <w:left w:type="dxa" w:w="85"/>
              <w:bottom w:type="dxa" w:w="40"/>
              <w:right w:type="dxa" w:w="85"/>
            </w:tcMar>
            <w:vAlign w:val="center"/>
          </w:tcPr>
          <w:p>
            <w:pPr>
              <w:spacing w:after="20" w:before="20" w:line="230"/>
              <w:jc w:val="right"/>
            </w:pPr>
            <w:r>
              <w:rPr>
                <w:rFonts w:ascii="Calibri" w:cs="Calibri" w:eastAsia="Calibri" w:hAnsi="Calibri"/>
                <w:b/>
                <w:bCs/>
                <w:color w:val="000000"/>
                <w:sz w:val="19"/>
                <w:szCs w:val="19"/>
              </w:rPr>
              <w:t xml:space="preserve">TOTAL À RÉGLER</w:t>
            </w:r>
          </w:p>
        </w:tc>
        <w:tc>
          <w:tcPr>
            <w:tcW w:type="dxa" w:w="3550"/>
            <w:tcBorders>
              <w:top w:val="single" w:color="BFBFBF" w:sz="4"/>
              <w:left w:val="single" w:color="BFBFBF" w:sz="4"/>
              <w:bottom w:val="single" w:color="BFBFBF" w:sz="4"/>
              <w:right w:val="single" w:color="BFBFBF" w:sz="4"/>
            </w:tcBorders>
            <w:shd w:fill="DEEAF6" w:color="auto" w:val="clear"/>
            <w:tcMar>
              <w:top w:type="dxa" w:w="40"/>
              <w:left w:type="dxa" w:w="85"/>
              <w:bottom w:type="dxa" w:w="40"/>
              <w:right w:type="dxa" w:w="85"/>
            </w:tcMar>
            <w:vAlign w:val="center"/>
          </w:tcPr>
          <w:p>
            <w:pPr>
              <w:spacing w:after="20" w:before="20" w:line="230"/>
              <w:jc w:val="right"/>
            </w:pPr>
            <w:r>
              <w:rPr>
                <w:rFonts w:ascii="Calibri" w:cs="Calibri" w:eastAsia="Calibri" w:hAnsi="Calibri"/>
                <w:b/>
                <w:bCs/>
                <w:color w:val="1F3864"/>
                <w:sz w:val="21"/>
                <w:szCs w:val="21"/>
              </w:rPr>
              <w:t xml:space="preserve">450 000 000 GNF</w:t>
            </w:r>
          </w:p>
        </w:tc>
      </w:tr>
    </w:tbl>
    <w:p>
      <w:pPr>
        <w:spacing w:after="110" w:before="40" w:line="238"/>
      </w:pPr>
      <w:r>
        <w:rPr>
          <w:rFonts w:ascii="Calibri" w:cs="Calibri" w:eastAsia="Calibri" w:hAnsi="Calibri"/>
          <w:i/>
          <w:iCs/>
          <w:color w:val="595959"/>
          <w:sz w:val="19"/>
          <w:szCs w:val="19"/>
        </w:rPr>
        <w:t xml:space="preserve">Soit quatre cent cinquante millions de francs guinéens.</w:t>
      </w:r>
    </w:p>
    <w:p>
      <w:pPr>
        <w:spacing w:after="120" w:before="0" w:line="238"/>
        <w:jc w:val="both"/>
      </w:pPr>
      <w:r>
        <w:rPr>
          <w:rFonts w:ascii="Calibri" w:cs="Calibri" w:eastAsia="Calibri" w:hAnsi="Calibri"/>
          <w:color w:val="000000"/>
          <w:sz w:val="20"/>
          <w:szCs w:val="20"/>
        </w:rPr>
        <w:t xml:space="preserve">Compte tenu de l'achèvement complet des prestations et des engagements que notre cabinet doit honorer auprès de l'équipe de consultants mobilisée sur ces deux missions, nous vous saurions gré de bien vouloir </w:t>
      </w:r>
      <w:r>
        <w:rPr>
          <w:rFonts w:ascii="Calibri" w:cs="Calibri" w:eastAsia="Calibri" w:hAnsi="Calibri"/>
          <w:b/>
          <w:bCs/>
          <w:color w:val="000000"/>
          <w:sz w:val="20"/>
          <w:szCs w:val="20"/>
        </w:rPr>
        <w:t xml:space="preserve">procéder au règlement au plus tard le vendredi 21 août 2026</w:t>
      </w:r>
      <w:r>
        <w:rPr>
          <w:rFonts w:ascii="Calibri" w:cs="Calibri" w:eastAsia="Calibri" w:hAnsi="Calibri"/>
          <w:color w:val="000000"/>
          <w:sz w:val="20"/>
          <w:szCs w:val="20"/>
        </w:rPr>
        <w:t xml:space="preserve">, par virement au compte ci-après :</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750"/>
        <w:gridCol w:w="2900"/>
      </w:tblGrid>
      <w:tr>
        <w:trPr>
          <w:tblHeader/>
        </w:trPr>
        <w:tc>
          <w:tcPr>
            <w:tcW w:type="dxa" w:w="1800"/>
            <w:tcBorders>
              <w:top w:val="single" w:color="BFBFBF" w:sz="4"/>
              <w:left w:val="single" w:color="BFBFBF" w:sz="4"/>
              <w:bottom w:val="single" w:color="BFBFBF" w:sz="4"/>
              <w:right w:val="single" w:color="BFBFBF" w:sz="4"/>
            </w:tcBorders>
            <w:shd w:fill="DEEAF6" w:color="auto" w:val="clear"/>
            <w:tcMar>
              <w:top w:type="dxa" w:w="40"/>
              <w:left w:type="dxa" w:w="85"/>
              <w:bottom w:type="dxa" w:w="40"/>
              <w:right w:type="dxa" w:w="85"/>
            </w:tcMar>
            <w:vAlign w:val="center"/>
          </w:tcPr>
          <w:p>
            <w:pPr>
              <w:spacing w:after="20" w:before="20" w:line="230"/>
            </w:pPr>
            <w:r>
              <w:rPr>
                <w:rFonts w:ascii="Calibri" w:cs="Calibri" w:eastAsia="Calibri" w:hAnsi="Calibri"/>
                <w:b/>
                <w:bCs/>
                <w:color w:val="000000"/>
                <w:sz w:val="19"/>
                <w:szCs w:val="19"/>
              </w:rPr>
              <w:t xml:space="preserve">Banque</w:t>
            </w:r>
          </w:p>
        </w:tc>
        <w:tc>
          <w:tcPr>
            <w:tcW w:type="dxa" w:w="3400"/>
            <w:tcBorders>
              <w:top w:val="single" w:color="BFBFBF" w:sz="4"/>
              <w:left w:val="single" w:color="BFBFBF" w:sz="4"/>
              <w:bottom w:val="single" w:color="BFBFBF" w:sz="4"/>
              <w:right w:val="single" w:color="BFBFBF" w:sz="4"/>
            </w:tcBorders>
            <w:tcMar>
              <w:top w:type="dxa" w:w="40"/>
              <w:left w:type="dxa" w:w="85"/>
              <w:bottom w:type="dxa" w:w="40"/>
              <w:right w:type="dxa" w:w="85"/>
            </w:tcMar>
            <w:vAlign w:val="center"/>
          </w:tcPr>
          <w:p>
            <w:pPr>
              <w:spacing w:after="20" w:before="20" w:line="230"/>
            </w:pPr>
            <w:r>
              <w:rPr>
                <w:rFonts w:ascii="Calibri" w:cs="Calibri" w:eastAsia="Calibri" w:hAnsi="Calibri"/>
                <w:color w:val="000000"/>
                <w:sz w:val="19"/>
                <w:szCs w:val="19"/>
              </w:rPr>
              <w:t xml:space="preserve">Banque Populaire Maroco Guinéenne</w:t>
            </w:r>
          </w:p>
        </w:tc>
        <w:tc>
          <w:tcPr>
            <w:tcW w:type="dxa" w:w="1750"/>
            <w:tcBorders>
              <w:top w:val="single" w:color="BFBFBF" w:sz="4"/>
              <w:left w:val="single" w:color="BFBFBF" w:sz="4"/>
              <w:bottom w:val="single" w:color="BFBFBF" w:sz="4"/>
              <w:right w:val="single" w:color="BFBFBF" w:sz="4"/>
            </w:tcBorders>
            <w:shd w:fill="DEEAF6" w:color="auto" w:val="clear"/>
            <w:tcMar>
              <w:top w:type="dxa" w:w="40"/>
              <w:left w:type="dxa" w:w="85"/>
              <w:bottom w:type="dxa" w:w="40"/>
              <w:right w:type="dxa" w:w="85"/>
            </w:tcMar>
            <w:vAlign w:val="center"/>
          </w:tcPr>
          <w:p>
            <w:pPr>
              <w:spacing w:after="20" w:before="20" w:line="230"/>
            </w:pPr>
            <w:r>
              <w:rPr>
                <w:rFonts w:ascii="Calibri" w:cs="Calibri" w:eastAsia="Calibri" w:hAnsi="Calibri"/>
                <w:b/>
                <w:bCs/>
                <w:color w:val="000000"/>
                <w:sz w:val="19"/>
                <w:szCs w:val="19"/>
              </w:rPr>
              <w:t xml:space="preserve">Code SWIFT</w:t>
            </w:r>
          </w:p>
        </w:tc>
        <w:tc>
          <w:tcPr>
            <w:tcW w:type="dxa" w:w="2900"/>
            <w:tcBorders>
              <w:top w:val="single" w:color="BFBFBF" w:sz="4"/>
              <w:left w:val="single" w:color="BFBFBF" w:sz="4"/>
              <w:bottom w:val="single" w:color="BFBFBF" w:sz="4"/>
              <w:right w:val="single" w:color="BFBFBF" w:sz="4"/>
            </w:tcBorders>
            <w:tcMar>
              <w:top w:type="dxa" w:w="40"/>
              <w:left w:type="dxa" w:w="85"/>
              <w:bottom w:type="dxa" w:w="40"/>
              <w:right w:type="dxa" w:w="85"/>
            </w:tcMar>
            <w:vAlign w:val="center"/>
          </w:tcPr>
          <w:p>
            <w:pPr>
              <w:spacing w:after="20" w:before="20" w:line="230"/>
            </w:pPr>
            <w:r>
              <w:rPr>
                <w:rFonts w:ascii="Calibri" w:cs="Calibri" w:eastAsia="Calibri" w:hAnsi="Calibri"/>
                <w:color w:val="000000"/>
                <w:sz w:val="19"/>
                <w:szCs w:val="19"/>
              </w:rPr>
              <w:t xml:space="preserve">POMBGNGN</w:t>
            </w:r>
          </w:p>
        </w:tc>
      </w:tr>
      <w:tr>
        <w:trPr>
          <w:tblHeader w:val="false"/>
        </w:trPr>
        <w:tc>
          <w:tcPr>
            <w:tcW w:type="dxa" w:w="1800"/>
            <w:tcBorders>
              <w:top w:val="single" w:color="BFBFBF" w:sz="4"/>
              <w:left w:val="single" w:color="BFBFBF" w:sz="4"/>
              <w:bottom w:val="single" w:color="BFBFBF" w:sz="4"/>
              <w:right w:val="single" w:color="BFBFBF" w:sz="4"/>
            </w:tcBorders>
            <w:shd w:fill="DEEAF6" w:color="auto" w:val="clear"/>
            <w:tcMar>
              <w:top w:type="dxa" w:w="40"/>
              <w:left w:type="dxa" w:w="85"/>
              <w:bottom w:type="dxa" w:w="40"/>
              <w:right w:type="dxa" w:w="85"/>
            </w:tcMar>
            <w:vAlign w:val="center"/>
          </w:tcPr>
          <w:p>
            <w:pPr>
              <w:spacing w:after="20" w:before="20" w:line="230"/>
            </w:pPr>
            <w:r>
              <w:rPr>
                <w:rFonts w:ascii="Calibri" w:cs="Calibri" w:eastAsia="Calibri" w:hAnsi="Calibri"/>
                <w:b/>
                <w:bCs/>
                <w:color w:val="000000"/>
                <w:sz w:val="19"/>
                <w:szCs w:val="19"/>
              </w:rPr>
              <w:t xml:space="preserve">N° de compte</w:t>
            </w:r>
          </w:p>
        </w:tc>
        <w:tc>
          <w:tcPr>
            <w:tcW w:type="dxa" w:w="3400"/>
            <w:tcBorders>
              <w:top w:val="single" w:color="BFBFBF" w:sz="4"/>
              <w:left w:val="single" w:color="BFBFBF" w:sz="4"/>
              <w:bottom w:val="single" w:color="BFBFBF" w:sz="4"/>
              <w:right w:val="single" w:color="BFBFBF" w:sz="4"/>
            </w:tcBorders>
            <w:shd w:fill="F4F8FC" w:color="auto" w:val="clear"/>
            <w:tcMar>
              <w:top w:type="dxa" w:w="40"/>
              <w:left w:type="dxa" w:w="85"/>
              <w:bottom w:type="dxa" w:w="40"/>
              <w:right w:type="dxa" w:w="85"/>
            </w:tcMar>
            <w:vAlign w:val="center"/>
          </w:tcPr>
          <w:p>
            <w:pPr>
              <w:spacing w:after="20" w:before="20" w:line="230"/>
            </w:pPr>
            <w:r>
              <w:rPr>
                <w:rFonts w:ascii="Calibri" w:cs="Calibri" w:eastAsia="Calibri" w:hAnsi="Calibri"/>
                <w:color w:val="000000"/>
                <w:sz w:val="19"/>
                <w:szCs w:val="19"/>
              </w:rPr>
              <w:t xml:space="preserve">00200016160</w:t>
            </w:r>
          </w:p>
        </w:tc>
        <w:tc>
          <w:tcPr>
            <w:tcW w:type="dxa" w:w="1750"/>
            <w:tcBorders>
              <w:top w:val="single" w:color="BFBFBF" w:sz="4"/>
              <w:left w:val="single" w:color="BFBFBF" w:sz="4"/>
              <w:bottom w:val="single" w:color="BFBFBF" w:sz="4"/>
              <w:right w:val="single" w:color="BFBFBF" w:sz="4"/>
            </w:tcBorders>
            <w:shd w:fill="DEEAF6" w:color="auto" w:val="clear"/>
            <w:tcMar>
              <w:top w:type="dxa" w:w="40"/>
              <w:left w:type="dxa" w:w="85"/>
              <w:bottom w:type="dxa" w:w="40"/>
              <w:right w:type="dxa" w:w="85"/>
            </w:tcMar>
            <w:vAlign w:val="center"/>
          </w:tcPr>
          <w:p>
            <w:pPr>
              <w:spacing w:after="20" w:before="20" w:line="230"/>
            </w:pPr>
            <w:r>
              <w:rPr>
                <w:rFonts w:ascii="Calibri" w:cs="Calibri" w:eastAsia="Calibri" w:hAnsi="Calibri"/>
                <w:b/>
                <w:bCs/>
                <w:color w:val="000000"/>
                <w:sz w:val="19"/>
                <w:szCs w:val="19"/>
              </w:rPr>
              <w:t xml:space="preserve">RIB</w:t>
            </w:r>
          </w:p>
        </w:tc>
        <w:tc>
          <w:tcPr>
            <w:tcW w:type="dxa" w:w="2900"/>
            <w:tcBorders>
              <w:top w:val="single" w:color="BFBFBF" w:sz="4"/>
              <w:left w:val="single" w:color="BFBFBF" w:sz="4"/>
              <w:bottom w:val="single" w:color="BFBFBF" w:sz="4"/>
              <w:right w:val="single" w:color="BFBFBF" w:sz="4"/>
            </w:tcBorders>
            <w:shd w:fill="F4F8FC" w:color="auto" w:val="clear"/>
            <w:tcMar>
              <w:top w:type="dxa" w:w="40"/>
              <w:left w:type="dxa" w:w="85"/>
              <w:bottom w:type="dxa" w:w="40"/>
              <w:right w:type="dxa" w:w="85"/>
            </w:tcMar>
            <w:vAlign w:val="center"/>
          </w:tcPr>
          <w:p>
            <w:pPr>
              <w:spacing w:after="20" w:before="20" w:line="230"/>
            </w:pPr>
            <w:r>
              <w:rPr>
                <w:rFonts w:ascii="Calibri" w:cs="Calibri" w:eastAsia="Calibri" w:hAnsi="Calibri"/>
                <w:color w:val="000000"/>
                <w:sz w:val="19"/>
                <w:szCs w:val="19"/>
              </w:rPr>
              <w:t xml:space="preserve">006 – 012 – 1205654601 – 39</w:t>
            </w:r>
          </w:p>
        </w:tc>
      </w:tr>
      <w:tr>
        <w:trPr>
          <w:tblHeader w:val="false"/>
        </w:trPr>
        <w:tc>
          <w:tcPr>
            <w:tcW w:type="dxa" w:w="1800"/>
            <w:tcBorders>
              <w:top w:val="single" w:color="BFBFBF" w:sz="4"/>
              <w:left w:val="single" w:color="BFBFBF" w:sz="4"/>
              <w:bottom w:val="single" w:color="BFBFBF" w:sz="4"/>
              <w:right w:val="single" w:color="BFBFBF" w:sz="4"/>
            </w:tcBorders>
            <w:shd w:fill="DEEAF6" w:color="auto" w:val="clear"/>
            <w:tcMar>
              <w:top w:type="dxa" w:w="40"/>
              <w:left w:type="dxa" w:w="85"/>
              <w:bottom w:type="dxa" w:w="40"/>
              <w:right w:type="dxa" w:w="85"/>
            </w:tcMar>
            <w:vAlign w:val="center"/>
          </w:tcPr>
          <w:p>
            <w:pPr>
              <w:spacing w:after="20" w:before="20" w:line="230"/>
            </w:pPr>
            <w:r>
              <w:rPr>
                <w:rFonts w:ascii="Calibri" w:cs="Calibri" w:eastAsia="Calibri" w:hAnsi="Calibri"/>
                <w:b/>
                <w:bCs/>
                <w:color w:val="000000"/>
                <w:sz w:val="19"/>
                <w:szCs w:val="19"/>
              </w:rPr>
              <w:t xml:space="preserve">Titulaire</w:t>
            </w:r>
          </w:p>
        </w:tc>
        <w:tc>
          <w:tcPr>
            <w:tcW w:type="dxa" w:w="8050"/>
            <w:gridSpan w:val="3"/>
            <w:tcBorders>
              <w:top w:val="single" w:color="BFBFBF" w:sz="4"/>
              <w:left w:val="single" w:color="BFBFBF" w:sz="4"/>
              <w:bottom w:val="single" w:color="BFBFBF" w:sz="4"/>
              <w:right w:val="single" w:color="BFBFBF" w:sz="4"/>
            </w:tcBorders>
            <w:tcMar>
              <w:top w:type="dxa" w:w="40"/>
              <w:left w:type="dxa" w:w="85"/>
              <w:bottom w:type="dxa" w:w="40"/>
              <w:right w:type="dxa" w:w="85"/>
            </w:tcMar>
            <w:vAlign w:val="center"/>
          </w:tcPr>
          <w:p>
            <w:pPr>
              <w:spacing w:after="20" w:before="20" w:line="230"/>
            </w:pPr>
            <w:r>
              <w:rPr>
                <w:rFonts w:ascii="Calibri" w:cs="Calibri" w:eastAsia="Calibri" w:hAnsi="Calibri"/>
                <w:color w:val="000000"/>
                <w:sz w:val="19"/>
                <w:szCs w:val="19"/>
              </w:rPr>
              <w:t xml:space="preserve">CGDEM-AEDD SARLU</w:t>
            </w:r>
          </w:p>
        </w:tc>
      </w:tr>
    </w:tbl>
    <w:p>
      <w:pPr>
        <w:spacing w:after="100" w:before="80" w:line="238"/>
        <w:jc w:val="both"/>
      </w:pPr>
      <w:r>
        <w:rPr>
          <w:rFonts w:ascii="Calibri" w:cs="Calibri" w:eastAsia="Calibri" w:hAnsi="Calibri"/>
          <w:color w:val="000000"/>
          <w:sz w:val="20"/>
          <w:szCs w:val="20"/>
        </w:rPr>
        <w:t xml:space="preserve">Nous restons à votre entière disposition pour tout justificatif complémentaire, et demeurons mobilisés aux côtés du comité restreint que l'AGEE mettra en place pour la vérification de conformité des rapports.</w:t>
      </w:r>
    </w:p>
    <w:p>
      <w:pPr>
        <w:spacing w:after="150" w:before="0" w:line="238"/>
        <w:jc w:val="both"/>
      </w:pPr>
      <w:r>
        <w:rPr>
          <w:rFonts w:ascii="Calibri" w:cs="Calibri" w:eastAsia="Calibri" w:hAnsi="Calibri"/>
          <w:color w:val="000000"/>
          <w:sz w:val="20"/>
          <w:szCs w:val="20"/>
        </w:rPr>
        <w:t xml:space="preserve">Veuillez agréer, Monsieur le Directeur Général, l'expression de ma considération distinguée.</w:t>
      </w:r>
    </w:p>
    <w:p>
      <w:pPr>
        <w:spacing w:after="110" w:before="0" w:line="238"/>
        <w:jc w:val="right"/>
      </w:pPr>
      <w:r>
        <w:rPr>
          <w:rFonts w:ascii="Calibri" w:cs="Calibri" w:eastAsia="Calibri" w:hAnsi="Calibri"/>
          <w:b/>
          <w:bCs/>
          <w:color w:val="000000"/>
          <w:sz w:val="20"/>
          <w:szCs w:val="20"/>
        </w:rPr>
        <w:t xml:space="preserve">Le Gérant</w:t>
      </w:r>
    </w:p>
    <w:p>
      <w:pPr>
        <w:spacing w:after="0" w:before="0" w:line="238"/>
        <w:jc w:val="right"/>
      </w:pPr>
      <w:r>
        <w:rPr>
          <w:rFonts w:ascii="Calibri" w:cs="Calibri" w:eastAsia="Calibri" w:hAnsi="Calibri"/>
          <w:b/>
          <w:bCs/>
          <w:color w:val="000000"/>
          <w:sz w:val="22"/>
          <w:szCs w:val="22"/>
        </w:rPr>
        <w:t xml:space="preserve">Dr Ibrahima DIALLO</w:t>
      </w:r>
    </w:p>
    <w:sectPr>
      <w:pgSz w:w="11906" w:h="16838" w:orient="portrait"/>
      <w:pgMar w:top="760" w:right="1020" w:bottom="5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de règlement — Factures n° 02 NIES et PAR — Projet de Kéno</dc:title>
  <dc:creator>CGDEM-AEDD SARLU</dc:creator>
  <cp:lastModifiedBy>Un-named</cp:lastModifiedBy>
  <cp:revision>1</cp:revision>
  <dcterms:created xsi:type="dcterms:W3CDTF">2026-08-19T02:57:50.614Z</dcterms:created>
  <dcterms:modified xsi:type="dcterms:W3CDTF">2026-08-19T02:57:50.614Z</dcterms:modified>
</cp:coreProperties>
</file>

<file path=docProps/custom.xml><?xml version="1.0" encoding="utf-8"?>
<Properties xmlns="http://schemas.openxmlformats.org/officeDocument/2006/custom-properties" xmlns:vt="http://schemas.openxmlformats.org/officeDocument/2006/docPropsVTypes"/>
</file>