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0"/>
          <w:szCs w:val="30"/>
        </w:rPr>
        <w:t xml:space="preserve">MATRICE DES CORRECTIONS ET AMÉLIORATIONS</w:t>
      </w:r>
    </w:p>
    <w:p>
      <w:pPr>
        <w:spacing w:after="40"/>
      </w:pPr>
      <w:r>
        <w:rPr>
          <w:rFonts w:ascii="Arial" w:cs="Arial" w:eastAsia="Arial" w:hAnsi="Arial"/>
          <w:color w:val="000000"/>
          <w:sz w:val="19"/>
          <w:szCs w:val="19"/>
        </w:rPr>
        <w:t xml:space="preserve">Chapitre 23 — Plan de gestion des déchets · Projet de raffinerie d'alumine WCAG, Dobali, Préfecture de Boké (République de Guinée)</w:t>
      </w:r>
    </w:p>
    <w:p>
      <w:pPr>
        <w:spacing w:after="40"/>
      </w:pPr>
      <w:r>
        <w:rPr>
          <w:rFonts w:ascii="Arial" w:cs="Arial" w:eastAsia="Arial" w:hAnsi="Arial"/>
          <w:b/>
          <w:bCs/>
          <w:sz w:val="18"/>
          <w:szCs w:val="18"/>
        </w:rPr>
        <w:t xml:space="preserve">Revue par : </w:t>
      </w:r>
      <w:r>
        <w:rPr>
          <w:rFonts w:ascii="Arial" w:cs="Arial" w:eastAsia="Arial" w:hAnsi="Arial"/>
          <w:b/>
          <w:bCs/>
          <w:color w:val="1F3864"/>
          <w:sz w:val="18"/>
          <w:szCs w:val="18"/>
        </w:rPr>
        <w:t xml:space="preserve">Dr IBRAHIMA DIALLO</w:t>
      </w:r>
      <w:r>
        <w:rPr>
          <w:rFonts w:ascii="Arial" w:cs="Arial" w:eastAsia="Arial" w:hAnsi="Arial"/>
          <w:sz w:val="18"/>
          <w:szCs w:val="18"/>
        </w:rPr>
        <w:t xml:space="preserve">    ·    Référentiel : normes chinoises (China Exim Bank, MOFCOM/MEE, GB/HJ)    ·    Date : 09/08/2026</w:t>
      </w:r>
    </w:p>
    <w:p>
      <w:pPr>
        <w:spacing w:after="160"/>
      </w:pPr>
      <w:r>
        <w:rPr>
          <w:rFonts w:ascii="Arial" w:cs="Arial" w:eastAsia="Arial" w:hAnsi="Arial"/>
          <w:i/>
          <w:iCs/>
          <w:color w:val="7F7F7F"/>
          <w:sz w:val="17"/>
          <w:szCs w:val="17"/>
        </w:rPr>
        <w:t xml:space="preserve">La présente matrice recense et justifie les rajouts et améliorations proposés par le Dr IBRAHIMA DIALLO, intégrés au document sous forme de commentaires (version commentée) et appliqués dans la version propre. Chaque proposition est rattachée à la norme chinoise pertinente.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2500"/>
        <w:gridCol w:w="4200"/>
        <w:gridCol w:w="2650"/>
        <w:gridCol w:w="3778"/>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Section / Emplacement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Élément concerné / Constat</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Correction / amélioration proposée (rajout)</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Norme(s) chinoise(s) de référence</w:t>
            </w:r>
          </w:p>
        </w:tc>
        <w:tc>
          <w:tcPr>
            <w:tcW w:type="dxa" w:w="377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Justification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23.1 — Introduction et objectifs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Cadre réglementaire limité à la seule législation guinéenne.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 d'une sous-section « 23.1.1 Cadre normatif de référence » énumérant les référentiels chinois applicables.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Directives ESIA China Exim Bank (2007) ; Lignes directrices MOFCOM/MEE (2022) ; Loi RPC sur les déchets solides (2020).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financement par la China Exim Bank impose la conformité à ces référentiels, absents du chapitre ; leur explicitation sécurise l'acceptabilité du Plan par le bailleur.</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23.1 — Principes de gestion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Principes énoncés sans ossature réglementaire structurante.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Rattachement explicite au principe des « trois transformations » : réduction (减量化), valorisation (资源化), innocuité (无害化).</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Art. 4, Loi de la RPC sur la prévention et le contrôle de la pollution par les déchets solides (2020).</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Aligne la hiérarchie de gestion des déchets sur le cadre réglementaire chinois attendu par la partie chinoise.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23.2 — Identification des déchets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Classification en deux catégories sans méthode d'identification définie.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 de la méthode d'identification normalisée et attribution d'un code de déchet dangereux (HW) à chaque flux.</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34330-2017 ; série GB 5085.1 à 5085.7 ; Catalogue national des déchets dangereux (2021).</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L'identification normalisée conditionne les filières d'élimination admissibles et la traçabilité réglementaire.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1 — Caractéristiques de danger</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Caractéristiques de danger listées sans seuils normatifs.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Renvoi, pour chaque caractéristique, aux seuils d'essai de la série GB 5085.</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5085.1 (corrosivité) ; 5085.2 (infectiosité) ; 5085.3 (lixiviation) ; 5085.4 (inflammabilité) ; 5085.5 (réactivité) ; 5085.6 (toxicité).</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Les caractéristiques de danger doivent être déterminées par essais et non par simple présomption.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23.1 — Notion de « bonne pratique »</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Expression « bonnes pratiques environnementales » non définie.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Précision : normes chinoises GB/HJ et, si plus contraignantes, Directives EHS du Groupe Banque mondiale.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Lignes directrices MOFCOM/MEE (2022) ; Directives EHS Groupe Banque mondiale.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Clarifie le référentiel de « bonne pratique » exigé par le bailleur selon le principe du standard le plus strict.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23.2.2 — Phase de mise en service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Flux de mise en service non caractérisés ni codifiés.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Caractérisation et codification HW des flux ; plan de gestion des déchets de mise en service.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Catalogue national des déchets dangereux (2021) ; série GB 5085 ; GB 18597-2001.</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Ces flux (produits chimiques, filtres, débris) peuvent être dangereux et requièrent une gestion tracée et un stockage conforme.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Boues rouges (classification)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Classification « non dangereux (pH élevé) » non justifiée.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Exiger des essais de corrosivité et de lixiviation ; à défaut de dangerosité, classer en déchet industriel général de catégorie II.</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5085.1 (seuil pH ≥ 12,5) ; GB 5085.3 ; GB 18599-2020.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pH élevé des boues rouges peut atteindre le seuil de corrosivité ; la classification doit être étayée par des essais.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Boues rouges (stockage)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Mode de gestion indiqué sans référentiel de conception ni de sécurité.</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Renvoi aux normes de conception, de sécurité et d'étanchéité du parc à résidus.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 ; GB 18599-2020 (catégorie II).</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Encadre la sûreté du parc (stabilité des digues, étanchéité, surveillance) selon les normes chinoises.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Produits chimiques usagés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Absence de code de danger et de mode de transfert.</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 des codes indicatifs HW34/HW35 et du transfert sous bordereau de suivi (联单).</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Catalogue national des déchets dangereux (2021) ; HJ 2025-2012.</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Assure la traçabilité réglementaire des déchets corrosifs de procédé.</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Huiles usagées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Absence de code de déchet dangereux.</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 du code HW08 et priorité au re-raffinage par opérateur agréé.</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Catalogue (2021) ; HJ 2025-2012 ; GB 18597-2001.</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Les huiles minérales usagées constituent un déchet dangereux normé (HW08).</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Chiffons/absorbants souillés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Conditionnement et séparation non précisés.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Contenants fermés ignifuges ; séparation des matières incompatibles.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18597-2001 (indicatif HW08/HW49).</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Prévention du risque d'incendie et de la contamination croisée.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Contenants chimiques vides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Statut de danger non précisé.</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Protocole de triple rinçage/décontamination et critères de déclassement (règle du contenant).</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Catalogue national des déchets dangereux (2021).</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Les contenants non décontaminés sont réputés dangereux tant que la décontamination n'est pas vérifiée.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Déchets électroniques (DEEE)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Mention « élimination spécialisée » imprécise.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Codification HW49 et reprise par un opérateur agréé ; interdiction du démantèlement informel.</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Règlement RPC sur les DEEE ; Catalogue (2021).</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Impose une filière DEEE dédiée et écarte le démantèlement informel sur site.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Batteries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Absence de code et de conditions de rétention.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 du code HW31 ; rétention résistante aux acides ; transfert sous bordereau.</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Catalogue (2021) ; GB 18597-2001.</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Les batteries au plomb-acide sont un déchet dangereux réglementé nécessitant une rétention adaptée.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Tubes fluorescents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Absence de code et de filière dédiée.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 du code HW29 ; conditionnement anti-bris dédié.</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18597-2001 ; Convention de Minamata.</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Gestion du mercure conformément aux engagements internationaux ratifiés par la Chine et la Guinée.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Fluides frigorigènes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Cadre SAO/PRG non cité.</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Récupération par technicien certifié ; interdiction de dégazage ; registre des quantités.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Protocole de Montréal / Amendement de Kigali ; Règlement RPC sur les SAO.</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Contrôle des substances appauvrissant la couche d'ozone et à fort pouvoir de réchauffement.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4 / 23.5.1 — Incinération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Contradiction : interdiction de tout brûlage vs présence d'un « Journal d'incinération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Lever l'incohérence ; si incinération, appliquer les normes correspondantes.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18484-2020 (déchets dangereux) ; GB 18485-2014 (déchets ménagers).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Garantit la cohérence interne du document et la conformité en cas d'incinération.</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23.4.1 / Tableau 2 — Eaux usées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Contenu relatif aux eaux usées hors périmètre d'un plan de déchets solides.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Retrait ou déplacement vers le plan de gestion des effluents/eaux.</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Cohérence de périmètre (conforme aux observations antérieures).</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le chevauchement et l'incohérence de périmètre entre les plans thématiques.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23.4.1 — Étanchéité du parc à résidus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Spécifications d'étanchéité non chiffrées.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Géomembrane PEHD ≥ 1,5 mm, perméabilité ≤ 1×10⁻⁷ cm/s ; GB 18598-2019 si déchet dangereux.</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18599-2020 ; GB 18598-2019.</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Dimensionne la barrière anti-infiltration selon la classe du déchet stocké.</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23.4.1 — Surveillance des eaux souterraines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Réseau de puits, paramètres et fréquence non définis.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Puits amont (référence) + aval ; paramètres ciblés ; fréquence trimestrielle ; état de référence.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GB/T 14848-2017 ; HJ 25.1 / HJ 610.</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Permet la détection précoce de toute contamination des eaux souterraines.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23.4.1 — Aire de stockage des déchets dangereux</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Spécifications de conception de l'aire non détaillées.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Sol imperméable, rétention étanche, séparation des incompatibles, pictogrammes, durée ≤ 1 an.</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18597-2001 ; GB 15562.2.</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Fixe la conception normée du stockage temporaire des déchets dangereux.</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5 — Installations hors site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Qualification et capacité des filières non vérifiées.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Vérification préalable des agréments ; solution intérimaire sur site ; traçabilité documentée.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Lignes directrices MOFCOM/MEE (2022) ; Convention de Bâle.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La China Exim Bank exige une chaîne de traçabilité documentée jusqu'à l'élimination finale.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23.5.1 — Conservation des registres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Durée de conservation (3 ans) inférieure à la pratique chinoise.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Porter la conservation à ≥ 5 ans ; adopter le bordereau de suivi (联单), de préférence électronique.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Loi RPC sur les déchets solides (2020) ; HJ 1259-2022.</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Aligne la conservation documentaire sur les exigences chinoises de traçabilité des déchets dangereux.</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23.4.1 — Classe du parc à résidus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Classe III mentionnée sans référentiel de classification.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Préciser la classification selon la capacité de stockage et la hauteur de digue.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Confirme la cohérence de la classe retenue et des prescriptions de sécurité associées.</w:t>
            </w:r>
          </w:p>
        </w:tc>
      </w:tr>
    </w:tbl>
    <w:p>
      <w:pPr>
        <w:spacing w:before="200"/>
      </w:pPr>
      <w:r>
        <w:rPr>
          <w:rFonts w:ascii="Arial" w:cs="Arial" w:eastAsia="Arial" w:hAnsi="Arial"/>
          <w:i/>
          <w:iCs/>
          <w:color w:val="7F7F7F"/>
          <w:sz w:val="15"/>
          <w:szCs w:val="15"/>
        </w:rPr>
        <w:t xml:space="preserve">Note : les codes « HW » renvoient au Catalogue national des déchets dangereux de la RPC (2021). Les normes « GB » sont des normes nationales chinoises obligatoires ; les normes « GB/T » sont recommandées ; les normes « HJ » sont des normes sectorielles de protection de l'environnement.</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des corrections et améliorations — Chapitre 23 Plan de gestion des déchets</dc:title>
  <dc:creator>Dr IBRAHIMA DIALLO</dc:creator>
  <cp:lastModifiedBy>Un-named</cp:lastModifiedBy>
  <cp:revision>1</cp:revision>
  <dcterms:created xsi:type="dcterms:W3CDTF">2026-08-09T03:24:14.335Z</dcterms:created>
  <dcterms:modified xsi:type="dcterms:W3CDTF">2026-08-09T03:24:14.335Z</dcterms:modified>
</cp:coreProperties>
</file>

<file path=docProps/custom.xml><?xml version="1.0" encoding="utf-8"?>
<Properties xmlns="http://schemas.openxmlformats.org/officeDocument/2006/custom-properties" xmlns:vt="http://schemas.openxmlformats.org/officeDocument/2006/docPropsVTypes"/>
</file>