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sz w:val="24"/>
          <w:szCs w:val="24"/>
        </w:rPr>
        <w:t xml:space="preserve"> </w:t>
      </w:r>
    </w:p>
    <w:p>
      <w:pPr>
        <w:spacing w:after="40"/>
        <w:jc w:val="center"/>
      </w:pPr>
      <w:r>
        <w:rPr>
          <w:rFonts w:ascii="Calibri" w:cs="Calibri" w:eastAsia="Calibri" w:hAnsi="Calibri"/>
          <w:b/>
          <w:bCs/>
          <w:color w:val="1F4E79"/>
          <w:sz w:val="26"/>
          <w:szCs w:val="26"/>
        </w:rPr>
        <w:t xml:space="preserve">RÉPUBLIQUE DE GUINÉE</w:t>
      </w:r>
    </w:p>
    <w:p>
      <w:pPr>
        <w:spacing w:after="40"/>
        <w:jc w:val="center"/>
      </w:pPr>
      <w:r>
        <w:rPr>
          <w:rFonts w:ascii="Calibri" w:cs="Calibri" w:eastAsia="Calibri" w:hAnsi="Calibri"/>
          <w:i/>
          <w:iCs/>
          <w:color w:val="1A1A1A"/>
          <w:sz w:val="20"/>
          <w:szCs w:val="20"/>
        </w:rPr>
        <w:t xml:space="preserve">Travail — Justice — Solidarité</w:t>
      </w:r>
    </w:p>
    <w:p>
      <w:pPr>
        <w:spacing w:after="40"/>
        <w:jc w:val="center"/>
      </w:pPr>
      <w:r>
        <w:rPr>
          <w:rFonts w:ascii="Calibri" w:cs="Calibri" w:eastAsia="Calibri" w:hAnsi="Calibri"/>
          <w:color w:val="70AD47"/>
          <w:sz w:val="20"/>
          <w:szCs w:val="20"/>
        </w:rPr>
        <w:t xml:space="preserve">★★★★★★★★★★</w:t>
      </w:r>
    </w:p>
    <w:p>
      <w:pPr>
        <w:spacing w:after="40"/>
        <w:jc w:val="center"/>
      </w:pPr>
      <w:r>
        <w:rPr>
          <w:rFonts w:ascii="Calibri" w:cs="Calibri" w:eastAsia="Calibri" w:hAnsi="Calibri"/>
          <w:b/>
          <w:bCs/>
          <w:color w:val="1F4E79"/>
          <w:sz w:val="22"/>
          <w:szCs w:val="22"/>
        </w:rPr>
        <w:t xml:space="preserve">MINISTÈRE DES INFRASTRUCTURES</w:t>
      </w:r>
    </w:p>
    <w:p>
      <w:pPr>
        <w:spacing w:after="40"/>
        <w:jc w:val="center"/>
      </w:pPr>
      <w:r>
        <w:rPr>
          <w:rFonts w:ascii="Calibri" w:cs="Calibri" w:eastAsia="Calibri" w:hAnsi="Calibri"/>
          <w:i/>
          <w:iCs/>
          <w:color w:val="1A1A1A"/>
          <w:sz w:val="20"/>
          <w:szCs w:val="20"/>
        </w:rPr>
        <w:t xml:space="preserve">AGEROUTE GUINÉE</w:t>
      </w:r>
    </w:p>
    <w:p>
      <w:pPr>
        <w:spacing w:after="300"/>
        <w:jc w:val="center"/>
      </w:pPr>
      <w:r>
        <w:rPr>
          <w:rFonts w:ascii="Calibri" w:cs="Calibri" w:eastAsia="Calibri" w:hAnsi="Calibri"/>
          <w:i/>
          <w:iCs/>
          <w:color w:val="1A1A1A"/>
          <w:sz w:val="20"/>
          <w:szCs w:val="20"/>
        </w:rPr>
        <w:t xml:space="preserve">Unité de Gestion du Projet (UGP)</w:t>
      </w:r>
    </w:p>
    <w:p>
      <w:pPr>
        <w:pBdr>
          <w:top w:val="thick" w:color="1F4E79" w:sz="18"/>
          <w:left w:val="thick" w:color="1F4E79" w:sz="18"/>
          <w:right w:val="thick" w:color="1F4E79" w:sz="18"/>
        </w:pBdr>
        <w:spacing w:after="80" w:before="200"/>
        <w:jc w:val="center"/>
      </w:pPr>
      <w:r>
        <w:rPr>
          <w:rFonts w:ascii="Calibri" w:cs="Calibri" w:eastAsia="Calibri" w:hAnsi="Calibri"/>
          <w:b/>
          <w:bCs/>
          <w:color w:val="1F4E79"/>
          <w:sz w:val="24"/>
          <w:szCs w:val="24"/>
        </w:rPr>
        <w:t xml:space="preserve">PROJET DE CONSTRUCTION ET DE BITUMAGE</w:t>
      </w:r>
    </w:p>
    <w:p>
      <w:pPr>
        <w:pBdr>
          <w:left w:val="thick" w:color="1F4E79" w:sz="18"/>
          <w:right w:val="thick" w:color="1F4E79" w:sz="18"/>
        </w:pBdr>
        <w:spacing w:after="80"/>
        <w:jc w:val="center"/>
      </w:pPr>
      <w:r>
        <w:rPr>
          <w:rFonts w:ascii="Calibri" w:cs="Calibri" w:eastAsia="Calibri" w:hAnsi="Calibri"/>
          <w:b/>
          <w:bCs/>
          <w:color w:val="1F4E79"/>
          <w:sz w:val="26"/>
          <w:szCs w:val="26"/>
        </w:rPr>
        <w:t xml:space="preserve">DE LA ROUTE LABÉ — MALI (107 km)</w:t>
      </w:r>
    </w:p>
    <w:p>
      <w:pPr>
        <w:pBdr>
          <w:bottom w:val="single" w:color="2E75B6" w:sz="6"/>
          <w:left w:val="thick" w:color="1F4E79" w:sz="18"/>
          <w:right w:val="thick" w:color="1F4E79" w:sz="18"/>
        </w:pBdr>
        <w:spacing w:after="200"/>
        <w:jc w:val="center"/>
      </w:pPr>
      <w:r>
        <w:rPr>
          <w:rFonts w:ascii="Calibri" w:cs="Calibri" w:eastAsia="Calibri" w:hAnsi="Calibri"/>
          <w:b/>
          <w:bCs/>
          <w:i/>
          <w:iCs/>
          <w:color w:val="1A1A1A"/>
          <w:sz w:val="22"/>
          <w:szCs w:val="22"/>
        </w:rPr>
        <w:t xml:space="preserve">Projet N° GIN 1019</w:t>
      </w:r>
    </w:p>
    <w:p>
      <w:pPr>
        <w:pBdr>
          <w:top w:val="single" w:color="2E75B6" w:sz="6"/>
          <w:left w:val="thick" w:color="1F4E79" w:sz="18"/>
          <w:right w:val="thick" w:color="1F4E79" w:sz="18"/>
        </w:pBdr>
        <w:spacing w:after="120" w:before="200"/>
        <w:jc w:val="center"/>
      </w:pPr>
      <w:r>
        <w:rPr>
          <w:rFonts w:ascii="Calibri" w:cs="Calibri" w:eastAsia="Calibri" w:hAnsi="Calibri"/>
          <w:b/>
          <w:bCs/>
          <w:caps/>
          <w:color w:val="70AD47"/>
          <w:sz w:val="30"/>
          <w:szCs w:val="30"/>
        </w:rPr>
        <w:t xml:space="preserve">PROPOSITION FINANCIÈRE</w:t>
      </w:r>
    </w:p>
    <w:p>
      <w:pPr>
        <w:pBdr>
          <w:left w:val="thick" w:color="1F4E79" w:sz="18"/>
          <w:right w:val="thick" w:color="1F4E79" w:sz="18"/>
        </w:pBdr>
        <w:spacing w:after="160"/>
        <w:jc w:val="center"/>
      </w:pPr>
      <w:r>
        <w:rPr>
          <w:rFonts w:ascii="Calibri" w:cs="Calibri" w:eastAsia="Calibri" w:hAnsi="Calibri"/>
          <w:b/>
          <w:bCs/>
          <w:color w:val="1F4E79"/>
          <w:sz w:val="24"/>
          <w:szCs w:val="24"/>
        </w:rPr>
        <w:t xml:space="preserve">Plan d'Action de Réinstallation (PAR)</w:t>
      </w:r>
    </w:p>
    <w:p>
      <w:pPr>
        <w:pBdr>
          <w:bottom w:val="thick" w:color="1F4E79" w:sz="18"/>
          <w:left w:val="thick" w:color="1F4E79" w:sz="18"/>
          <w:right w:val="thick" w:color="1F4E79" w:sz="18"/>
        </w:pBdr>
        <w:spacing w:after="120"/>
        <w:jc w:val="center"/>
      </w:pPr>
      <w:r>
        <w:rPr>
          <w:rFonts w:ascii="Calibri" w:cs="Calibri" w:eastAsia="Calibri" w:hAnsi="Calibri"/>
          <w:b/>
          <w:bCs/>
          <w:color w:val="70AD47"/>
          <w:sz w:val="26"/>
          <w:szCs w:val="26"/>
        </w:rPr>
        <w:t xml:space="preserve">Montant total HT : 154 800 EUR</w:t>
      </w:r>
    </w:p>
    <w:p>
      <w:pPr>
        <w:spacing w:after="100"/>
      </w:pPr>
      <w:r>
        <w:rPr>
          <w:rFonts w:ascii="Calibri" w:cs="Calibri" w:eastAsia="Calibri" w:hAnsi="Calibri"/>
          <w:sz w:val="28"/>
          <w:szCs w:val="28"/>
        </w:rPr>
        <w:t xml:space="preserve"> </w:t>
      </w:r>
    </w:p>
    <w:p>
      <w:pPr>
        <w:spacing w:after="60"/>
        <w:jc w:val="center"/>
      </w:pPr>
      <w:r>
        <w:rPr>
          <w:rFonts w:ascii="Calibri" w:cs="Calibri" w:eastAsia="Calibri" w:hAnsi="Calibri"/>
          <w:b/>
          <w:bCs/>
          <w:color w:val="1A1A1A"/>
          <w:sz w:val="20"/>
          <w:szCs w:val="20"/>
        </w:rPr>
        <w:t xml:space="preserve">MAÎTRE D'OUVRAGE :</w:t>
      </w:r>
    </w:p>
    <w:p>
      <w:pPr>
        <w:spacing w:after="40"/>
        <w:jc w:val="center"/>
      </w:pPr>
      <w:r>
        <w:rPr>
          <w:rFonts w:ascii="Calibri" w:cs="Calibri" w:eastAsia="Calibri" w:hAnsi="Calibri"/>
          <w:i/>
          <w:iCs/>
          <w:color w:val="1A1A1A"/>
          <w:sz w:val="20"/>
          <w:szCs w:val="20"/>
        </w:rPr>
        <w:t xml:space="preserve">Ministère des Infrastructures —  AGEROUTE GUINÉE — Unité de Gestion du Projet (UGP/GIN 1019)</w:t>
      </w:r>
    </w:p>
    <w:p>
      <w:pPr>
        <w:spacing w:after="100"/>
      </w:pPr>
      <w:r>
        <w:rPr>
          <w:rFonts w:ascii="Calibri" w:cs="Calibri" w:eastAsia="Calibri" w:hAnsi="Calibri"/>
          <w:sz w:val="22"/>
          <w:szCs w:val="22"/>
        </w:rPr>
        <w:t xml:space="preserve"> </w:t>
      </w:r>
    </w:p>
    <w:p>
      <w:pPr>
        <w:spacing w:after="60"/>
        <w:jc w:val="center"/>
      </w:pPr>
      <w:r>
        <w:rPr>
          <w:rFonts w:ascii="Calibri" w:cs="Calibri" w:eastAsia="Calibri" w:hAnsi="Calibri"/>
          <w:b/>
          <w:bCs/>
          <w:color w:val="1A1A1A"/>
          <w:sz w:val="20"/>
          <w:szCs w:val="20"/>
        </w:rPr>
        <w:t xml:space="preserve">FINANCEMENT :</w:t>
      </w:r>
    </w:p>
    <w:p>
      <w:pPr>
        <w:spacing w:after="40"/>
        <w:jc w:val="center"/>
      </w:pPr>
      <w:r>
        <w:rPr>
          <w:rFonts w:ascii="Calibri" w:cs="Calibri" w:eastAsia="Calibri" w:hAnsi="Calibri"/>
          <w:i/>
          <w:iCs/>
          <w:color w:val="1F4E79"/>
          <w:sz w:val="20"/>
          <w:szCs w:val="20"/>
        </w:rPr>
        <w:t xml:space="preserve">Banque Islamique de Développement (BIsD)</w:t>
      </w:r>
    </w:p>
    <w:p>
      <w:pPr>
        <w:spacing w:after="100"/>
      </w:pPr>
      <w:r>
        <w:rPr>
          <w:rFonts w:ascii="Calibri" w:cs="Calibri" w:eastAsia="Calibri" w:hAnsi="Calibri"/>
          <w:sz w:val="22"/>
          <w:szCs w:val="22"/>
        </w:rPr>
        <w:t xml:space="preserve"> </w:t>
      </w:r>
    </w:p>
    <w:p>
      <w:pPr>
        <w:pBdr>
          <w:top w:val="double" w:color="70AD47" w:sz="10"/>
          <w:left w:val="double" w:color="70AD47" w:sz="10"/>
          <w:right w:val="double" w:color="70AD47" w:sz="10"/>
        </w:pBdr>
        <w:spacing w:after="60" w:before="120"/>
        <w:jc w:val="center"/>
      </w:pPr>
      <w:r>
        <w:rPr>
          <w:rFonts w:ascii="Calibri" w:cs="Calibri" w:eastAsia="Calibri" w:hAnsi="Calibri"/>
          <w:b/>
          <w:bCs/>
          <w:color w:val="70AD47"/>
          <w:sz w:val="22"/>
          <w:szCs w:val="22"/>
        </w:rPr>
        <w:t xml:space="preserve">CONSULTANT INDIVIDUEL SOUMISSIONNAIRE</w:t>
      </w:r>
    </w:p>
    <w:p>
      <w:pPr>
        <w:pBdr>
          <w:left w:val="double" w:color="70AD47" w:sz="10"/>
          <w:right w:val="double" w:color="70AD47" w:sz="10"/>
        </w:pBdr>
        <w:spacing w:after="60"/>
        <w:jc w:val="center"/>
      </w:pPr>
      <w:r>
        <w:rPr>
          <w:rFonts w:ascii="Calibri" w:cs="Calibri" w:eastAsia="Calibri" w:hAnsi="Calibri"/>
          <w:b/>
          <w:bCs/>
          <w:color w:val="1F4E79"/>
          <w:sz w:val="24"/>
          <w:szCs w:val="24"/>
        </w:rPr>
        <w:t xml:space="preserve">Monsieur IDANI Mindri</w:t>
      </w:r>
    </w:p>
    <w:p>
      <w:pPr>
        <w:pBdr>
          <w:left w:val="double" w:color="70AD47" w:sz="10"/>
          <w:right w:val="double" w:color="70AD47" w:sz="10"/>
        </w:pBdr>
        <w:spacing w:after="60"/>
        <w:jc w:val="center"/>
      </w:pPr>
      <w:r>
        <w:rPr>
          <w:rFonts w:ascii="Calibri" w:cs="Calibri" w:eastAsia="Calibri" w:hAnsi="Calibri"/>
          <w:i/>
          <w:iCs/>
          <w:color w:val="1A1A1A"/>
          <w:sz w:val="20"/>
          <w:szCs w:val="20"/>
        </w:rPr>
        <w:t xml:space="preserve">Docteur en Gestion de l'Environnement et Aménagement du Territoire</w:t>
      </w:r>
    </w:p>
    <w:p>
      <w:pPr>
        <w:pBdr>
          <w:left w:val="double" w:color="70AD47" w:sz="10"/>
          <w:right w:val="double" w:color="70AD47" w:sz="10"/>
        </w:pBdr>
        <w:spacing w:after="60"/>
        <w:jc w:val="center"/>
      </w:pPr>
      <w:r>
        <w:rPr>
          <w:rFonts w:ascii="Calibri" w:cs="Calibri" w:eastAsia="Calibri" w:hAnsi="Calibri"/>
          <w:color w:val="1A1A1A"/>
          <w:sz w:val="18"/>
          <w:szCs w:val="18"/>
        </w:rPr>
        <w:t xml:space="preserve">CIP : 6505393227 — Béninois — Résidence : Abomey-Calavi (BÉNIN)</w:t>
      </w:r>
    </w:p>
    <w:p>
      <w:pPr>
        <w:pBdr>
          <w:left w:val="double" w:color="70AD47" w:sz="10"/>
          <w:right w:val="double" w:color="70AD47" w:sz="10"/>
        </w:pBdr>
        <w:spacing w:after="60"/>
        <w:jc w:val="center"/>
      </w:pPr>
      <w:r>
        <w:rPr>
          <w:rFonts w:ascii="Calibri" w:cs="Calibri" w:eastAsia="Calibri" w:hAnsi="Calibri"/>
          <w:color w:val="1A1A1A"/>
          <w:sz w:val="18"/>
          <w:szCs w:val="18"/>
        </w:rPr>
        <w:t xml:space="preserve">Tél. : (+229) 96 01 94 24 / (+224) 624 56 62 71</w:t>
      </w:r>
    </w:p>
    <w:p>
      <w:pPr>
        <w:pBdr>
          <w:bottom w:val="double" w:color="70AD47" w:sz="10"/>
          <w:left w:val="double" w:color="70AD47" w:sz="10"/>
          <w:right w:val="double" w:color="70AD47" w:sz="10"/>
        </w:pBdr>
        <w:spacing w:after="60"/>
        <w:jc w:val="center"/>
      </w:pPr>
      <w:r>
        <w:rPr>
          <w:rFonts w:ascii="Calibri" w:cs="Calibri" w:eastAsia="Calibri" w:hAnsi="Calibri"/>
          <w:color w:val="1A1A1A"/>
          <w:sz w:val="18"/>
          <w:szCs w:val="18"/>
        </w:rPr>
        <w:t xml:space="preserve">E-mail : idanimin@gmail.com</w:t>
      </w:r>
    </w:p>
    <w:p>
      <w:pPr>
        <w:spacing w:after="100"/>
      </w:pPr>
      <w:r>
        <w:rPr>
          <w:rFonts w:ascii="Calibri" w:cs="Calibri" w:eastAsia="Calibri" w:hAnsi="Calibri"/>
          <w:sz w:val="26"/>
          <w:szCs w:val="26"/>
        </w:rPr>
        <w:t xml:space="preserve"> </w:t>
      </w:r>
    </w:p>
    <w:p>
      <w:pPr>
        <w:jc w:val="center"/>
      </w:pPr>
      <w:r>
        <w:rPr>
          <w:rFonts w:ascii="Calibri" w:cs="Calibri" w:eastAsia="Calibri" w:hAnsi="Calibri"/>
          <w:b/>
          <w:bCs/>
          <w:color w:val="1F4E79"/>
          <w:sz w:val="24"/>
          <w:szCs w:val="24"/>
        </w:rPr>
        <w:t xml:space="preserve">15 août 2026</w:t>
      </w:r>
    </w:p>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Lettre de soumission — Proposition financière</w:t>
      </w:r>
    </w:p>
    <w:p>
      <w:pPr>
        <w:spacing w:after="100"/>
      </w:pPr>
      <w:r>
        <w:rPr>
          <w:rFonts w:ascii="Calibri" w:cs="Calibri" w:eastAsia="Calibri" w:hAnsi="Calibri"/>
          <w:sz w:val="22"/>
          <w:szCs w:val="22"/>
        </w:rPr>
        <w:t xml:space="preserve"> </w:t>
      </w:r>
    </w:p>
    <w:p>
      <w:pPr>
        <w:spacing w:after="200"/>
        <w:jc w:val="right"/>
      </w:pPr>
      <w:r>
        <w:rPr>
          <w:rFonts w:ascii="Calibri" w:cs="Calibri" w:eastAsia="Calibri" w:hAnsi="Calibri"/>
          <w:b/>
          <w:bCs/>
          <w:i w:val="false"/>
          <w:iCs w:val="false"/>
          <w:color w:val="1A1A1A"/>
          <w:sz w:val="22"/>
          <w:szCs w:val="22"/>
        </w:rPr>
        <w:t xml:space="preserve">Cotonou, le 15 août 2026</w:t>
      </w:r>
    </w:p>
    <w:p>
      <w:pPr>
        <w:spacing w:after="100"/>
      </w:pPr>
      <w:r>
        <w:rPr>
          <w:rFonts w:ascii="Calibri" w:cs="Calibri" w:eastAsia="Calibri" w:hAnsi="Calibri"/>
          <w:sz w:val="22"/>
          <w:szCs w:val="22"/>
        </w:rPr>
        <w:t xml:space="preserve"> </w:t>
      </w:r>
    </w:p>
    <w:p>
      <w:pPr>
        <w:spacing w:after="120" w:line="300"/>
        <w:jc w:val="left"/>
      </w:pPr>
      <w:r>
        <w:rPr>
          <w:rFonts w:ascii="Calibri" w:cs="Calibri" w:eastAsia="Calibri" w:hAnsi="Calibri"/>
          <w:b/>
          <w:bCs/>
          <w:i w:val="false"/>
          <w:iCs w:val="false"/>
          <w:color w:val="1A1A1A"/>
          <w:sz w:val="22"/>
          <w:szCs w:val="22"/>
        </w:rPr>
        <w:t xml:space="preserve">Monsieur le Coordonnateur,</w:t>
      </w:r>
    </w:p>
    <w:p>
      <w:pPr>
        <w:spacing w:after="120" w:line="300"/>
        <w:jc w:val="both"/>
      </w:pPr>
      <w:r>
        <w:rPr>
          <w:rFonts w:ascii="Calibri" w:cs="Calibri" w:eastAsia="Calibri" w:hAnsi="Calibri"/>
          <w:b w:val="false"/>
          <w:bCs w:val="false"/>
          <w:i w:val="false"/>
          <w:iCs w:val="false"/>
          <w:color w:val="1A1A1A"/>
          <w:sz w:val="22"/>
          <w:szCs w:val="22"/>
        </w:rPr>
        <w:t xml:space="preserve">Unité de Gestion du Projet GIN 1019 (UGP)</w:t>
      </w:r>
    </w:p>
    <w:p>
      <w:pPr>
        <w:spacing w:after="120" w:line="300"/>
        <w:jc w:val="both"/>
      </w:pPr>
      <w:r>
        <w:rPr>
          <w:rFonts w:ascii="Calibri" w:cs="Calibri" w:eastAsia="Calibri" w:hAnsi="Calibri"/>
          <w:b w:val="false"/>
          <w:bCs w:val="false"/>
          <w:i w:val="false"/>
          <w:iCs w:val="false"/>
          <w:color w:val="1A1A1A"/>
          <w:sz w:val="22"/>
          <w:szCs w:val="22"/>
        </w:rPr>
        <w:t xml:space="preserve">AGEROUTE GUINÉE — Ministère des Infrastructures</w:t>
      </w:r>
    </w:p>
    <w:p>
      <w:pPr>
        <w:spacing w:after="240"/>
        <w:jc w:val="both"/>
      </w:pPr>
      <w:r>
        <w:rPr>
          <w:rFonts w:ascii="Calibri" w:cs="Calibri" w:eastAsia="Calibri" w:hAnsi="Calibri"/>
          <w:b w:val="false"/>
          <w:bCs w:val="false"/>
          <w:i w:val="false"/>
          <w:iCs w:val="false"/>
          <w:color w:val="1A1A1A"/>
          <w:sz w:val="22"/>
          <w:szCs w:val="22"/>
        </w:rPr>
        <w:t xml:space="preserve">République de Guinée — Conakry</w:t>
      </w:r>
    </w:p>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bCs/>
          <w:i w:val="false"/>
          <w:iCs w:val="false"/>
          <w:color w:val="1A1A1A"/>
          <w:sz w:val="22"/>
          <w:szCs w:val="22"/>
        </w:rPr>
        <w:t xml:space="preserve">Objet : </w:t>
      </w:r>
      <w:r>
        <w:rPr>
          <w:rFonts w:ascii="Calibri" w:cs="Calibri" w:eastAsia="Calibri" w:hAnsi="Calibri"/>
          <w:b w:val="false"/>
          <w:bCs w:val="false"/>
          <w:i w:val="false"/>
          <w:iCs w:val="false"/>
          <w:color w:val="1A1A1A"/>
          <w:sz w:val="22"/>
          <w:szCs w:val="22"/>
        </w:rPr>
        <w:t xml:space="preserve">Soumission de la proposition financière pour </w:t>
      </w:r>
      <w:r>
        <w:rPr>
          <w:rFonts w:ascii="Calibri" w:cs="Calibri" w:eastAsia="Calibri" w:hAnsi="Calibri"/>
          <w:b/>
          <w:bCs/>
          <w:i w:val="false"/>
          <w:iCs w:val="false"/>
          <w:color w:val="1A1A1A"/>
          <w:sz w:val="22"/>
          <w:szCs w:val="22"/>
        </w:rPr>
        <w:t xml:space="preserve">l'élaboration du Plan d'Action de Réinstallation (PAR) </w:t>
      </w:r>
      <w:r>
        <w:rPr>
          <w:rFonts w:ascii="Calibri" w:cs="Calibri" w:eastAsia="Calibri" w:hAnsi="Calibri"/>
          <w:b w:val="false"/>
          <w:bCs w:val="false"/>
          <w:i w:val="false"/>
          <w:iCs w:val="false"/>
          <w:color w:val="1A1A1A"/>
          <w:sz w:val="22"/>
          <w:szCs w:val="22"/>
        </w:rPr>
        <w:t xml:space="preserve">du Projet de construction et de bitumage de la route Labé-Mali (107 km) — Projet N° GIN 1019.</w:t>
      </w:r>
    </w:p>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val="false"/>
          <w:bCs w:val="false"/>
          <w:i w:val="false"/>
          <w:iCs w:val="false"/>
          <w:color w:val="1A1A1A"/>
          <w:sz w:val="22"/>
          <w:szCs w:val="22"/>
        </w:rPr>
        <w:t xml:space="preserve">Monsieur le Coordonnateur,</w:t>
      </w:r>
    </w:p>
    <w:p>
      <w:pPr>
        <w:spacing w:after="120" w:line="300"/>
        <w:jc w:val="both"/>
      </w:pPr>
      <w:r>
        <w:rPr>
          <w:rFonts w:ascii="Calibri" w:cs="Calibri" w:eastAsia="Calibri" w:hAnsi="Calibri"/>
          <w:b w:val="false"/>
          <w:bCs w:val="false"/>
          <w:i w:val="false"/>
          <w:iCs w:val="false"/>
          <w:color w:val="1A1A1A"/>
          <w:sz w:val="22"/>
          <w:szCs w:val="22"/>
        </w:rPr>
        <w:t xml:space="preserve">En complément de ma proposition technique soumise en réponse aux Termes de Référence (TDR) que vous avez bien voulu me transmettre le 25 juillet 2026, j'ai l'honneur, en ma qualité de Consultant Individuel, de vous soumettre la présente proposition financière pour la mission citée en objet.</w:t>
      </w:r>
    </w:p>
    <w:p>
      <w:pPr>
        <w:spacing w:after="120" w:line="300"/>
        <w:jc w:val="both"/>
      </w:pPr>
      <w:r>
        <w:rPr>
          <w:rFonts w:ascii="Calibri" w:cs="Calibri" w:eastAsia="Calibri" w:hAnsi="Calibri"/>
          <w:b w:val="false"/>
          <w:bCs w:val="false"/>
          <w:i w:val="false"/>
          <w:iCs w:val="false"/>
          <w:color w:val="1A1A1A"/>
          <w:sz w:val="22"/>
          <w:szCs w:val="22"/>
        </w:rPr>
        <w:t xml:space="preserve">Le montant total forfaitaire hors taxes de ma proposition s'élève à </w:t>
      </w:r>
      <w:r>
        <w:rPr>
          <w:rFonts w:ascii="Calibri" w:cs="Calibri" w:eastAsia="Calibri" w:hAnsi="Calibri"/>
          <w:b/>
          <w:bCs/>
          <w:i w:val="false"/>
          <w:iCs w:val="false"/>
          <w:color w:val="1F4E79"/>
          <w:sz w:val="22"/>
          <w:szCs w:val="22"/>
        </w:rPr>
        <w:t xml:space="preserve">154 800 EUR (cent cinquante-quatre mille huit cents euros). </w:t>
      </w:r>
      <w:r>
        <w:rPr>
          <w:rFonts w:ascii="Calibri" w:cs="Calibri" w:eastAsia="Calibri" w:hAnsi="Calibri"/>
          <w:b w:val="false"/>
          <w:bCs w:val="false"/>
          <w:i w:val="false"/>
          <w:iCs w:val="false"/>
          <w:color w:val="1A1A1A"/>
          <w:sz w:val="22"/>
          <w:szCs w:val="22"/>
        </w:rPr>
        <w:t xml:space="preserve">Ce montant couvre l'intégralité des prestations définies dans ma proposition technique, y compris la rémunération de mon équipe multidisciplinaire, les frais de déplacement et de séjour, l'organisation des consultations publiques et des ateliers de validation, la production et la reproduction des livrables, ainsi que l'ensemble des frais connexes nécessaires à la bonne exécution de la mission.</w:t>
      </w:r>
    </w:p>
    <w:p>
      <w:pPr>
        <w:spacing w:after="120" w:line="300"/>
        <w:jc w:val="both"/>
      </w:pPr>
      <w:r>
        <w:rPr>
          <w:rFonts w:ascii="Calibri" w:cs="Calibri" w:eastAsia="Calibri" w:hAnsi="Calibri"/>
          <w:b w:val="false"/>
          <w:bCs w:val="false"/>
          <w:i w:val="false"/>
          <w:iCs w:val="false"/>
          <w:color w:val="1A1A1A"/>
          <w:sz w:val="22"/>
          <w:szCs w:val="22"/>
        </w:rPr>
        <w:t xml:space="preserve">Cette proposition est ferme et non révisable pendant la durée de validité de cent vingt (120) jours à compter de la date limite de remise des manifestations d'intérêt. Je m'engage à exécuter les prestations conformément à la proposition technique soumise, dans les délais contractuels et au prix forfaitaire convenu.</w:t>
      </w:r>
    </w:p>
    <w:p>
      <w:pPr>
        <w:spacing w:after="120" w:line="300"/>
        <w:jc w:val="both"/>
      </w:pPr>
      <w:r>
        <w:rPr>
          <w:rFonts w:ascii="Calibri" w:cs="Calibri" w:eastAsia="Calibri" w:hAnsi="Calibri"/>
          <w:b w:val="false"/>
          <w:bCs w:val="false"/>
          <w:i w:val="false"/>
          <w:iCs w:val="false"/>
          <w:color w:val="1A1A1A"/>
          <w:sz w:val="22"/>
          <w:szCs w:val="22"/>
        </w:rPr>
        <w:t xml:space="preserve">Les modalités de paiement proposées sont précisées dans le corps de la présente proposition. Je reste à votre entière disposition pour toute négociation financière jugée nécessaire.</w:t>
      </w:r>
    </w:p>
    <w:p>
      <w:pPr>
        <w:spacing w:after="400"/>
        <w:jc w:val="both"/>
      </w:pPr>
      <w:r>
        <w:rPr>
          <w:rFonts w:ascii="Calibri" w:cs="Calibri" w:eastAsia="Calibri" w:hAnsi="Calibri"/>
          <w:b w:val="false"/>
          <w:bCs w:val="false"/>
          <w:i w:val="false"/>
          <w:iCs w:val="false"/>
          <w:color w:val="1A1A1A"/>
          <w:sz w:val="22"/>
          <w:szCs w:val="22"/>
        </w:rPr>
        <w:t xml:space="preserve">Veuillez agréer, Monsieur le Coordonnateur, l'expression de ma considération distinguée.</w:t>
      </w:r>
    </w:p>
    <w:p>
      <w:pPr>
        <w:spacing w:after="100"/>
      </w:pPr>
      <w:r>
        <w:rPr>
          <w:rFonts w:ascii="Calibri" w:cs="Calibri" w:eastAsia="Calibri" w:hAnsi="Calibri"/>
          <w:sz w:val="22"/>
          <w:szCs w:val="22"/>
        </w:rPr>
        <w:t xml:space="preserve"> </w:t>
      </w:r>
    </w:p>
    <w:p>
      <w:pPr>
        <w:spacing w:after="100"/>
      </w:pPr>
      <w:r>
        <w:rPr>
          <w:rFonts w:ascii="Calibri" w:cs="Calibri" w:eastAsia="Calibri" w:hAnsi="Calibri"/>
          <w:sz w:val="22"/>
          <w:szCs w:val="22"/>
        </w:rPr>
        <w:t xml:space="preserve"> </w:t>
      </w:r>
    </w:p>
    <w:p>
      <w:pPr>
        <w:spacing w:after="120" w:line="300"/>
        <w:jc w:val="right"/>
      </w:pPr>
      <w:r>
        <w:rPr>
          <w:rFonts w:ascii="Calibri" w:cs="Calibri" w:eastAsia="Calibri" w:hAnsi="Calibri"/>
          <w:b/>
          <w:bCs/>
          <w:i w:val="false"/>
          <w:iCs w:val="false"/>
          <w:color w:val="1A1A1A"/>
          <w:sz w:val="22"/>
          <w:szCs w:val="22"/>
        </w:rPr>
        <w:t xml:space="preserve">Le Consultant Individuel,</w:t>
      </w:r>
    </w:p>
    <w:p>
      <w:pPr>
        <w:spacing w:after="120" w:line="300"/>
        <w:jc w:val="right"/>
      </w:pPr>
      <w:r>
        <w:rPr>
          <w:rFonts w:ascii="Calibri" w:cs="Calibri" w:eastAsia="Calibri" w:hAnsi="Calibri"/>
          <w:b/>
          <w:bCs/>
          <w:i w:val="false"/>
          <w:iCs w:val="false"/>
          <w:color w:val="1F4E79"/>
          <w:sz w:val="22"/>
          <w:szCs w:val="22"/>
        </w:rPr>
        <w:t xml:space="preserve">Dr Mindri IDANI</w:t>
      </w:r>
    </w:p>
    <w:p>
      <w:pPr>
        <w:spacing w:after="120" w:line="300"/>
        <w:jc w:val="right"/>
      </w:pPr>
      <w:r>
        <w:rPr>
          <w:rFonts w:ascii="Calibri" w:cs="Calibri" w:eastAsia="Calibri" w:hAnsi="Calibri"/>
          <w:b w:val="false"/>
          <w:bCs w:val="false"/>
          <w:i/>
          <w:iCs/>
          <w:color w:val="1A1A1A"/>
          <w:sz w:val="22"/>
          <w:szCs w:val="22"/>
        </w:rPr>
        <w:t xml:space="preserve">Expert en Sauvegardes Environnementales et Sociales</w:t>
      </w:r>
    </w:p>
    <w:p>
      <w:pPr>
        <w:spacing w:after="100"/>
      </w:pPr>
      <w:r>
        <w:rPr>
          <w:rFonts w:ascii="Calibri" w:cs="Calibri" w:eastAsia="Calibri" w:hAnsi="Calibri"/>
          <w:sz w:val="22"/>
          <w:szCs w:val="22"/>
        </w:rPr>
        <w:t xml:space="preserve"> </w:t>
      </w:r>
    </w:p>
    <w:p>
      <w:pPr>
        <w:spacing w:after="100"/>
      </w:pPr>
      <w:r>
        <w:rPr>
          <w:rFonts w:ascii="Calibri" w:cs="Calibri" w:eastAsia="Calibri" w:hAnsi="Calibri"/>
          <w:sz w:val="22"/>
          <w:szCs w:val="22"/>
        </w:rPr>
        <w:t xml:space="preserve"> </w:t>
      </w:r>
    </w:p>
    <w:p>
      <w:pPr>
        <w:spacing w:after="120" w:line="300"/>
        <w:jc w:val="right"/>
      </w:pPr>
      <w:r>
        <w:rPr>
          <w:rFonts w:ascii="Calibri" w:cs="Calibri" w:eastAsia="Calibri" w:hAnsi="Calibri"/>
          <w:b w:val="false"/>
          <w:bCs w:val="false"/>
          <w:i/>
          <w:iCs/>
          <w:color w:val="1A1A1A"/>
          <w:sz w:val="18"/>
          <w:szCs w:val="18"/>
        </w:rPr>
        <w:t xml:space="preserve">(Signature)</w:t>
      </w:r>
    </w:p>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Sommaire</w:t>
      </w:r>
    </w:p>
    <w:p>
      <w:pPr>
        <w:spacing w:after="80"/>
        <w:jc w:val="both"/>
      </w:pPr>
      <w:r>
        <w:rPr>
          <w:rFonts w:ascii="Calibri" w:cs="Calibri" w:eastAsia="Calibri" w:hAnsi="Calibri"/>
          <w:b w:val="false"/>
          <w:bCs w:val="false"/>
          <w:i w:val="false"/>
          <w:iCs w:val="false"/>
          <w:color w:val="1A1A1A"/>
          <w:sz w:val="22"/>
          <w:szCs w:val="22"/>
        </w:rPr>
        <w:t xml:space="preserve">Lettre de soumission — Proposition financière</w:t>
      </w:r>
    </w:p>
    <w:p>
      <w:pPr>
        <w:spacing w:after="80"/>
        <w:jc w:val="both"/>
      </w:pPr>
      <w:r>
        <w:rPr>
          <w:rFonts w:ascii="Calibri" w:cs="Calibri" w:eastAsia="Calibri" w:hAnsi="Calibri"/>
          <w:b w:val="false"/>
          <w:bCs w:val="false"/>
          <w:i w:val="false"/>
          <w:iCs w:val="false"/>
          <w:color w:val="1A1A1A"/>
          <w:sz w:val="22"/>
          <w:szCs w:val="22"/>
        </w:rPr>
        <w:t xml:space="preserve">1. Récapitulatif des coûts</w:t>
      </w:r>
    </w:p>
    <w:p>
      <w:pPr>
        <w:spacing w:after="80"/>
        <w:jc w:val="both"/>
      </w:pPr>
      <w:r>
        <w:rPr>
          <w:rFonts w:ascii="Calibri" w:cs="Calibri" w:eastAsia="Calibri" w:hAnsi="Calibri"/>
          <w:b w:val="false"/>
          <w:bCs w:val="false"/>
          <w:i w:val="false"/>
          <w:iCs w:val="false"/>
          <w:color w:val="1A1A1A"/>
          <w:sz w:val="22"/>
          <w:szCs w:val="22"/>
        </w:rPr>
        <w:t xml:space="preserve">2. Détail des coûts du personnel</w:t>
      </w:r>
    </w:p>
    <w:p>
      <w:pPr>
        <w:spacing w:after="80"/>
        <w:jc w:val="both"/>
      </w:pPr>
      <w:r>
        <w:rPr>
          <w:rFonts w:ascii="Calibri" w:cs="Calibri" w:eastAsia="Calibri" w:hAnsi="Calibri"/>
          <w:b w:val="false"/>
          <w:bCs w:val="false"/>
          <w:i w:val="false"/>
          <w:iCs w:val="false"/>
          <w:color w:val="1A1A1A"/>
          <w:sz w:val="22"/>
          <w:szCs w:val="22"/>
        </w:rPr>
        <w:t xml:space="preserve">3. Détail des frais remboursables</w:t>
      </w:r>
    </w:p>
    <w:p>
      <w:pPr>
        <w:spacing w:after="80"/>
        <w:jc w:val="both"/>
      </w:pPr>
      <w:r>
        <w:rPr>
          <w:rFonts w:ascii="Calibri" w:cs="Calibri" w:eastAsia="Calibri" w:hAnsi="Calibri"/>
          <w:b w:val="false"/>
          <w:bCs w:val="false"/>
          <w:i w:val="false"/>
          <w:iCs w:val="false"/>
          <w:color w:val="1A1A1A"/>
          <w:sz w:val="22"/>
          <w:szCs w:val="22"/>
        </w:rPr>
        <w:t xml:space="preserve">4. Modalités et échéancier de paiement proposé</w:t>
      </w:r>
    </w:p>
    <w:p>
      <w:pPr>
        <w:spacing w:after="80"/>
        <w:jc w:val="both"/>
      </w:pPr>
      <w:r>
        <w:rPr>
          <w:rFonts w:ascii="Calibri" w:cs="Calibri" w:eastAsia="Calibri" w:hAnsi="Calibri"/>
          <w:b w:val="false"/>
          <w:bCs w:val="false"/>
          <w:i w:val="false"/>
          <w:iCs w:val="false"/>
          <w:color w:val="1A1A1A"/>
          <w:sz w:val="22"/>
          <w:szCs w:val="22"/>
        </w:rPr>
        <w:t xml:space="preserve">5. Conditions de paiement et modalités financières</w:t>
      </w:r>
    </w:p>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1. Récapitulatif des coûts</w:t>
      </w:r>
    </w:p>
    <w:p>
      <w:pPr>
        <w:spacing w:after="120" w:line="300"/>
        <w:jc w:val="both"/>
      </w:pPr>
      <w:r>
        <w:rPr>
          <w:rFonts w:ascii="Calibri" w:cs="Calibri" w:eastAsia="Calibri" w:hAnsi="Calibri"/>
          <w:b w:val="false"/>
          <w:bCs w:val="false"/>
          <w:i w:val="false"/>
          <w:iCs w:val="false"/>
          <w:color w:val="1A1A1A"/>
          <w:sz w:val="22"/>
          <w:szCs w:val="22"/>
        </w:rPr>
        <w:t xml:space="preserve">Le montant total forfaitaire hors taxes de la présente proposition financière pour l'élaboration du Plan d'Action de Réinstallation (PAR) du projet GIN 1019, incluant le recensement actualisé de 1 218 PAPs, s'élève à cent cinquante-quatre mille huit cents euros (154 800 EUR). Ce montant est réparti comme suit :</w:t>
      </w:r>
    </w:p>
    <w:p>
      <w:pPr>
        <w:spacing w:after="10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000"/>
        <w:gridCol w:w="2000"/>
      </w:tblGrid>
      <w:t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N°</w:t>
            </w:r>
          </w:p>
        </w:tc>
        <w:tc>
          <w:tcPr>
            <w:tcW w:type="dxa" w:w="4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Montant (EUR)</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w:t>
            </w:r>
          </w:p>
        </w:tc>
      </w:tr>
      <w:tr>
        <w:tc>
          <w:tcPr>
            <w:tcW w:type="dxa" w:w="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A</w:t>
            </w:r>
          </w:p>
        </w:tc>
        <w:tc>
          <w:tcPr>
            <w:tcW w:type="dxa" w:w="4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Rémunération du personnel clé (8 experts)</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86 280</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55,7 %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B</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Rémunération du personnel d'appui (10 enquêteurs + logistique + chauffeurs)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13 015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8,4 %</w:t>
            </w:r>
          </w:p>
        </w:tc>
      </w:tr>
      <w:tr>
        <w:tc>
          <w:tcPr>
            <w:tcW w:type="dxa" w:w="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
            </w:r>
          </w:p>
        </w:tc>
        <w:tc>
          <w:tcPr>
            <w:tcW w:type="dxa" w:w="4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20"/>
                <w:szCs w:val="20"/>
              </w:rPr>
              <w:t xml:space="preserve">Sous-total Personnel</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4E79"/>
                <w:sz w:val="20"/>
                <w:szCs w:val="20"/>
              </w:rPr>
              <w:t xml:space="preserve">99 295</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F4E79"/>
                <w:sz w:val="20"/>
                <w:szCs w:val="20"/>
              </w:rPr>
              <w:t xml:space="preserve">64,1 %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C</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Per diem et frais de séjour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29 600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19,1 %</w:t>
            </w:r>
          </w:p>
        </w:tc>
      </w:tr>
      <w:tr>
        <w:tc>
          <w:tcPr>
            <w:tcW w:type="dxa" w:w="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D</w:t>
            </w:r>
          </w:p>
        </w:tc>
        <w:tc>
          <w:tcPr>
            <w:tcW w:type="dxa" w:w="4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Transport et déplacements</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14 800</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9,6 %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Bureau de liaison Labé &amp; fournitures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1 600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1,0 %</w:t>
            </w:r>
          </w:p>
        </w:tc>
      </w:tr>
      <w:tr>
        <w:tc>
          <w:tcPr>
            <w:tcW w:type="dxa" w:w="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F</w:t>
            </w:r>
          </w:p>
        </w:tc>
        <w:tc>
          <w:tcPr>
            <w:tcW w:type="dxa" w:w="4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Consultations publiques &amp; atelier national</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5 800</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3,7 %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G</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Production et reproduction des livrables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1 600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1,0 %</w:t>
            </w:r>
          </w:p>
        </w:tc>
      </w:tr>
      <w:tr>
        <w:tc>
          <w:tcPr>
            <w:tcW w:type="dxa" w:w="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H</w:t>
            </w:r>
          </w:p>
        </w:tc>
        <w:tc>
          <w:tcPr>
            <w:tcW w:type="dxa" w:w="4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Communications, documents &amp; divers</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2 105</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1,4 %</w:t>
            </w:r>
          </w:p>
        </w:tc>
      </w:tr>
      <w:tr>
        <w:tc>
          <w:tcPr>
            <w:tcW w:type="dxa" w:w="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
            </w:r>
          </w:p>
        </w:tc>
        <w:tc>
          <w:tcPr>
            <w:tcW w:type="dxa" w:w="4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20"/>
                <w:szCs w:val="20"/>
              </w:rPr>
              <w:t xml:space="preserve">Sous-total Frais remboursables</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4E79"/>
                <w:sz w:val="20"/>
                <w:szCs w:val="20"/>
              </w:rPr>
              <w:t xml:space="preserve">55 505</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F4E79"/>
                <w:sz w:val="20"/>
                <w:szCs w:val="20"/>
              </w:rPr>
              <w:t xml:space="preserve">35,9 %</w:t>
            </w:r>
          </w:p>
        </w:tc>
      </w:tr>
      <w:t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
            </w:r>
          </w:p>
        </w:tc>
        <w:tc>
          <w:tcPr>
            <w:tcW w:type="dxa" w:w="4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TOTAL GÉNÉRAL HT (EUR)</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154 800</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100,0 %</w:t>
            </w:r>
          </w:p>
        </w:tc>
      </w:tr>
    </w:tbl>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val="false"/>
          <w:bCs w:val="false"/>
          <w:i/>
          <w:iCs/>
          <w:color w:val="1A1A1A"/>
          <w:sz w:val="18"/>
          <w:szCs w:val="18"/>
        </w:rPr>
        <w:t xml:space="preserve">Le montant forfaitaire ne comprend pas les indemnisations versées aux PAPs, qui relèvent du budget de mise en œuvre du PAR à la charge du Maître d'ouvrage (64,5 milliards GNF estimés pour l'indemnisation directe des 1 218 PAPs, plus 130 milliards GNF pour le déplacement des réseaux concessionnaires).</w:t>
      </w:r>
    </w:p>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2. Détail des coûts du personnel</w:t>
      </w:r>
    </w:p>
    <w:p>
      <w:pPr>
        <w:pStyle w:val="Heading2"/>
        <w:spacing w:after="140" w:before="280"/>
      </w:pPr>
      <w:r>
        <w:rPr>
          <w:rFonts w:ascii="Calibri" w:cs="Calibri" w:eastAsia="Calibri" w:hAnsi="Calibri"/>
          <w:b/>
          <w:bCs/>
          <w:color w:val="1F4E79"/>
          <w:sz w:val="28"/>
          <w:szCs w:val="28"/>
        </w:rPr>
        <w:t xml:space="preserve">2.1 Personnel clé (experts)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1200"/>
        <w:gridCol w:w="1400"/>
        <w:gridCol w:w="1760"/>
      </w:tblGrid>
      <w:t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Expert(e)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Position</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H-J</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Taux EUR/j</w:t>
            </w:r>
          </w:p>
        </w:tc>
        <w:tc>
          <w:tcPr>
            <w:tcW w:type="dxa" w:w="1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Sous-total EUR</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01</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Dr Mindri IDANI</w:t>
            </w:r>
          </w:p>
        </w:tc>
        <w:tc>
          <w:tcPr>
            <w:tcW w:type="dxa" w:w="2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Consultant Individuel — Chef de mission</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73</w:t>
            </w:r>
          </w:p>
        </w:tc>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380</w:t>
            </w:r>
          </w:p>
        </w:tc>
        <w:tc>
          <w:tcPr>
            <w:tcW w:type="dxa" w:w="17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27 740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Expert national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Expert socio-économiste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53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300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15 900</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03</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Expert associé</w:t>
            </w:r>
          </w:p>
        </w:tc>
        <w:tc>
          <w:tcPr>
            <w:tcW w:type="dxa" w:w="2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Expert juriste foncier</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30</w:t>
            </w:r>
          </w:p>
        </w:tc>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320</w:t>
            </w:r>
          </w:p>
        </w:tc>
        <w:tc>
          <w:tcPr>
            <w:tcW w:type="dxa" w:w="17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9 600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Expert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Expert en évaluation des biens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38</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300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11 400</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05</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Experte associée</w:t>
            </w:r>
          </w:p>
        </w:tc>
        <w:tc>
          <w:tcPr>
            <w:tcW w:type="dxa" w:w="2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Spécialiste en genre</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28</w:t>
            </w:r>
          </w:p>
        </w:tc>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240</w:t>
            </w:r>
          </w:p>
        </w:tc>
        <w:tc>
          <w:tcPr>
            <w:tcW w:type="dxa" w:w="17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6 720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Expert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Géographe Cartographe SIG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240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6 000</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07</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Expert associé</w:t>
            </w:r>
          </w:p>
        </w:tc>
        <w:tc>
          <w:tcPr>
            <w:tcW w:type="dxa" w:w="2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Spécialiste en communication</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22</w:t>
            </w:r>
          </w:p>
        </w:tc>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220</w:t>
            </w:r>
          </w:p>
        </w:tc>
        <w:tc>
          <w:tcPr>
            <w:tcW w:type="dxa" w:w="17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4 840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Expert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Juriste-environnementaliste (renfort)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17</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240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4 080</w:t>
            </w:r>
          </w:p>
        </w:tc>
      </w:tr>
      <w:t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2000"/>
            <w:gridSpan w:val="3"/>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20"/>
                <w:szCs w:val="20"/>
              </w:rPr>
              <w:t xml:space="preserve">Sous-total Personnel clé</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286</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86 280</w:t>
            </w:r>
          </w:p>
        </w:tc>
        <w:tc>
          <w:tcPr>
            <w:tcW w:type="dxa" w:w="1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F4E79"/>
                <w:sz w:val="20"/>
                <w:szCs w:val="20"/>
              </w:rPr>
              <w:t xml:space="preserve">293</w:t>
            </w:r>
          </w:p>
        </w:tc>
        <w:tc>
          <w:tcPr>
            <w:tcW w:type="dxa" w:w="17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4E79"/>
                <w:sz w:val="20"/>
                <w:szCs w:val="20"/>
              </w:rPr>
              <w:t xml:space="preserve">88 480</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4E79"/>
          <w:sz w:val="28"/>
          <w:szCs w:val="28"/>
        </w:rPr>
        <w:t xml:space="preserve">2.2 Personnel d'appui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000"/>
        <w:gridCol w:w="1360"/>
      </w:tblGrid>
      <w:tr>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H-J</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Taux EUR/j</w:t>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Sous-total EUR</w:t>
            </w:r>
          </w:p>
        </w:tc>
      </w:tr>
      <w:tr>
        <w:tc>
          <w:tcPr>
            <w:tcW w:type="dxa" w:w="4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Enquêteurs locaux (10 enquêteurs × 28 jours)</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280</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28</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7 840</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Logisticien (1 × 45 jours)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45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45</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2 025</w:t>
            </w:r>
          </w:p>
        </w:tc>
      </w:tr>
      <w:tr>
        <w:tc>
          <w:tcPr>
            <w:tcW w:type="dxa" w:w="4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Chauffeurs (2 × 45 jours)</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90</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35</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3 150</w:t>
            </w:r>
          </w:p>
        </w:tc>
      </w:tr>
      <w:tr>
        <w:tc>
          <w:tcPr>
            <w:tcW w:type="dxa" w:w="4000"/>
            <w:gridSpan w:val="3"/>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20"/>
                <w:szCs w:val="20"/>
              </w:rPr>
              <w:t xml:space="preserve">Sous-total Personnel d'appui</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13 015</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4E79"/>
                <w:sz w:val="20"/>
                <w:szCs w:val="20"/>
              </w:rPr>
              <w:t xml:space="preserve">13 015</w:t>
            </w:r>
          </w:p>
        </w:tc>
      </w:tr>
      <w:tr>
        <w:tc>
          <w:tcPr>
            <w:tcW w:type="dxa" w:w="4000"/>
            <w:gridSpan w:val="3"/>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TOTAL PERSONNEL (clé + appui)</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99 295 EUR</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100 480 EUR</w:t>
            </w:r>
          </w:p>
        </w:tc>
      </w:tr>
    </w:tbl>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3. Détail des frais remboursables</w:t>
      </w:r>
    </w:p>
    <w:p>
      <w:pPr>
        <w:pStyle w:val="Heading2"/>
        <w:spacing w:after="140" w:before="280"/>
      </w:pPr>
      <w:r>
        <w:rPr>
          <w:rFonts w:ascii="Calibri" w:cs="Calibri" w:eastAsia="Calibri" w:hAnsi="Calibri"/>
          <w:b/>
          <w:bCs/>
          <w:color w:val="1F4E79"/>
          <w:sz w:val="28"/>
          <w:szCs w:val="28"/>
        </w:rPr>
        <w:t xml:space="preserve">3.1 Per diem et frais de séjour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000"/>
        <w:gridCol w:w="1000"/>
        <w:gridCol w:w="2360"/>
      </w:tblGrid>
      <w:tr>
        <w:tc>
          <w:tcPr>
            <w:tcW w:type="dxa" w:w="5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H-J</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EUR/j</w:t>
            </w:r>
          </w:p>
        </w:tc>
        <w:tc>
          <w:tcPr>
            <w:tcW w:type="dxa" w:w="2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 EUR</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Chef de mission (Cotonou-Conakry-terrain, 30 j)</w:t>
            </w:r>
          </w:p>
        </w:tc>
        <w:tc>
          <w:tcPr>
            <w:tcW w:type="dxa" w:w="1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30</w:t>
            </w:r>
          </w:p>
        </w:tc>
        <w:tc>
          <w:tcPr>
            <w:tcW w:type="dxa" w:w="1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130</w:t>
            </w:r>
          </w:p>
        </w:tc>
        <w:tc>
          <w:tcPr>
            <w:tcW w:type="dxa" w:w="2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3 900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experts terrain (6 × 18 j en moyenne)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108</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95</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10 260</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enquêteurs locaux (10 × 28 j)</w:t>
            </w:r>
          </w:p>
        </w:tc>
        <w:tc>
          <w:tcPr>
            <w:tcW w:type="dxa" w:w="1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280</w:t>
            </w:r>
          </w:p>
        </w:tc>
        <w:tc>
          <w:tcPr>
            <w:tcW w:type="dxa" w:w="1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32</w:t>
            </w:r>
          </w:p>
        </w:tc>
        <w:tc>
          <w:tcPr>
            <w:tcW w:type="dxa" w:w="2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8 960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logisticien (45 j)</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45</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40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1 800</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chauffeurs (2 × 45 j)</w:t>
            </w:r>
          </w:p>
        </w:tc>
        <w:tc>
          <w:tcPr>
            <w:tcW w:type="dxa" w:w="1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90</w:t>
            </w:r>
          </w:p>
        </w:tc>
        <w:tc>
          <w:tcPr>
            <w:tcW w:type="dxa" w:w="1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25</w:t>
            </w:r>
          </w:p>
        </w:tc>
        <w:tc>
          <w:tcPr>
            <w:tcW w:type="dxa" w:w="2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2 250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Frais logement &amp; subsistance complémentaires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2 430</w:t>
            </w:r>
          </w:p>
        </w:tc>
      </w:tr>
      <w:tr>
        <w:tc>
          <w:tcPr>
            <w:tcW w:type="dxa" w:w="5000"/>
            <w:gridSpan w:val="3"/>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20"/>
                <w:szCs w:val="20"/>
              </w:rPr>
              <w:t xml:space="preserve">Sous-total per diem</w:t>
            </w:r>
          </w:p>
        </w:tc>
        <w:tc>
          <w:tcPr>
            <w:tcW w:type="dxa" w:w="1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29 600</w:t>
            </w:r>
          </w:p>
        </w:tc>
        <w:tc>
          <w:tcPr>
            <w:tcW w:type="dxa" w:w="1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2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4E79"/>
                <w:sz w:val="20"/>
                <w:szCs w:val="20"/>
              </w:rPr>
              <w:t xml:space="preserve">29 600</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4E79"/>
          <w:sz w:val="28"/>
          <w:szCs w:val="28"/>
        </w:rPr>
        <w:t xml:space="preserve">3.2 Transport, bureau de liaison, consultations &amp; divers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1360"/>
      </w:tblGrid>
      <w:tr>
        <w:tc>
          <w:tcPr>
            <w:tcW w:type="dxa" w:w="5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Base</w:t>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 EUR</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Vols Cotonou-Conakry-Cotonou pour le Consultant (3 rotations)</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3 × 950</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2 850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Vols Conakry-Labé-Conakry (équipe, 2 rotations)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1 350</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Location 3 véhicules 4x4 (40 jours × 3)</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120 j × 80</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9 600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Carburant véhicules terrain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1 000</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Location bureau de liaison à Labé (3 mois)</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3 × 350</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1 050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Fournitures d'enquête (registres, formulaires, cachets)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550</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Consultations villageoises d'annonce &amp; focus groups (18 villages)</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18 × 200</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3 600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Atelier national de restitution à Conakry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1 200</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Restitutions locales à Labé et Mali</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 × 500</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1 000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Reproduction rapports finaux (20 ex. couleur + 20 clés USB)</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1 600</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Communications, téléphonie satellitaire, data mobile</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700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Actualisation base SIG, documents juridiques &amp; divers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1 405</w:t>
            </w:r>
          </w:p>
        </w:tc>
      </w:tr>
      <w:tr>
        <w:tc>
          <w:tcPr>
            <w:tcW w:type="dxa" w:w="5000"/>
            <w:gridSpan w:val="2"/>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Sous-total transport, bureau, consultations &amp; divers</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25 905</w:t>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25 920</w:t>
            </w:r>
          </w:p>
        </w:tc>
      </w:tr>
      <w:tr>
        <w:tc>
          <w:tcPr>
            <w:tcW w:type="dxa" w:w="5000"/>
            <w:gridSpan w:val="2"/>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TOTAL FRAIS REMBOURSABLES</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55 505 EUR</w:t>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55 520 EUR</w:t>
            </w:r>
          </w:p>
        </w:tc>
      </w:tr>
    </w:tbl>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4. Modalités et échéancier de paiement proposé</w:t>
      </w:r>
    </w:p>
    <w:p>
      <w:pPr>
        <w:spacing w:after="10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000"/>
        <w:gridCol w:w="1200"/>
        <w:gridCol w:w="1560"/>
      </w:tblGrid>
      <w:t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Tranche</w:t>
            </w:r>
          </w:p>
        </w:tc>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Condition de paiement</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Montant EUR</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T1</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Avance de démarrage</w:t>
            </w:r>
          </w:p>
        </w:tc>
        <w:tc>
          <w:tcPr>
            <w:tcW w:type="dxa" w:w="4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 notification de l'ordre de service, contre caution bancaire de restitution d'avance à 100 %</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20 %</w:t>
            </w:r>
          </w:p>
        </w:tc>
        <w:tc>
          <w:tcPr>
            <w:tcW w:type="dxa" w:w="1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30 960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L1</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de démarrage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15 %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23 220</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T3</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L2</w:t>
            </w:r>
          </w:p>
        </w:tc>
        <w:tc>
          <w:tcPr>
            <w:tcW w:type="dxa" w:w="4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intermédiaire (fin de la phase terrain)</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25 %</w:t>
            </w:r>
          </w:p>
        </w:tc>
        <w:tc>
          <w:tcPr>
            <w:tcW w:type="dxa" w:w="1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38 700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L3</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provisoire du PAR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25 %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38 700</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T5</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final sur livrable L4</w:t>
            </w:r>
          </w:p>
        </w:tc>
        <w:tc>
          <w:tcPr>
            <w:tcW w:type="dxa" w:w="4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définitif du PAR (hors retenue de garantie 5 %)</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15 %</w:t>
            </w:r>
          </w:p>
        </w:tc>
        <w:tc>
          <w:tcPr>
            <w:tcW w:type="dxa" w:w="1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23 220</w:t>
            </w:r>
          </w:p>
        </w:tc>
      </w:tr>
      <w:t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w:t>
            </w:r>
          </w:p>
        </w:tc>
        <w:tc>
          <w:tcPr>
            <w:tcW w:type="dxa" w:w="2000"/>
            <w:gridSpan w:val="2"/>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154 800 EUR</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154 800 EUR</w:t>
            </w:r>
          </w:p>
        </w:tc>
      </w:tr>
    </w:tbl>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val="false"/>
          <w:bCs w:val="false"/>
          <w:i/>
          <w:iCs/>
          <w:color w:val="1A1A1A"/>
          <w:sz w:val="18"/>
          <w:szCs w:val="18"/>
        </w:rPr>
        <w:t xml:space="preserve">L'échéancier peut être ajusté en concertation avec l'UGP/AGEROUTE GUINÉE.</w:t>
      </w:r>
    </w:p>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Conditions de paiement et modalités financières</w:t>
      </w:r>
    </w:p>
    <w:p>
      <w:pPr>
        <w:pStyle w:val="Heading2"/>
        <w:spacing w:after="140" w:before="280"/>
      </w:pPr>
      <w:r>
        <w:rPr>
          <w:rFonts w:ascii="Calibri" w:cs="Calibri" w:eastAsia="Calibri" w:hAnsi="Calibri"/>
          <w:b/>
          <w:bCs/>
          <w:color w:val="1F4E79"/>
          <w:sz w:val="28"/>
          <w:szCs w:val="28"/>
        </w:rPr>
        <w:t xml:space="preserve">1. Monnaie du contrat</w:t>
      </w:r>
    </w:p>
    <w:p>
      <w:pPr>
        <w:spacing w:after="120" w:line="300"/>
        <w:jc w:val="both"/>
      </w:pPr>
      <w:r>
        <w:rPr>
          <w:rFonts w:ascii="Calibri" w:cs="Calibri" w:eastAsia="Calibri" w:hAnsi="Calibri"/>
          <w:b w:val="false"/>
          <w:bCs w:val="false"/>
          <w:i w:val="false"/>
          <w:iCs w:val="false"/>
          <w:color w:val="1A1A1A"/>
          <w:sz w:val="22"/>
          <w:szCs w:val="22"/>
        </w:rPr>
        <w:t xml:space="preserve">La monnaie du contrat est l'Euro (EUR). Tous les paiements seront effectués en EUR dans les conditions prévues par le contrat.</w:t>
      </w:r>
    </w:p>
    <w:p>
      <w:pPr>
        <w:pStyle w:val="Heading2"/>
        <w:spacing w:after="140" w:before="280"/>
      </w:pPr>
      <w:r>
        <w:rPr>
          <w:rFonts w:ascii="Calibri" w:cs="Calibri" w:eastAsia="Calibri" w:hAnsi="Calibri"/>
          <w:b/>
          <w:bCs/>
          <w:color w:val="1F4E79"/>
          <w:sz w:val="28"/>
          <w:szCs w:val="28"/>
        </w:rPr>
        <w:t xml:space="preserve">2. Nature du prix</w:t>
      </w:r>
    </w:p>
    <w:p>
      <w:pPr>
        <w:spacing w:after="120" w:line="300"/>
        <w:jc w:val="both"/>
      </w:pPr>
      <w:r>
        <w:rPr>
          <w:rFonts w:ascii="Calibri" w:cs="Calibri" w:eastAsia="Calibri" w:hAnsi="Calibri"/>
          <w:b w:val="false"/>
          <w:bCs w:val="false"/>
          <w:i w:val="false"/>
          <w:iCs w:val="false"/>
          <w:color w:val="1A1A1A"/>
          <w:sz w:val="22"/>
          <w:szCs w:val="22"/>
        </w:rPr>
        <w:t xml:space="preserve">Le prix de la proposition est forfaitaire, ferme et non révisable pendant toute la durée d'exécution du contrat. Il couvre l'intégralité des prestations définies dans la proposition technique, hors taxes, charges sociales, frais directs et indirects nécessaires à la bonne exécution de la mission. Les taxes éventuellement applicables ne sont pas incluses dans ce prix et seront, le cas échéant, prises en charge ou refacturées séparément conformément à la réglementation fiscale applicable.</w:t>
      </w:r>
    </w:p>
    <w:p>
      <w:pPr>
        <w:pStyle w:val="Heading2"/>
        <w:spacing w:after="140" w:before="280"/>
      </w:pPr>
      <w:r>
        <w:rPr>
          <w:rFonts w:ascii="Calibri" w:cs="Calibri" w:eastAsia="Calibri" w:hAnsi="Calibri"/>
          <w:b/>
          <w:bCs/>
          <w:color w:val="1F4E79"/>
          <w:sz w:val="28"/>
          <w:szCs w:val="28"/>
        </w:rPr>
        <w:t xml:space="preserve">3. Coordonnées bancaires du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Élément</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Information</w:t>
            </w:r>
          </w:p>
        </w:tc>
      </w:tr>
      <w:tr>
        <w:tc>
          <w:tcPr>
            <w:tcW w:type="dxa" w:w="3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Bénéficiaire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20"/>
                <w:szCs w:val="20"/>
              </w:rPr>
              <w:t xml:space="preserve">IDANI Mindri — Consultant Individuel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Banque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Ecobank Bénin — Agence Abomey-Calavi</w:t>
            </w:r>
          </w:p>
        </w:tc>
      </w:tr>
      <w:tr>
        <w:tc>
          <w:tcPr>
            <w:tcW w:type="dxa" w:w="3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Code SWIFT/BIC</w:t>
            </w:r>
          </w:p>
        </w:tc>
        <w:tc>
          <w:tcPr>
            <w:tcW w:type="dxa" w:w="61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ECOCBJBJ (à confirmer à la contractualisation)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Numéro de compte EUR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iCs/>
                <w:color w:val="1A1A1A"/>
                <w:sz w:val="20"/>
                <w:szCs w:val="20"/>
              </w:rPr>
              <w:t xml:space="preserve">À communiquer à la signature du contrat</w:t>
            </w:r>
          </w:p>
        </w:tc>
      </w:tr>
      <w:tr>
        <w:tc>
          <w:tcPr>
            <w:tcW w:type="dxa" w:w="3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IBAN (le cas échéant)</w:t>
            </w:r>
          </w:p>
        </w:tc>
        <w:tc>
          <w:tcPr>
            <w:tcW w:type="dxa" w:w="61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iCs/>
                <w:color w:val="1A1A1A"/>
                <w:sz w:val="20"/>
                <w:szCs w:val="20"/>
              </w:rPr>
              <w:t xml:space="preserve">À communiquer à la signature du contrat</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4E79"/>
          <w:sz w:val="28"/>
          <w:szCs w:val="28"/>
        </w:rPr>
        <w:t xml:space="preserve">4. Retenue de garantie et garanties</w:t>
      </w:r>
    </w:p>
    <w:p>
      <w:pPr>
        <w:spacing w:after="120" w:line="300"/>
        <w:jc w:val="both"/>
      </w:pPr>
      <w:r>
        <w:rPr>
          <w:rFonts w:ascii="Calibri" w:cs="Calibri" w:eastAsia="Calibri" w:hAnsi="Calibri"/>
          <w:b w:val="false"/>
          <w:bCs w:val="false"/>
          <w:i w:val="false"/>
          <w:iCs w:val="false"/>
          <w:color w:val="1A1A1A"/>
          <w:sz w:val="22"/>
          <w:szCs w:val="22"/>
        </w:rPr>
        <w:t xml:space="preserve">Le Consultant s'engage à fournir, le cas échéant, les garanties requises par les documents contractuels, notamment :</w:t>
      </w:r>
    </w:p>
    <w:p>
      <w:pPr>
        <w:pStyle w:val="ListParagraph"/>
        <w:numPr>
          <w:ilvl w:val="0"/>
          <w:numId w:val="2"/>
        </w:numPr>
        <w:spacing w:after="60" w:line="280"/>
        <w:jc w:val="both"/>
      </w:pPr>
      <w:r>
        <w:rPr>
          <w:rFonts w:ascii="Calibri" w:cs="Calibri" w:eastAsia="Calibri" w:hAnsi="Calibri"/>
          <w:b w:val="false"/>
          <w:bCs w:val="false"/>
          <w:i w:val="false"/>
          <w:iCs w:val="false"/>
          <w:color w:val="1A1A1A"/>
          <w:sz w:val="22"/>
          <w:szCs w:val="22"/>
        </w:rPr>
        <w:t xml:space="preserve">Une garantie de bonne exécution représentant 5 % du montant du contrat, valable pendant toute la durée de la mission et trente (30) jours au-delà ;</w:t>
      </w:r>
    </w:p>
    <w:p>
      <w:pPr>
        <w:pStyle w:val="ListParagraph"/>
        <w:numPr>
          <w:ilvl w:val="0"/>
          <w:numId w:val="2"/>
        </w:numPr>
        <w:spacing w:after="60" w:line="280"/>
        <w:jc w:val="both"/>
      </w:pPr>
      <w:r>
        <w:rPr>
          <w:rFonts w:ascii="Calibri" w:cs="Calibri" w:eastAsia="Calibri" w:hAnsi="Calibri"/>
          <w:b w:val="false"/>
          <w:bCs w:val="false"/>
          <w:i w:val="false"/>
          <w:iCs w:val="false"/>
          <w:color w:val="1A1A1A"/>
          <w:sz w:val="22"/>
          <w:szCs w:val="22"/>
        </w:rPr>
        <w:t xml:space="preserve">Une garantie de restitution de l'avance de démarrage, représentant 100 % du montant de l'avance, si une avance est accordée ;</w:t>
      </w:r>
    </w:p>
    <w:p>
      <w:pPr>
        <w:pStyle w:val="ListParagraph"/>
        <w:numPr>
          <w:ilvl w:val="0"/>
          <w:numId w:val="2"/>
        </w:numPr>
        <w:spacing w:after="60" w:line="280"/>
        <w:jc w:val="both"/>
      </w:pPr>
      <w:r>
        <w:rPr>
          <w:rFonts w:ascii="Calibri" w:cs="Calibri" w:eastAsia="Calibri" w:hAnsi="Calibri"/>
          <w:b w:val="false"/>
          <w:bCs w:val="false"/>
          <w:i w:val="false"/>
          <w:iCs w:val="false"/>
          <w:color w:val="1A1A1A"/>
          <w:sz w:val="22"/>
          <w:szCs w:val="22"/>
        </w:rPr>
        <w:t xml:space="preserve">Une retenue de garantie de 5 % sur chaque facture, libérée à réception définitive du rapport final.</w:t>
      </w:r>
    </w:p>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4E79"/>
          <w:sz w:val="28"/>
          <w:szCs w:val="28"/>
        </w:rPr>
        <w:t xml:space="preserve">5. Modalités de facturation</w:t>
      </w:r>
    </w:p>
    <w:p>
      <w:pPr>
        <w:spacing w:after="120" w:line="300"/>
        <w:jc w:val="both"/>
      </w:pPr>
      <w:r>
        <w:rPr>
          <w:rFonts w:ascii="Calibri" w:cs="Calibri" w:eastAsia="Calibri" w:hAnsi="Calibri"/>
          <w:b w:val="false"/>
          <w:bCs w:val="false"/>
          <w:i w:val="false"/>
          <w:iCs w:val="false"/>
          <w:color w:val="1A1A1A"/>
          <w:sz w:val="22"/>
          <w:szCs w:val="22"/>
        </w:rPr>
        <w:t xml:space="preserve">Les factures seront émises en Euros (EUR) et adressées à l'UGP/AGEROUTE GUINÉE en deux (02) exemplaires originaux. Chaque facture mentionnera : la référence du contrat, le numéro de la tranche, le montant hors taxes (HT), les coordonnées bancaires du Consultant. Le présent montant est exprimé hors taxes ; toute retenue à la source ou imposition applicable sera traitée séparément conformément à la réglementation en vigueur.</w:t>
      </w:r>
    </w:p>
    <w:p>
      <w:pPr>
        <w:pStyle w:val="Heading2"/>
        <w:spacing w:after="140" w:before="280"/>
      </w:pPr>
      <w:r>
        <w:rPr>
          <w:rFonts w:ascii="Calibri" w:cs="Calibri" w:eastAsia="Calibri" w:hAnsi="Calibri"/>
          <w:b/>
          <w:bCs/>
          <w:color w:val="1F4E79"/>
          <w:sz w:val="28"/>
          <w:szCs w:val="28"/>
        </w:rPr>
        <w:t xml:space="preserve">6. Délai de paiement</w:t>
      </w:r>
    </w:p>
    <w:p>
      <w:pPr>
        <w:spacing w:after="120" w:line="300"/>
        <w:jc w:val="both"/>
      </w:pPr>
      <w:r>
        <w:rPr>
          <w:rFonts w:ascii="Calibri" w:cs="Calibri" w:eastAsia="Calibri" w:hAnsi="Calibri"/>
          <w:b w:val="false"/>
          <w:bCs w:val="false"/>
          <w:i w:val="false"/>
          <w:iCs w:val="false"/>
          <w:color w:val="1A1A1A"/>
          <w:sz w:val="22"/>
          <w:szCs w:val="22"/>
        </w:rPr>
        <w:t xml:space="preserve">Le délai de paiement est fixé à trente (30) jours calendaires à compter de la date de réception de la facture accompagnée du livrable correspondant dûment approuvé par l'UGP/AGEROUTE GUINÉE.</w:t>
      </w:r>
    </w:p>
    <w:p>
      <w:pPr>
        <w:pStyle w:val="Heading2"/>
        <w:spacing w:after="140" w:before="280"/>
      </w:pPr>
      <w:r>
        <w:rPr>
          <w:rFonts w:ascii="Calibri" w:cs="Calibri" w:eastAsia="Calibri" w:hAnsi="Calibri"/>
          <w:b/>
          <w:bCs/>
          <w:color w:val="1F4E79"/>
          <w:sz w:val="28"/>
          <w:szCs w:val="28"/>
        </w:rPr>
        <w:t xml:space="preserve">7. Régime fiscal</w:t>
      </w:r>
    </w:p>
    <w:p>
      <w:pPr>
        <w:spacing w:after="120" w:line="300"/>
        <w:jc w:val="both"/>
      </w:pPr>
      <w:r>
        <w:rPr>
          <w:rFonts w:ascii="Calibri" w:cs="Calibri" w:eastAsia="Calibri" w:hAnsi="Calibri"/>
          <w:b w:val="false"/>
          <w:bCs w:val="false"/>
          <w:i w:val="false"/>
          <w:iCs w:val="false"/>
          <w:color w:val="1A1A1A"/>
          <w:sz w:val="22"/>
          <w:szCs w:val="22"/>
        </w:rPr>
        <w:t xml:space="preserve">Le Consultant Individuel, en tant que personne physique résidente de la République du Bénin intervenant en République de Guinée, s'engage à se conformer à toutes les obligations fiscales applicables, conformément aux conventions fiscales éventuellement en vigueur entre la République du Bénin et la République de Guinée. Toute retenue à la source éventuelle sera opérée conformément à la législation guinéenne en vigueur.</w:t>
      </w:r>
    </w:p>
    <w:p>
      <w:pPr>
        <w:pStyle w:val="Heading2"/>
        <w:spacing w:after="140" w:before="280"/>
      </w:pPr>
      <w:r>
        <w:rPr>
          <w:rFonts w:ascii="Calibri" w:cs="Calibri" w:eastAsia="Calibri" w:hAnsi="Calibri"/>
          <w:b/>
          <w:bCs/>
          <w:color w:val="1F4E79"/>
          <w:sz w:val="28"/>
          <w:szCs w:val="28"/>
        </w:rPr>
        <w:t xml:space="preserve">8. Validité de la proposition</w:t>
      </w:r>
    </w:p>
    <w:p>
      <w:pPr>
        <w:spacing w:after="120" w:line="300"/>
        <w:jc w:val="both"/>
      </w:pPr>
      <w:r>
        <w:rPr>
          <w:rFonts w:ascii="Calibri" w:cs="Calibri" w:eastAsia="Calibri" w:hAnsi="Calibri"/>
          <w:b w:val="false"/>
          <w:bCs w:val="false"/>
          <w:i w:val="false"/>
          <w:iCs w:val="false"/>
          <w:color w:val="1A1A1A"/>
          <w:sz w:val="22"/>
          <w:szCs w:val="22"/>
        </w:rPr>
        <w:t xml:space="preserve">La présente proposition financière est valable pour une durée de cent vingt (120) jours calendaires à compter de la date limite de remise des manifestations d'intérêt.</w:t>
      </w:r>
    </w:p>
    <w:sectPr>
      <w:headerReference w:type="default" r:id="rId7"/>
      <w:footerReference w:type="default" r:id="rId8"/>
      <w:pgSz w:w="11906" w:h="16838" w:orient="portrait"/>
      <w:pgMar w:top="1440" w:right="1200" w:bottom="1440" w:left="120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8" w:space="2"/>
      </w:pBdr>
      <w:tabs>
        <w:tab w:val="right" w:pos="9360"/>
      </w:tabs>
      <w:spacing w:before="60"/>
      <w:jc w:val="left"/>
    </w:pPr>
    <w:r>
      <w:rPr>
        <w:rFonts w:ascii="Calibri" w:cs="Calibri" w:eastAsia="Calibri" w:hAnsi="Calibri"/>
        <w:i/>
        <w:iCs/>
        <w:color w:val="1A1A1A"/>
        <w:sz w:val="16"/>
        <w:szCs w:val="16"/>
      </w:rPr>
      <w:t xml:space="preserve">PF-PAR-GIN1019 — Projet GIN 1019 (Route Labé-Mali)</w:t>
    </w:r>
    <w:r>
      <w:rPr>
        <w:rFonts w:ascii="Calibri" w:cs="Calibri" w:eastAsia="Calibri" w:hAnsi="Calibri"/>
        <w:sz w:val="16"/>
        <w:szCs w:val="16"/>
      </w:rPr>
      <w:t xml:space="preserve">	</w:t>
    </w:r>
    <w:r>
      <w:rPr>
        <w:rFonts w:ascii="Calibri" w:cs="Calibri" w:eastAsia="Calibri" w:hAnsi="Calibri"/>
        <w:color w:val="1A1A1A"/>
        <w:sz w:val="16"/>
        <w:szCs w:val="16"/>
      </w:rPr>
      <w:t xml:space="preserve">Page </w:t>
    </w:r>
    <w:r>
      <w:rPr>
        <w:rFonts w:ascii="Calibri" w:cs="Calibri" w:eastAsia="Calibri" w:hAnsi="Calibri"/>
        <w:b/>
        <w:bCs/>
        <w:color w:val="1F4E79"/>
        <w:sz w:val="16"/>
        <w:szCs w:val="16"/>
      </w:rPr>
      <w:fldChar w:fldCharType="begin"/>
      <w:instrText xml:space="preserve">PAGE</w:instrText>
      <w:fldChar w:fldCharType="separate"/>
      <w:fldChar w:fldCharType="end"/>
    </w:r>
    <w:r>
      <w:rPr>
        <w:rFonts w:ascii="Calibri" w:cs="Calibri" w:eastAsia="Calibri" w:hAnsi="Calibri"/>
        <w:color w:val="1A1A1A"/>
        <w:sz w:val="16"/>
        <w:szCs w:val="16"/>
      </w:rPr>
      <w:t xml:space="preserve">/</w:t>
    </w:r>
    <w:r>
      <w:rPr>
        <w:rFonts w:ascii="Calibri" w:cs="Calibri" w:eastAsia="Calibri" w:hAnsi="Calibri"/>
        <w:b/>
        <w:bCs/>
        <w:color w:val="1F4E7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2"/>
      </w:pBdr>
      <w:spacing w:after="60"/>
      <w:jc w:val="center"/>
    </w:pPr>
    <w:r>
      <w:rPr>
        <w:rFonts w:ascii="Calibri" w:cs="Calibri" w:eastAsia="Calibri" w:hAnsi="Calibri"/>
        <w:b/>
        <w:bCs/>
        <w:color w:val="1F4E79"/>
        <w:sz w:val="20"/>
        <w:szCs w:val="20"/>
      </w:rPr>
      <w:t xml:space="preserve">M. IDANI Mindri — Consultant Individuel</w:t>
    </w:r>
    <w:r>
      <w:rPr>
        <w:rFonts w:ascii="Calibri" w:cs="Calibri" w:eastAsia="Calibri" w:hAnsi="Calibri"/>
        <w:color w:val="D9D9D9"/>
        <w:sz w:val="20"/>
        <w:szCs w:val="20"/>
      </w:rPr>
      <w:t xml:space="preserve">  |  </w:t>
    </w:r>
    <w:r>
      <w:rPr>
        <w:rFonts w:ascii="Calibri" w:cs="Calibri" w:eastAsia="Calibri" w:hAnsi="Calibri"/>
        <w:i/>
        <w:iCs/>
        <w:color w:val="1A1A1A"/>
        <w:sz w:val="18"/>
        <w:szCs w:val="18"/>
      </w:rPr>
      <w:t xml:space="preserve">Proposition financière — PAR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 Proposition financière — PAR</dc:title>
  <dc:creator>M. IDANI Mindri — Consultant Individuel</dc:creator>
  <dc:description>Projet GIN 1019 — Route Labé-Mali — BIsD</dc:description>
  <cp:lastModifiedBy>Un-named</cp:lastModifiedBy>
  <cp:revision>1</cp:revision>
  <dcterms:created xsi:type="dcterms:W3CDTF">2026-05-12T01:28:24.387Z</dcterms:created>
  <dcterms:modified xsi:type="dcterms:W3CDTF">2026-05-12T01:28:24.388Z</dcterms:modified>
</cp:coreProperties>
</file>

<file path=docProps/custom.xml><?xml version="1.0" encoding="utf-8"?>
<Properties xmlns="http://schemas.openxmlformats.org/officeDocument/2006/custom-properties" xmlns:vt="http://schemas.openxmlformats.org/officeDocument/2006/docPropsVTypes"/>
</file>