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0"/>
          <w:szCs w:val="30"/>
        </w:rPr>
        <w:t xml:space="preserve">MATRICE DES CORRECTIONS ET AMÉLIORATIONS</w:t>
      </w:r>
    </w:p>
    <w:p>
      <w:pPr>
        <w:spacing w:after="40"/>
      </w:pPr>
      <w:r>
        <w:rPr>
          <w:rFonts w:ascii="Arial" w:cs="Arial" w:eastAsia="Arial" w:hAnsi="Arial"/>
          <w:sz w:val="19"/>
          <w:szCs w:val="19"/>
        </w:rPr>
        <w:t xml:space="preserve">EIES Raffinerie WCAG — Chapitre 22 : Plan de gestion des risques environnementaux, des catastrophes et des situations d'urgence (PGRECSU) — Dobali, Préfecture de Boké (Guinée)</w:t>
      </w:r>
    </w:p>
    <w:p>
      <w:pPr>
        <w:spacing w:after="40"/>
      </w:pPr>
      <w:r>
        <w:rPr>
          <w:rFonts w:ascii="Arial" w:cs="Arial" w:eastAsia="Arial" w:hAnsi="Arial"/>
          <w:b/>
          <w:bCs/>
          <w:sz w:val="18"/>
          <w:szCs w:val="18"/>
        </w:rPr>
        <w:t xml:space="preserve">Revue par : </w:t>
      </w:r>
      <w:r>
        <w:rPr>
          <w:rFonts w:ascii="Arial" w:cs="Arial" w:eastAsia="Arial" w:hAnsi="Arial"/>
          <w:b/>
          <w:bCs/>
          <w:color w:val="1F3864"/>
          <w:sz w:val="18"/>
          <w:szCs w:val="18"/>
        </w:rPr>
        <w:t xml:space="preserve">Dr IBRAHIMA DIALLO</w:t>
      </w:r>
      <w:r>
        <w:rPr>
          <w:rFonts w:ascii="Arial" w:cs="Arial" w:eastAsia="Arial" w:hAnsi="Arial"/>
          <w:sz w:val="18"/>
          <w:szCs w:val="18"/>
        </w:rPr>
        <w:t xml:space="preserve">    ·    Référentiel : normes chinoises (China Exim Bank, MOFCOM/MEE, GB/HJ) et bonnes pratiques internationales    ·    Date : 19/08/2026</w:t>
      </w:r>
    </w:p>
    <w:p>
      <w:pPr>
        <w:spacing w:after="160"/>
      </w:pPr>
      <w:r>
        <w:rPr>
          <w:rFonts w:ascii="Arial" w:cs="Arial" w:eastAsia="Arial" w:hAnsi="Arial"/>
          <w:i/>
          <w:iCs/>
          <w:color w:val="7F7F7F"/>
          <w:sz w:val="17"/>
          <w:szCs w:val="17"/>
        </w:rPr>
        <w:t xml:space="preserve">La présente matrice recense et justifie les 22 rajouts et améliorations proposés par le Dr IBRAHIMA DIALLO, intégrés au document sous forme de commentaires (version commentée) et, pour les principaux, appliqués dans la version propre et en modification suivie. L'apport central est l'adoption de la méthodologie chinoise d'évaluation des risques environnementaux (HJ 169-2018) et l'identification des sources de danger majeures (GB 18218-2018).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2500"/>
        <w:gridCol w:w="4200"/>
        <w:gridCol w:w="2650"/>
        <w:gridCol w:w="3778"/>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Section / Emplacement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Élément concerné / Constat</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Correction / amélioration proposée (rajout)</w:t>
            </w:r>
          </w:p>
        </w:tc>
        <w:tc>
          <w:tcPr>
            <w:tcW w:type="dxa" w:w="26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Norme(s) / référentiel de référence</w:t>
            </w:r>
          </w:p>
        </w:tc>
        <w:tc>
          <w:tcPr>
            <w:tcW w:type="dxa" w:w="377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Justification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22.1 — Objectifs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Évaluation des risques non rattachée au cadre du bailleur.</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Rattacher à la China Exim Bank et à la méthodologie HJ 169-2018.</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(2007) ; MOFCOM/MEE (2022) ; HJ 169-2018.</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Référentiel attendu par le bailleur pour l'évaluation des risques.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22.2 — Cadre juridique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Restitution longue de la législation nationale (redondance avec le chapitre juridique).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Condenser 22.2 et renvoyer au chapitre juridique ; ne conserver que la base risque/urgence + normes chinoises de risque.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Chapitre 7 ; HJ 169-2018 ; GB 18218-2018.</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Rejoint l'observation de Zhou Zilai ; évite le doublon.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22.2 — Constitution 2025</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Références constitutionnelles à harmoniser.</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Aligner la citation (art. 30 ; déchets toxiques) avec les autres chapitres.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Constitution guinéenne (art. 30).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Cohérence documentaire.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22.2 — Installations classées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Présomption 1re classe sans identification des dangers majeurs.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Identifier les sources de danger majeures selon GB 18218-2018 (seuils).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18218-2018.</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Conditionne le niveau d'étude de dangers exigé.</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22.2 — Seveso III</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Seveso III cité sans les équivalents chinois.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GB 18218-2018, le Règlement RPC produits chimiques dangereux et HJ 169-2018.</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18218-2018 ; HJ 169-2018 ; Règlement RPC.</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Aligne la méthode sur le cadre du bailleur chinois.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22.2 — OIT n°174</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Convention citée sans vérifier la ratification.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Vérifier la ratification par la Guinée ; sinon, citer comme bonne pratique.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OIT n°174 ; droit guinéen.</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Évite d'attribuer une valeur obligatoire à un texte non ratifié.</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22.2 — GISTM (résidus)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GISTM cité sans les normes chinoises de sécurité des parcs.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GB 50863-2013 et GB 39496-2020 (étude de rupture + plan d'urgence).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39496-2020 ; GISTM.</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Normes obligatoires pour un ouvrage à financement chinois.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22.3 — Méthodologie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Approche source-voie-récepteur sans référentiel chinois.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Conduire l'évaluation selon HJ 169-2018 + classement HJ 941-2018.</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HJ 169-2018 ; HJ 941-2018.</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Méthodologie attendue par le bailleur (le principal apport).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22.3 — Cotation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Appréciation purement qualitative.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Matrice semi-quantitative + analyse quantitative des conséquences pour les scénarios majeurs.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HJ 169-2018 ; HJ 941-2018.</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 qualitatif seul est insuffisant pour les risques majeurs.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22.4 — Complétude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Scénarios non exhaustivement justifiés.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HAZID sur toutes les composantes + criblage des dangers majeurs.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18218-2018 ; HAZID.</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Rejoint l'observation de Zhou ; démontre l'exhaustivité.</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22.1/22.4 — Gazéification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Unité de gazéification absente des scénarios.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un scénario fuite/explosion de gaz de synthèse (CO, H₂S).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18218-2018.</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Risque majeur spécifique non couvert.</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22.4 — Rupture du parc à résidus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Scénario majeur sans étude de rupture.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Étude de rupture (dam-break), carte d'inondation, Plan d'Action d'Urgence.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39496-2020 ; GISTM.</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Ampleur et persistance des conséquences hors site.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22.4 — Infiltration/lixiviat</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Maîtrise de l'infiltration sans référentiel.</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Étanchéité GB 18599-2020 + surveillance GB/T 14848-2017.</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18599-2020 ; GB/T 14848-2017.</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Protection des eaux souterraines vérifiable.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22.4 — Déversement chimique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Confinement secondaire non dimensionné.</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Cuvettes GB 50351 + stockage GB 15603 (plus grand réservoir).</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50351 ; GB 15603.</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Confinement dimensionné et ségrégation des incompatibles.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22.4 — Rejet atmosphérique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Rejet anormal sans valeurs limites.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Rattacher à GB 13223-2011 + surveillance CEMS et seuils d'alarme.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13223-2011.</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Objective les seuils et la détection.</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22.4 — Déversement marin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Récepteurs marins sans référentiels de qualité.</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GB 3838-2002, GB 3097-1997, GB/T 14848-2017 + plan SOPEP/MARPOL.</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3838-2002 ; GB 3097-1997 ; MARPOL.</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Objective les seuils d'impact et la réponse portuaire.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22.7 — Préparation aux urgences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Engagement « progressif / as appropriate » trop conditionnel.</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Plan d'urgence environnementale dès l'ÉIES, gradué HJ 941-2018 et déposé.</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HJ 941-2018 ; Mesures RPC plans d'urgence ; POI.</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Livrable attendu par le bailleur ; pas seulement « plus tard ».</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22.7 — Notification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Délai et autorité non précisés.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Notification ≤ 24 h ; AGÉE, préfecture, services ; alerte des communautés en aval.</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39496-2020 ; GISTM ; droit guinéen.</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Réponse hors site (parc à résidus, barrage).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22.7 — Duplication FR/EN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Contenu dupliqué en français puis en anglais.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Conserver une seule version (français) ; engagement cohérent.</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Lisibilité et cohérence du niveau d'engagement.</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22.8 — Catastrophe (ouvrages)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Rupture d'ouvrage sans plan d'action d'urgence.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Plan d'Action d'Urgence (cartes d'inondation, trigger levels, évacuation).</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39496-2020 ; GISTM.</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Sécurise la réponse aux ruptures de parc/barrage.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22.6 — Report des mesures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Report excessif « à un stade ultérieur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Réaliser l'ERA (HJ 169) et l'identification des dangers majeurs (GB 18218) dès l'ÉIES.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HJ 169-2018 ; GB 18218-2018.</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 bailleur attend une évaluation substantielle maintenant.</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22.9 — Surveillance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Audits sans exercices ni indicateurs.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Programme d'exercices d'urgence + KPI (incidents, délais, exercices).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 ; GISTM.</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Rend le dispositif mesurable et testé.</w:t>
            </w:r>
          </w:p>
        </w:tc>
      </w:tr>
    </w:tbl>
    <w:p>
      <w:pPr>
        <w:spacing w:before="200"/>
      </w:pPr>
      <w:r>
        <w:rPr>
          <w:rFonts w:ascii="Arial" w:cs="Arial" w:eastAsia="Arial" w:hAnsi="Arial"/>
          <w:i/>
          <w:iCs/>
          <w:color w:val="7F7F7F"/>
          <w:sz w:val="15"/>
          <w:szCs w:val="15"/>
        </w:rPr>
        <w:t xml:space="preserve">Référentiels : China Exim Bank (2007), MOFCOM/MEE (2022) ; méthodologie de risque HJ 169-2018, classement d'urgence HJ 941-2018 ; dangers majeurs GB 18218-2018 ; parcs à résidus GB 50863-2013, GB 39496-2020 (+ GISTM) ; déchets/eau GB 18599-2020, GB/T 14848-2017, GB 3838-2002, GB 3097-1997 ; stockage GB 50351, GB 15603 ; air GB 13223-2011 ; Seveso III et OIT n°174 en bonnes pratiques.</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 des corrections — Chapitre 22 (Risques environnementaux et urgences)</dc:title>
  <dc:creator>Dr IBRAHIMA DIALLO</dc:creator>
  <cp:lastModifiedBy>Un-named</cp:lastModifiedBy>
  <cp:revision>1</cp:revision>
  <dcterms:created xsi:type="dcterms:W3CDTF">2026-08-19T22:40:01.957Z</dcterms:created>
  <dcterms:modified xsi:type="dcterms:W3CDTF">2026-08-19T22:40:01.972Z</dcterms:modified>
</cp:coreProperties>
</file>

<file path=docProps/custom.xml><?xml version="1.0" encoding="utf-8"?>
<Properties xmlns="http://schemas.openxmlformats.org/officeDocument/2006/custom-properties" xmlns:vt="http://schemas.openxmlformats.org/officeDocument/2006/docPropsVTypes"/>
</file>