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olor w:val="1F3864"/>
          <w:sz w:val="40"/>
          <w:szCs w:val="40"/>
        </w:rPr>
        <w:t xml:space="preserve">KASI GROUP SARL</w:t>
      </w:r>
    </w:p>
    <w:p>
      <w:pPr>
        <w:spacing w:after="500" w:before="60"/>
        <w:jc w:val="center"/>
      </w:pPr>
      <w:r>
        <w:rPr>
          <w:color w:val="595959"/>
          <w:sz w:val="20"/>
          <w:szCs w:val="20"/>
        </w:rPr>
        <w:t xml:space="preserve">RCCM GN.TCC.2025.B.16465 | NIF 642333652</w:t>
      </w:r>
    </w:p>
    <w:p>
      <w:pPr>
        <w:spacing w:after="60" w:before="0"/>
        <w:jc w:val="center"/>
      </w:pPr>
      <w:r>
        <w:rPr>
          <w:b/>
          <w:bCs/>
          <w:color w:val="1F3864"/>
          <w:sz w:val="52"/>
          <w:szCs w:val="52"/>
        </w:rPr>
        <w:t xml:space="preserve">BILAN COMPTABLE</w:t>
      </w:r>
    </w:p>
    <w:p>
      <w:pPr>
        <w:spacing w:after="300" w:before="0"/>
        <w:jc w:val="center"/>
      </w:pPr>
      <w:r>
        <w:rPr>
          <w:b/>
          <w:bCs/>
          <w:color w:val="1F3864"/>
          <w:sz w:val="30"/>
          <w:szCs w:val="30"/>
        </w:rPr>
        <w:t xml:space="preserve">DES CAMPAGNES AGRICOLES 2024 ET 2025</w:t>
      </w:r>
    </w:p>
    <w:p>
      <w:pPr>
        <w:spacing w:after="40" w:before="0"/>
        <w:jc w:val="center"/>
      </w:pPr>
      <w:r>
        <w:rPr>
          <w:sz w:val="26"/>
          <w:szCs w:val="26"/>
        </w:rPr>
        <w:t xml:space="preserve">Domaine agricole de 60 hectares</w:t>
      </w:r>
    </w:p>
    <w:p>
      <w:pPr>
        <w:spacing w:after="40" w:before="0"/>
        <w:jc w:val="center"/>
      </w:pPr>
      <w:r>
        <w:rPr>
          <w:b/>
          <w:bCs/>
          <w:sz w:val="26"/>
          <w:szCs w:val="26"/>
        </w:rPr>
        <w:t xml:space="preserve">Sous-préfecture de Guéasso</w:t>
      </w:r>
    </w:p>
    <w:p>
      <w:pPr>
        <w:spacing w:after="900" w:before="0"/>
        <w:jc w:val="center"/>
      </w:pPr>
      <w:r>
        <w:rPr>
          <w:color w:val="595959"/>
          <w:sz w:val="22"/>
          <w:szCs w:val="22"/>
        </w:rPr>
        <w:t xml:space="preserve">Préfecture de Lola — Région de N’Zérékoré — République de Guinée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260"/>
      </w:tblGrid>
      <w:tr>
        <w:trPr>
          <w:tblHeader/>
        </w:trPr>
        <w:tc>
          <w:tcPr>
            <w:tcW w:type="dxa" w:w="29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Résultat net de la campagne</w:t>
            </w:r>
          </w:p>
        </w:tc>
        <w:tc>
          <w:tcPr>
            <w:tcW w:type="dxa" w:w="32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w:t>
            </w:r>
          </w:p>
        </w:tc>
        <w:tc>
          <w:tcPr>
            <w:tcW w:type="dxa" w:w="32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Situation</w:t>
            </w:r>
          </w:p>
        </w:tc>
      </w:tr>
      <w:tr>
        <w:tc>
          <w:tcPr>
            <w:tcW w:type="dxa" w:w="2900"/>
            <w:tcMar>
              <w:top w:type="dxa" w:w="60"/>
              <w:left w:type="dxa" w:w="90"/>
              <w:bottom w:type="dxa" w:w="60"/>
              <w:right w:type="dxa" w:w="90"/>
            </w:tcMar>
          </w:tcPr>
          <w:p>
            <w:pPr>
              <w:spacing w:after="0" w:before="0"/>
              <w:jc w:val="left"/>
            </w:pPr>
            <w:r>
              <w:rPr>
                <w:b w:val="false"/>
                <w:bCs w:val="false"/>
                <w:i w:val="false"/>
                <w:iCs w:val="false"/>
                <w:sz w:val="19"/>
                <w:szCs w:val="19"/>
              </w:rPr>
              <w:t xml:space="preserve">Campagne 2024</w:t>
            </w:r>
          </w:p>
        </w:tc>
        <w:tc>
          <w:tcPr>
            <w:tcW w:type="dxa" w:w="3200"/>
            <w:tcMar>
              <w:top w:type="dxa" w:w="60"/>
              <w:left w:type="dxa" w:w="90"/>
              <w:bottom w:type="dxa" w:w="60"/>
              <w:right w:type="dxa" w:w="90"/>
            </w:tcMar>
          </w:tcPr>
          <w:p>
            <w:pPr>
              <w:spacing w:after="0" w:before="0"/>
              <w:jc w:val="right"/>
            </w:pPr>
            <w:r>
              <w:rPr>
                <w:b w:val="false"/>
                <w:bCs w:val="false"/>
                <w:i w:val="false"/>
                <w:iCs w:val="false"/>
                <w:sz w:val="19"/>
                <w:szCs w:val="19"/>
              </w:rPr>
              <w:t xml:space="preserve">49 256 263 GNF</w:t>
            </w:r>
          </w:p>
        </w:tc>
        <w:tc>
          <w:tcPr>
            <w:tcW w:type="dxa" w:w="3260"/>
            <w:tcMar>
              <w:top w:type="dxa" w:w="60"/>
              <w:left w:type="dxa" w:w="90"/>
              <w:bottom w:type="dxa" w:w="60"/>
              <w:right w:type="dxa" w:w="90"/>
            </w:tcMar>
          </w:tcPr>
          <w:p>
            <w:pPr>
              <w:spacing w:after="0" w:before="0"/>
              <w:jc w:val="right"/>
            </w:pPr>
            <w:r>
              <w:rPr>
                <w:b w:val="false"/>
                <w:bCs w:val="false"/>
                <w:i w:val="false"/>
                <w:iCs w:val="false"/>
                <w:sz w:val="19"/>
                <w:szCs w:val="19"/>
              </w:rPr>
              <w:t xml:space="preserve">Bénéficiaire</w:t>
            </w:r>
          </w:p>
        </w:tc>
      </w:tr>
      <w:tr>
        <w:tc>
          <w:tcPr>
            <w:tcW w:type="dxa" w:w="2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Campagne 2025</w:t>
            </w:r>
          </w:p>
        </w:tc>
        <w:tc>
          <w:tcPr>
            <w:tcW w:type="dxa" w:w="32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182 951 923 GNF</w:t>
            </w:r>
          </w:p>
        </w:tc>
        <w:tc>
          <w:tcPr>
            <w:tcW w:type="dxa" w:w="32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Bénéficiaire</w:t>
            </w:r>
          </w:p>
        </w:tc>
      </w:tr>
      <w:tr>
        <w:tc>
          <w:tcPr>
            <w:tcW w:type="dxa" w:w="29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Progression du résultat net</w:t>
            </w:r>
          </w:p>
        </w:tc>
        <w:tc>
          <w:tcPr>
            <w:tcW w:type="dxa" w:w="32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+271,4 %</w:t>
            </w:r>
          </w:p>
        </w:tc>
        <w:tc>
          <w:tcPr>
            <w:tcW w:type="dxa" w:w="32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×3,71</w:t>
            </w:r>
          </w:p>
        </w:tc>
      </w:tr>
    </w:tbl>
    <w:p>
      <w:pPr>
        <w:spacing w:after="0" w:before="700"/>
        <w:jc w:val="center"/>
      </w:pPr>
      <w:r>
        <w:rPr>
          <w:i/>
          <w:iCs/>
          <w:color w:val="C00000"/>
          <w:sz w:val="19"/>
          <w:szCs w:val="19"/>
        </w:rPr>
        <w:t xml:space="preserve">Comptes d’exploitation et bilans reconstitués sur hypothèses technico-économiques</w:t>
      </w:r>
    </w:p>
    <w:p>
      <w:pPr>
        <w:spacing w:after="0" w:before="30"/>
        <w:jc w:val="center"/>
      </w:pPr>
      <w:r>
        <w:rPr>
          <w:i/>
          <w:iCs/>
          <w:color w:val="595959"/>
          <w:sz w:val="19"/>
          <w:szCs w:val="19"/>
        </w:rPr>
        <w:t xml:space="preserve">Référentiel SYSCOHADA révisé — Document non audité et non certifié</w:t>
      </w:r>
    </w:p>
    <w:p>
      <w:r>
        <w:br w:type="page"/>
      </w:r>
    </w:p>
    <w:p>
      <w:pPr>
        <w:pStyle w:val="Heading1"/>
        <w:spacing w:after="180" w:before="320"/>
      </w:pPr>
      <w:r>
        <w:rPr>
          <w:b/>
          <w:bCs/>
          <w:color w:val="1F3864"/>
          <w:sz w:val="30"/>
          <w:szCs w:val="30"/>
        </w:rPr>
        <w:t xml:space="preserve">Avertissement sur la portée du document</w:t>
      </w:r>
    </w:p>
    <w:p>
      <w:pPr>
        <w:pBdr>
          <w:top w:val="single" w:color="C00000" w:sz="6"/>
          <w:bottom w:val="single" w:color="C00000" w:sz="6"/>
          <w:left w:val="single" w:color="C00000" w:sz="6"/>
          <w:right w:val="single" w:color="C00000" w:sz="6"/>
        </w:pBdr>
        <w:shd w:fill="FFF2CC" w:color="auto" w:val="clear"/>
        <w:spacing w:after="160" w:line="276"/>
        <w:jc w:val="both"/>
      </w:pPr>
      <w:r>
        <w:rPr>
          <w:b/>
          <w:bCs/>
          <w:sz w:val="20"/>
          <w:szCs w:val="20"/>
        </w:rPr>
        <w:t xml:space="preserve">KASI GROUP SARL est immatriculée au Registre du Commerce et du Crédit Mobilier depuis le 19 novembre 2025. La société ne peut donc produire ni états financiers historiques certifiés au titre de la campagne 2024, ni exercice social complet au titre de 2025. Le présent document est un jeu de comptes d’exploitation et de bilans RECONSTITUÉS, établis sur des hypothèses technico-économiques explicites et intégralement documentées. Il n’est ni audité, ni certifié par un commissaire aux comptes, ni opposable à l’administration fiscale.</w:t>
      </w:r>
    </w:p>
    <w:p>
      <w:pPr>
        <w:spacing w:after="140" w:before="0" w:line="276"/>
        <w:jc w:val="both"/>
      </w:pPr>
      <w:r>
        <w:rPr>
          <w:b w:val="false"/>
          <w:bCs w:val="false"/>
          <w:i w:val="false"/>
          <w:iCs w:val="false"/>
          <w:sz w:val="21"/>
          <w:szCs w:val="21"/>
        </w:rPr>
        <w:t xml:space="preserve">Le cadre juridique retenu pour chacune des deux campagnes est le suivant :</w:t>
      </w:r>
    </w:p>
    <w:p>
      <w:pPr>
        <w:pStyle w:val="ListParagraph"/>
        <w:numPr>
          <w:ilvl w:val="0"/>
          <w:numId w:val="2"/>
        </w:numPr>
        <w:spacing w:after="90" w:line="276"/>
        <w:jc w:val="both"/>
      </w:pPr>
      <w:r>
        <w:rPr>
          <w:sz w:val="21"/>
          <w:szCs w:val="21"/>
        </w:rPr>
        <w:t xml:space="preserve">Campagne 2024 — l’exploitation est conduite en nom propre par les promoteurs, MM. KABA Alhassane et SIDIBE Mohamed, sous le régime de l’entreprise individuelle agricole, avant la constitution de la société.</w:t>
      </w:r>
    </w:p>
    <w:p>
      <w:pPr>
        <w:pStyle w:val="ListParagraph"/>
        <w:numPr>
          <w:ilvl w:val="0"/>
          <w:numId w:val="2"/>
        </w:numPr>
        <w:spacing w:after="90" w:line="276"/>
        <w:jc w:val="both"/>
      </w:pPr>
      <w:r>
        <w:rPr>
          <w:sz w:val="21"/>
          <w:szCs w:val="21"/>
        </w:rPr>
        <w:t xml:space="preserve">Campagne 2025 — l’exploitation est apportée à KASI GROUP SARL lors de sa constitution du 19 novembre 2025. Les capitaux engagés par les promoteurs en 2024 sont reclassés en comptes courants d’associés bloqués au 31 décembre 2025.</w:t>
      </w:r>
    </w:p>
    <w:p>
      <w:pPr>
        <w:spacing w:after="140" w:before="0" w:line="276"/>
        <w:jc w:val="both"/>
      </w:pPr>
      <w:r>
        <w:rPr>
          <w:b w:val="false"/>
          <w:bCs w:val="false"/>
          <w:i w:val="false"/>
          <w:iCs w:val="false"/>
          <w:sz w:val="21"/>
          <w:szCs w:val="21"/>
        </w:rPr>
        <w:t xml:space="preserve">Ce document est destiné à un dossier de financement, à une demande de crédit agricole ou à la présentation du projet à un partenaire technique ou financier. Toute production devant un tiers doit conserver le présent avertissement. Les hypothèses de rendement et de prix sont des hypothèses de travail à valider par une contre-expertise avant tout engagement financier.</w:t>
      </w:r>
    </w:p>
    <w:p>
      <w:pPr>
        <w:pStyle w:val="Heading2"/>
        <w:spacing w:after="140" w:before="240"/>
      </w:pPr>
      <w:r>
        <w:rPr>
          <w:b/>
          <w:bCs/>
          <w:color w:val="1F3864"/>
          <w:sz w:val="24"/>
          <w:szCs w:val="24"/>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20"/>
      </w:pPr>
      <w:r>
        <w:rPr>
          <w:b/>
          <w:bCs/>
          <w:color w:val="1F3864"/>
          <w:sz w:val="30"/>
          <w:szCs w:val="30"/>
        </w:rPr>
        <w:t xml:space="preserve">1. Présentation de l’exploitant et du domaine</w:t>
      </w:r>
    </w:p>
    <w:p>
      <w:pPr>
        <w:pStyle w:val="Heading2"/>
        <w:spacing w:after="140" w:before="240"/>
      </w:pPr>
      <w:r>
        <w:rPr>
          <w:b/>
          <w:bCs/>
          <w:color w:val="1F3864"/>
          <w:sz w:val="24"/>
          <w:szCs w:val="24"/>
        </w:rPr>
        <w:t xml:space="preserve">1.1 Identification juridique et fiscale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Élément</w:t>
            </w:r>
          </w:p>
        </w:tc>
        <w:tc>
          <w:tcPr>
            <w:tcW w:type="dxa" w:w="63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Référence</w:t>
            </w:r>
          </w:p>
        </w:tc>
      </w:tr>
      <w:tr>
        <w:tc>
          <w:tcPr>
            <w:tcW w:type="dxa" w:w="3000"/>
            <w:tcMar>
              <w:top w:type="dxa" w:w="60"/>
              <w:left w:type="dxa" w:w="90"/>
              <w:bottom w:type="dxa" w:w="60"/>
              <w:right w:type="dxa" w:w="90"/>
            </w:tcMar>
          </w:tcPr>
          <w:p>
            <w:pPr>
              <w:spacing w:after="0" w:before="0"/>
              <w:jc w:val="left"/>
            </w:pPr>
            <w:r>
              <w:rPr>
                <w:b w:val="false"/>
                <w:bCs w:val="false"/>
                <w:i w:val="false"/>
                <w:iCs w:val="false"/>
                <w:sz w:val="19"/>
                <w:szCs w:val="19"/>
              </w:rPr>
              <w:t xml:space="preserve">Raison sociale</w:t>
            </w:r>
          </w:p>
        </w:tc>
        <w:tc>
          <w:tcPr>
            <w:tcW w:type="dxa" w:w="6360"/>
            <w:tcMar>
              <w:top w:type="dxa" w:w="60"/>
              <w:left w:type="dxa" w:w="90"/>
              <w:bottom w:type="dxa" w:w="60"/>
              <w:right w:type="dxa" w:w="90"/>
            </w:tcMar>
          </w:tcPr>
          <w:p>
            <w:pPr>
              <w:spacing w:after="0" w:before="0"/>
              <w:jc w:val="left"/>
            </w:pPr>
            <w:r>
              <w:rPr>
                <w:b w:val="false"/>
                <w:bCs w:val="false"/>
                <w:i w:val="false"/>
                <w:iCs w:val="false"/>
                <w:sz w:val="19"/>
                <w:szCs w:val="19"/>
              </w:rPr>
              <w:t xml:space="preserve">KASI GROUP SARL (sigle K-G-SARL)</w:t>
            </w:r>
          </w:p>
        </w:tc>
      </w:tr>
      <w:tr>
        <w:tc>
          <w:tcPr>
            <w:tcW w:type="dxa" w:w="30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Forme juridique</w:t>
            </w:r>
          </w:p>
        </w:tc>
        <w:tc>
          <w:tcPr>
            <w:tcW w:type="dxa" w:w="63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Société à responsabilité limitée</w:t>
            </w:r>
          </w:p>
        </w:tc>
      </w:tr>
      <w:tr>
        <w:tc>
          <w:tcPr>
            <w:tcW w:type="dxa" w:w="3000"/>
            <w:tcMar>
              <w:top w:type="dxa" w:w="60"/>
              <w:left w:type="dxa" w:w="90"/>
              <w:bottom w:type="dxa" w:w="60"/>
              <w:right w:type="dxa" w:w="90"/>
            </w:tcMar>
          </w:tcPr>
          <w:p>
            <w:pPr>
              <w:spacing w:after="0" w:before="0"/>
              <w:jc w:val="left"/>
            </w:pPr>
            <w:r>
              <w:rPr>
                <w:b w:val="false"/>
                <w:bCs w:val="false"/>
                <w:i w:val="false"/>
                <w:iCs w:val="false"/>
                <w:sz w:val="19"/>
                <w:szCs w:val="19"/>
              </w:rPr>
              <w:t xml:space="preserve">Numéro RCCM</w:t>
            </w:r>
          </w:p>
        </w:tc>
        <w:tc>
          <w:tcPr>
            <w:tcW w:type="dxa" w:w="6360"/>
            <w:tcMar>
              <w:top w:type="dxa" w:w="60"/>
              <w:left w:type="dxa" w:w="90"/>
              <w:bottom w:type="dxa" w:w="60"/>
              <w:right w:type="dxa" w:w="90"/>
            </w:tcMar>
          </w:tcPr>
          <w:p>
            <w:pPr>
              <w:spacing w:after="0" w:before="0"/>
              <w:jc w:val="left"/>
            </w:pPr>
            <w:r>
              <w:rPr>
                <w:b w:val="false"/>
                <w:bCs w:val="false"/>
                <w:i w:val="false"/>
                <w:iCs w:val="false"/>
                <w:sz w:val="19"/>
                <w:szCs w:val="19"/>
              </w:rPr>
              <w:t xml:space="preserve">GN.TCC.2025.B.16465</w:t>
            </w:r>
          </w:p>
        </w:tc>
      </w:tr>
      <w:tr>
        <w:tc>
          <w:tcPr>
            <w:tcW w:type="dxa" w:w="30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Numéro de formalité</w:t>
            </w:r>
          </w:p>
        </w:tc>
        <w:tc>
          <w:tcPr>
            <w:tcW w:type="dxa" w:w="63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GN.TCC.2025.18612</w:t>
            </w:r>
          </w:p>
        </w:tc>
      </w:tr>
      <w:tr>
        <w:tc>
          <w:tcPr>
            <w:tcW w:type="dxa" w:w="3000"/>
            <w:tcMar>
              <w:top w:type="dxa" w:w="60"/>
              <w:left w:type="dxa" w:w="90"/>
              <w:bottom w:type="dxa" w:w="60"/>
              <w:right w:type="dxa" w:w="90"/>
            </w:tcMar>
          </w:tcPr>
          <w:p>
            <w:pPr>
              <w:spacing w:after="0" w:before="0"/>
              <w:jc w:val="left"/>
            </w:pPr>
            <w:r>
              <w:rPr>
                <w:b w:val="false"/>
                <w:bCs w:val="false"/>
                <w:i w:val="false"/>
                <w:iCs w:val="false"/>
                <w:sz w:val="19"/>
                <w:szCs w:val="19"/>
              </w:rPr>
              <w:t xml:space="preserve">Date d’immatriculation</w:t>
            </w:r>
          </w:p>
        </w:tc>
        <w:tc>
          <w:tcPr>
            <w:tcW w:type="dxa" w:w="6360"/>
            <w:tcMar>
              <w:top w:type="dxa" w:w="60"/>
              <w:left w:type="dxa" w:w="90"/>
              <w:bottom w:type="dxa" w:w="60"/>
              <w:right w:type="dxa" w:w="90"/>
            </w:tcMar>
          </w:tcPr>
          <w:p>
            <w:pPr>
              <w:spacing w:after="0" w:before="0"/>
              <w:jc w:val="left"/>
            </w:pPr>
            <w:r>
              <w:rPr>
                <w:b w:val="false"/>
                <w:bCs w:val="false"/>
                <w:i w:val="false"/>
                <w:iCs w:val="false"/>
                <w:sz w:val="19"/>
                <w:szCs w:val="19"/>
              </w:rPr>
              <w:t xml:space="preserve">19 novembre 2025, Tribunal de Commerce de Conakry</w:t>
            </w:r>
          </w:p>
        </w:tc>
      </w:tr>
      <w:tr>
        <w:tc>
          <w:tcPr>
            <w:tcW w:type="dxa" w:w="30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Numéro d’Identification Fiscale</w:t>
            </w:r>
          </w:p>
        </w:tc>
        <w:tc>
          <w:tcPr>
            <w:tcW w:type="dxa" w:w="63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642333652</w:t>
            </w:r>
          </w:p>
        </w:tc>
      </w:tr>
      <w:tr>
        <w:tc>
          <w:tcPr>
            <w:tcW w:type="dxa" w:w="3000"/>
            <w:tcMar>
              <w:top w:type="dxa" w:w="60"/>
              <w:left w:type="dxa" w:w="90"/>
              <w:bottom w:type="dxa" w:w="60"/>
              <w:right w:type="dxa" w:w="90"/>
            </w:tcMar>
          </w:tcPr>
          <w:p>
            <w:pPr>
              <w:spacing w:after="0" w:before="0"/>
              <w:jc w:val="left"/>
            </w:pPr>
            <w:r>
              <w:rPr>
                <w:b w:val="false"/>
                <w:bCs w:val="false"/>
                <w:i w:val="false"/>
                <w:iCs w:val="false"/>
                <w:sz w:val="19"/>
                <w:szCs w:val="19"/>
              </w:rPr>
              <w:t xml:space="preserve">Numéro eTax</w:t>
            </w:r>
          </w:p>
        </w:tc>
        <w:tc>
          <w:tcPr>
            <w:tcW w:type="dxa" w:w="6360"/>
            <w:tcMar>
              <w:top w:type="dxa" w:w="60"/>
              <w:left w:type="dxa" w:w="90"/>
              <w:bottom w:type="dxa" w:w="60"/>
              <w:right w:type="dxa" w:w="90"/>
            </w:tcMar>
          </w:tcPr>
          <w:p>
            <w:pPr>
              <w:spacing w:after="0" w:before="0"/>
              <w:jc w:val="left"/>
            </w:pPr>
            <w:r>
              <w:rPr>
                <w:b w:val="false"/>
                <w:bCs w:val="false"/>
                <w:i w:val="false"/>
                <w:iCs w:val="false"/>
                <w:sz w:val="19"/>
                <w:szCs w:val="19"/>
              </w:rPr>
              <w:t xml:space="preserve">1228802510892</w:t>
            </w:r>
          </w:p>
        </w:tc>
      </w:tr>
      <w:tr>
        <w:tc>
          <w:tcPr>
            <w:tcW w:type="dxa" w:w="30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Capital social</w:t>
            </w:r>
          </w:p>
        </w:tc>
        <w:tc>
          <w:tcPr>
            <w:tcW w:type="dxa" w:w="63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10 000 000 GNF, intégralement libéré en numéraire</w:t>
            </w:r>
          </w:p>
        </w:tc>
      </w:tr>
      <w:tr>
        <w:tc>
          <w:tcPr>
            <w:tcW w:type="dxa" w:w="3000"/>
            <w:tcMar>
              <w:top w:type="dxa" w:w="60"/>
              <w:left w:type="dxa" w:w="90"/>
              <w:bottom w:type="dxa" w:w="60"/>
              <w:right w:type="dxa" w:w="90"/>
            </w:tcMar>
          </w:tcPr>
          <w:p>
            <w:pPr>
              <w:spacing w:after="0" w:before="0"/>
              <w:jc w:val="left"/>
            </w:pPr>
            <w:r>
              <w:rPr>
                <w:b w:val="false"/>
                <w:bCs w:val="false"/>
                <w:i w:val="false"/>
                <w:iCs w:val="false"/>
                <w:sz w:val="19"/>
                <w:szCs w:val="19"/>
              </w:rPr>
              <w:t xml:space="preserve">Durée</w:t>
            </w:r>
          </w:p>
        </w:tc>
        <w:tc>
          <w:tcPr>
            <w:tcW w:type="dxa" w:w="6360"/>
            <w:tcMar>
              <w:top w:type="dxa" w:w="60"/>
              <w:left w:type="dxa" w:w="90"/>
              <w:bottom w:type="dxa" w:w="60"/>
              <w:right w:type="dxa" w:w="90"/>
            </w:tcMar>
          </w:tcPr>
          <w:p>
            <w:pPr>
              <w:spacing w:after="0" w:before="0"/>
              <w:jc w:val="left"/>
            </w:pPr>
            <w:r>
              <w:rPr>
                <w:b w:val="false"/>
                <w:bCs w:val="false"/>
                <w:i w:val="false"/>
                <w:iCs w:val="false"/>
                <w:sz w:val="19"/>
                <w:szCs w:val="19"/>
              </w:rPr>
              <w:t xml:space="preserve">99 ans à compter de l’immatriculation au RCCM</w:t>
            </w:r>
          </w:p>
        </w:tc>
      </w:tr>
      <w:tr>
        <w:tc>
          <w:tcPr>
            <w:tcW w:type="dxa" w:w="30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Siège social</w:t>
            </w:r>
          </w:p>
        </w:tc>
        <w:tc>
          <w:tcPr>
            <w:tcW w:type="dxa" w:w="63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Immeuble Sonoco, Marché Niger, Commune de Kaloum, Conakry</w:t>
            </w:r>
          </w:p>
        </w:tc>
      </w:tr>
      <w:tr>
        <w:tc>
          <w:tcPr>
            <w:tcW w:type="dxa" w:w="3000"/>
            <w:tcMar>
              <w:top w:type="dxa" w:w="60"/>
              <w:left w:type="dxa" w:w="90"/>
              <w:bottom w:type="dxa" w:w="60"/>
              <w:right w:type="dxa" w:w="90"/>
            </w:tcMar>
          </w:tcPr>
          <w:p>
            <w:pPr>
              <w:spacing w:after="0" w:before="0"/>
              <w:jc w:val="left"/>
            </w:pPr>
            <w:r>
              <w:rPr>
                <w:b w:val="false"/>
                <w:bCs w:val="false"/>
                <w:i w:val="false"/>
                <w:iCs w:val="false"/>
                <w:sz w:val="19"/>
                <w:szCs w:val="19"/>
              </w:rPr>
              <w:t xml:space="preserve">Cogérants</w:t>
            </w:r>
          </w:p>
        </w:tc>
        <w:tc>
          <w:tcPr>
            <w:tcW w:type="dxa" w:w="6360"/>
            <w:tcMar>
              <w:top w:type="dxa" w:w="60"/>
              <w:left w:type="dxa" w:w="90"/>
              <w:bottom w:type="dxa" w:w="60"/>
              <w:right w:type="dxa" w:w="90"/>
            </w:tcMar>
          </w:tcPr>
          <w:p>
            <w:pPr>
              <w:spacing w:after="0" w:before="0"/>
              <w:jc w:val="left"/>
            </w:pPr>
            <w:r>
              <w:rPr>
                <w:b w:val="false"/>
                <w:bCs w:val="false"/>
                <w:i w:val="false"/>
                <w:iCs w:val="false"/>
                <w:sz w:val="19"/>
                <w:szCs w:val="19"/>
              </w:rPr>
              <w:t xml:space="preserve">KABA Alhassane et SIDIBE Mohamed</w:t>
            </w:r>
          </w:p>
        </w:tc>
      </w:tr>
      <w:tr>
        <w:tc>
          <w:tcPr>
            <w:tcW w:type="dxa" w:w="30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Objet social</w:t>
            </w:r>
          </w:p>
        </w:tc>
        <w:tc>
          <w:tcPr>
            <w:tcW w:type="dxa" w:w="63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BTP, commerce, agriculture, communication, technologie, transport, mines, élevage, immobilier</w:t>
            </w:r>
          </w:p>
        </w:tc>
      </w:tr>
    </w:tbl>
    <w:p>
      <w:pPr>
        <w:spacing w:after="200" w:before="80"/>
        <w:jc w:val="left"/>
      </w:pPr>
      <w:r>
        <w:rPr>
          <w:i/>
          <w:iCs/>
          <w:color w:val="595959"/>
          <w:sz w:val="17"/>
          <w:szCs w:val="17"/>
        </w:rPr>
        <w:t xml:space="preserve">Source : extrait RCCM du 19 novembre 2025 et notification d’immatriculation de la Direction Générale des Impôts.</w:t>
      </w:r>
    </w:p>
    <w:p>
      <w:pPr>
        <w:pStyle w:val="Heading2"/>
        <w:spacing w:after="140" w:before="240"/>
      </w:pPr>
      <w:r>
        <w:rPr>
          <w:b/>
          <w:bCs/>
          <w:color w:val="1F3864"/>
          <w:sz w:val="24"/>
          <w:szCs w:val="24"/>
        </w:rPr>
        <w:t xml:space="preserve">1.2 Localisation et contexte agro-écologique</w:t>
      </w:r>
    </w:p>
    <w:p>
      <w:pPr>
        <w:spacing w:after="140" w:before="0" w:line="276"/>
        <w:jc w:val="both"/>
      </w:pPr>
      <w:r>
        <w:rPr>
          <w:b w:val="false"/>
          <w:bCs w:val="false"/>
          <w:i w:val="false"/>
          <w:iCs w:val="false"/>
          <w:sz w:val="21"/>
          <w:szCs w:val="21"/>
        </w:rPr>
        <w:t xml:space="preserve">Le domaine est situé dans la sous-préfecture de Guéasso, préfecture de Lola, région administrative de N’Zérékoré, en Guinée forestière. Cette zone bénéficie d’une pluviométrie annuelle comprise entre 1 800 et 2 200 millimètres, répartie sur huit à neuf mois, et de sols ferrallitiques désaturés profonds sur un relief de collines entrecoupées de bas-fonds.</w:t>
      </w:r>
    </w:p>
    <w:p>
      <w:pPr>
        <w:spacing w:after="140" w:before="0" w:line="276"/>
        <w:jc w:val="both"/>
      </w:pPr>
      <w:r>
        <w:rPr>
          <w:b w:val="false"/>
          <w:bCs w:val="false"/>
          <w:i w:val="false"/>
          <w:iCs w:val="false"/>
          <w:sz w:val="21"/>
          <w:szCs w:val="21"/>
        </w:rPr>
        <w:t xml:space="preserve">Ces conditions sont favorables au riz pluvial et au riz de bas-fond, au maïs, au manioc et à l’arachide, qui constituent l’assolement retenu. Les débouchés commerciaux sont les marchés de Lola, de N’Zérékoré et de Beyla, complétés par les flux transfrontaliers de la zone. Le principal facteur limitant de la zone n’est pas agronomique mais logistique : l’état des pistes rurales conditionne l’évacuation des récoltes et le prix obtenu au bord du champ.</w:t>
      </w:r>
    </w:p>
    <w:p>
      <w:pPr>
        <w:pStyle w:val="Heading2"/>
        <w:spacing w:after="140" w:before="240"/>
      </w:pPr>
      <w:r>
        <w:rPr>
          <w:b/>
          <w:bCs/>
          <w:color w:val="1F3864"/>
          <w:sz w:val="24"/>
          <w:szCs w:val="24"/>
        </w:rPr>
        <w:t xml:space="preserve">1.3 Assolement des deux campagnes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1500"/>
        <w:gridCol w:w="1500"/>
        <w:gridCol w:w="3100"/>
      </w:tblGrid>
      <w:tr>
        <w:trPr>
          <w:tblHeader/>
        </w:trPr>
        <w:tc>
          <w:tcPr>
            <w:tcW w:type="dxa" w:w="326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Spéculation</w:t>
            </w:r>
          </w:p>
        </w:tc>
        <w:tc>
          <w:tcPr>
            <w:tcW w:type="dxa" w:w="15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2024 (ha)</w:t>
            </w:r>
          </w:p>
        </w:tc>
        <w:tc>
          <w:tcPr>
            <w:tcW w:type="dxa" w:w="15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2025 (ha)</w:t>
            </w:r>
          </w:p>
        </w:tc>
        <w:tc>
          <w:tcPr>
            <w:tcW w:type="dxa" w:w="31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Évolution retenue</w:t>
            </w:r>
          </w:p>
        </w:tc>
      </w:tr>
      <w:tr>
        <w:tc>
          <w:tcPr>
            <w:tcW w:type="dxa" w:w="3260"/>
            <w:tcMar>
              <w:top w:type="dxa" w:w="60"/>
              <w:left w:type="dxa" w:w="90"/>
              <w:bottom w:type="dxa" w:w="60"/>
              <w:right w:type="dxa" w:w="90"/>
            </w:tcMar>
          </w:tcPr>
          <w:p>
            <w:pPr>
              <w:spacing w:after="0" w:before="0"/>
              <w:jc w:val="left"/>
            </w:pPr>
            <w:r>
              <w:rPr>
                <w:b w:val="false"/>
                <w:bCs w:val="false"/>
                <w:i w:val="false"/>
                <w:iCs w:val="false"/>
                <w:sz w:val="19"/>
                <w:szCs w:val="19"/>
              </w:rPr>
              <w:t xml:space="preserve">Riz pluvial NERICA</w:t>
            </w:r>
          </w:p>
        </w:tc>
        <w:tc>
          <w:tcPr>
            <w:tcW w:type="dxa" w:w="1500"/>
            <w:tcMar>
              <w:top w:type="dxa" w:w="60"/>
              <w:left w:type="dxa" w:w="90"/>
              <w:bottom w:type="dxa" w:w="60"/>
              <w:right w:type="dxa" w:w="90"/>
            </w:tcMar>
          </w:tcPr>
          <w:p>
            <w:pPr>
              <w:spacing w:after="0" w:before="0"/>
              <w:jc w:val="right"/>
            </w:pPr>
            <w:r>
              <w:rPr>
                <w:b w:val="false"/>
                <w:bCs w:val="false"/>
                <w:i w:val="false"/>
                <w:iCs w:val="false"/>
                <w:sz w:val="19"/>
                <w:szCs w:val="19"/>
              </w:rPr>
              <w:t xml:space="preserve">22,0</w:t>
            </w:r>
          </w:p>
        </w:tc>
        <w:tc>
          <w:tcPr>
            <w:tcW w:type="dxa" w:w="1500"/>
            <w:tcMar>
              <w:top w:type="dxa" w:w="60"/>
              <w:left w:type="dxa" w:w="90"/>
              <w:bottom w:type="dxa" w:w="60"/>
              <w:right w:type="dxa" w:w="90"/>
            </w:tcMar>
          </w:tcPr>
          <w:p>
            <w:pPr>
              <w:spacing w:after="0" w:before="0"/>
              <w:jc w:val="right"/>
            </w:pPr>
            <w:r>
              <w:rPr>
                <w:b w:val="false"/>
                <w:bCs w:val="false"/>
                <w:i w:val="false"/>
                <w:iCs w:val="false"/>
                <w:sz w:val="19"/>
                <w:szCs w:val="19"/>
              </w:rPr>
              <w:t xml:space="preserve">23,0</w:t>
            </w:r>
          </w:p>
        </w:tc>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Spéculation pivot du domaine</w:t>
            </w:r>
          </w:p>
        </w:tc>
      </w:tr>
      <w:tr>
        <w:tc>
          <w:tcPr>
            <w:tcW w:type="dxa" w:w="32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Riz de bas-fond aménagé</w:t>
            </w:r>
          </w:p>
        </w:tc>
        <w:tc>
          <w:tcPr>
            <w:tcW w:type="dxa" w:w="15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w:t>
            </w:r>
          </w:p>
        </w:tc>
        <w:tc>
          <w:tcPr>
            <w:tcW w:type="dxa" w:w="15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4,0</w:t>
            </w:r>
          </w:p>
        </w:tc>
        <w:tc>
          <w:tcPr>
            <w:tcW w:type="dxa" w:w="31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Bas-fond planné et endigué en 2025</w:t>
            </w:r>
          </w:p>
        </w:tc>
      </w:tr>
      <w:tr>
        <w:tc>
          <w:tcPr>
            <w:tcW w:type="dxa" w:w="3260"/>
            <w:tcMar>
              <w:top w:type="dxa" w:w="60"/>
              <w:left w:type="dxa" w:w="90"/>
              <w:bottom w:type="dxa" w:w="60"/>
              <w:right w:type="dxa" w:w="90"/>
            </w:tcMar>
          </w:tcPr>
          <w:p>
            <w:pPr>
              <w:spacing w:after="0" w:before="0"/>
              <w:jc w:val="left"/>
            </w:pPr>
            <w:r>
              <w:rPr>
                <w:b w:val="false"/>
                <w:bCs w:val="false"/>
                <w:i w:val="false"/>
                <w:iCs w:val="false"/>
                <w:sz w:val="19"/>
                <w:szCs w:val="19"/>
              </w:rPr>
              <w:t xml:space="preserve">Maïs grain</w:t>
            </w:r>
          </w:p>
        </w:tc>
        <w:tc>
          <w:tcPr>
            <w:tcW w:type="dxa" w:w="1500"/>
            <w:tcMar>
              <w:top w:type="dxa" w:w="60"/>
              <w:left w:type="dxa" w:w="90"/>
              <w:bottom w:type="dxa" w:w="60"/>
              <w:right w:type="dxa" w:w="90"/>
            </w:tcMar>
          </w:tcPr>
          <w:p>
            <w:pPr>
              <w:spacing w:after="0" w:before="0"/>
              <w:jc w:val="right"/>
            </w:pPr>
            <w:r>
              <w:rPr>
                <w:b w:val="false"/>
                <w:bCs w:val="false"/>
                <w:i w:val="false"/>
                <w:iCs w:val="false"/>
                <w:sz w:val="19"/>
                <w:szCs w:val="19"/>
              </w:rPr>
              <w:t xml:space="preserve">14,0</w:t>
            </w:r>
          </w:p>
        </w:tc>
        <w:tc>
          <w:tcPr>
            <w:tcW w:type="dxa" w:w="1500"/>
            <w:tcMar>
              <w:top w:type="dxa" w:w="60"/>
              <w:left w:type="dxa" w:w="90"/>
              <w:bottom w:type="dxa" w:w="60"/>
              <w:right w:type="dxa" w:w="90"/>
            </w:tcMar>
          </w:tcPr>
          <w:p>
            <w:pPr>
              <w:spacing w:after="0" w:before="0"/>
              <w:jc w:val="right"/>
            </w:pPr>
            <w:r>
              <w:rPr>
                <w:b w:val="false"/>
                <w:bCs w:val="false"/>
                <w:i w:val="false"/>
                <w:iCs w:val="false"/>
                <w:sz w:val="19"/>
                <w:szCs w:val="19"/>
              </w:rPr>
              <w:t xml:space="preserve">14,0</w:t>
            </w:r>
          </w:p>
        </w:tc>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Rotation et débouché provende</w:t>
            </w:r>
          </w:p>
        </w:tc>
      </w:tr>
      <w:tr>
        <w:tc>
          <w:tcPr>
            <w:tcW w:type="dxa" w:w="32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Manioc</w:t>
            </w:r>
          </w:p>
        </w:tc>
        <w:tc>
          <w:tcPr>
            <w:tcW w:type="dxa" w:w="15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12,0</w:t>
            </w:r>
          </w:p>
        </w:tc>
        <w:tc>
          <w:tcPr>
            <w:tcW w:type="dxa" w:w="15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11,0</w:t>
            </w:r>
          </w:p>
        </w:tc>
        <w:tc>
          <w:tcPr>
            <w:tcW w:type="dxa" w:w="31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Surface réduite au profit du riz</w:t>
            </w:r>
          </w:p>
        </w:tc>
      </w:tr>
      <w:tr>
        <w:tc>
          <w:tcPr>
            <w:tcW w:type="dxa" w:w="3260"/>
            <w:tcMar>
              <w:top w:type="dxa" w:w="60"/>
              <w:left w:type="dxa" w:w="90"/>
              <w:bottom w:type="dxa" w:w="60"/>
              <w:right w:type="dxa" w:w="90"/>
            </w:tcMar>
          </w:tcPr>
          <w:p>
            <w:pPr>
              <w:spacing w:after="0" w:before="0"/>
              <w:jc w:val="left"/>
            </w:pPr>
            <w:r>
              <w:rPr>
                <w:b w:val="false"/>
                <w:bCs w:val="false"/>
                <w:i w:val="false"/>
                <w:iCs w:val="false"/>
                <w:sz w:val="19"/>
                <w:szCs w:val="19"/>
              </w:rPr>
              <w:t xml:space="preserve">Arachide en coque</w:t>
            </w:r>
          </w:p>
        </w:tc>
        <w:tc>
          <w:tcPr>
            <w:tcW w:type="dxa" w:w="1500"/>
            <w:tcMar>
              <w:top w:type="dxa" w:w="60"/>
              <w:left w:type="dxa" w:w="90"/>
              <w:bottom w:type="dxa" w:w="60"/>
              <w:right w:type="dxa" w:w="90"/>
            </w:tcMar>
          </w:tcPr>
          <w:p>
            <w:pPr>
              <w:spacing w:after="0" w:before="0"/>
              <w:jc w:val="right"/>
            </w:pPr>
            <w:r>
              <w:rPr>
                <w:b w:val="false"/>
                <w:bCs w:val="false"/>
                <w:i w:val="false"/>
                <w:iCs w:val="false"/>
                <w:sz w:val="19"/>
                <w:szCs w:val="19"/>
              </w:rPr>
              <w:t xml:space="preserve">7,0</w:t>
            </w:r>
          </w:p>
        </w:tc>
        <w:tc>
          <w:tcPr>
            <w:tcW w:type="dxa" w:w="1500"/>
            <w:tcMar>
              <w:top w:type="dxa" w:w="60"/>
              <w:left w:type="dxa" w:w="90"/>
              <w:bottom w:type="dxa" w:w="60"/>
              <w:right w:type="dxa" w:w="90"/>
            </w:tcMar>
          </w:tcPr>
          <w:p>
            <w:pPr>
              <w:spacing w:after="0" w:before="0"/>
              <w:jc w:val="right"/>
            </w:pPr>
            <w:r>
              <w:rPr>
                <w:b w:val="false"/>
                <w:bCs w:val="false"/>
                <w:i w:val="false"/>
                <w:iCs w:val="false"/>
                <w:sz w:val="19"/>
                <w:szCs w:val="19"/>
              </w:rPr>
              <w:t xml:space="preserve">6,0</w:t>
            </w:r>
          </w:p>
        </w:tc>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Légumineuse de rotation, tête d’assolement</w:t>
            </w:r>
          </w:p>
        </w:tc>
      </w:tr>
      <w:tr>
        <w:tc>
          <w:tcPr>
            <w:tcW w:type="dxa" w:w="326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 emblavé</w:t>
            </w:r>
          </w:p>
        </w:tc>
        <w:tc>
          <w:tcPr>
            <w:tcW w:type="dxa" w:w="15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55,0</w:t>
            </w:r>
          </w:p>
        </w:tc>
        <w:tc>
          <w:tcPr>
            <w:tcW w:type="dxa" w:w="15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58,0</w:t>
            </w:r>
          </w:p>
        </w:tc>
        <w:tc>
          <w:tcPr>
            <w:tcW w:type="dxa" w:w="31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Emprise non cultivée réduite</w:t>
            </w:r>
          </w:p>
        </w:tc>
      </w:tr>
      <w:tr>
        <w:tc>
          <w:tcPr>
            <w:tcW w:type="dxa" w:w="3260"/>
            <w:tcMar>
              <w:top w:type="dxa" w:w="60"/>
              <w:left w:type="dxa" w:w="90"/>
              <w:bottom w:type="dxa" w:w="60"/>
              <w:right w:type="dxa" w:w="90"/>
            </w:tcMar>
          </w:tcPr>
          <w:p>
            <w:pPr>
              <w:spacing w:after="0" w:before="0"/>
              <w:jc w:val="left"/>
            </w:pPr>
            <w:r>
              <w:rPr>
                <w:b w:val="false"/>
                <w:bCs w:val="false"/>
                <w:i w:val="false"/>
                <w:iCs w:val="false"/>
                <w:sz w:val="19"/>
                <w:szCs w:val="19"/>
              </w:rPr>
              <w:t xml:space="preserve">Superficie non cultivée</w:t>
            </w:r>
          </w:p>
        </w:tc>
        <w:tc>
          <w:tcPr>
            <w:tcW w:type="dxa" w:w="1500"/>
            <w:tcMar>
              <w:top w:type="dxa" w:w="60"/>
              <w:left w:type="dxa" w:w="90"/>
              <w:bottom w:type="dxa" w:w="60"/>
              <w:right w:type="dxa" w:w="90"/>
            </w:tcMar>
          </w:tcPr>
          <w:p>
            <w:pPr>
              <w:spacing w:after="0" w:before="0"/>
              <w:jc w:val="right"/>
            </w:pPr>
            <w:r>
              <w:rPr>
                <w:b w:val="false"/>
                <w:bCs w:val="false"/>
                <w:i w:val="false"/>
                <w:iCs w:val="false"/>
                <w:sz w:val="19"/>
                <w:szCs w:val="19"/>
              </w:rPr>
              <w:t xml:space="preserve">5,0</w:t>
            </w:r>
          </w:p>
        </w:tc>
        <w:tc>
          <w:tcPr>
            <w:tcW w:type="dxa" w:w="1500"/>
            <w:tcMar>
              <w:top w:type="dxa" w:w="60"/>
              <w:left w:type="dxa" w:w="90"/>
              <w:bottom w:type="dxa" w:w="60"/>
              <w:right w:type="dxa" w:w="90"/>
            </w:tcMar>
          </w:tcPr>
          <w:p>
            <w:pPr>
              <w:spacing w:after="0" w:before="0"/>
              <w:jc w:val="right"/>
            </w:pPr>
            <w:r>
              <w:rPr>
                <w:b w:val="false"/>
                <w:bCs w:val="false"/>
                <w:i w:val="false"/>
                <w:iCs w:val="false"/>
                <w:sz w:val="19"/>
                <w:szCs w:val="19"/>
              </w:rPr>
              <w:t xml:space="preserve">2,0</w:t>
            </w:r>
          </w:p>
        </w:tc>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Siège, hangars, pistes, pare-feu</w:t>
            </w:r>
          </w:p>
        </w:tc>
      </w:tr>
      <w:tr>
        <w:tc>
          <w:tcPr>
            <w:tcW w:type="dxa" w:w="326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Superficie totale du domaine</w:t>
            </w:r>
          </w:p>
        </w:tc>
        <w:tc>
          <w:tcPr>
            <w:tcW w:type="dxa" w:w="15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60,0</w:t>
            </w:r>
          </w:p>
        </w:tc>
        <w:tc>
          <w:tcPr>
            <w:tcW w:type="dxa" w:w="15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60,0</w:t>
            </w:r>
          </w:p>
        </w:tc>
        <w:tc>
          <w:tcPr>
            <w:tcW w:type="dxa" w:w="31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
            </w:r>
          </w:p>
        </w:tc>
      </w:tr>
    </w:tbl>
    <w:p>
      <w:r>
        <w:br w:type="page"/>
      </w:r>
    </w:p>
    <w:p>
      <w:pPr>
        <w:pStyle w:val="Heading1"/>
        <w:spacing w:after="180" w:before="320"/>
      </w:pPr>
      <w:r>
        <w:rPr>
          <w:b/>
          <w:bCs/>
          <w:color w:val="1F3864"/>
          <w:sz w:val="30"/>
          <w:szCs w:val="30"/>
        </w:rPr>
        <w:t xml:space="preserve">2. Méthodologie et hypothèses retenues</w:t>
      </w:r>
    </w:p>
    <w:p>
      <w:pPr>
        <w:pStyle w:val="Heading2"/>
        <w:spacing w:after="140" w:before="240"/>
      </w:pPr>
      <w:r>
        <w:rPr>
          <w:b/>
          <w:bCs/>
          <w:color w:val="1F3864"/>
          <w:sz w:val="24"/>
          <w:szCs w:val="24"/>
        </w:rPr>
        <w:t xml:space="preserve">2.1 Conventions comptables</w:t>
      </w:r>
    </w:p>
    <w:p>
      <w:pPr>
        <w:pStyle w:val="ListParagraph"/>
        <w:numPr>
          <w:ilvl w:val="0"/>
          <w:numId w:val="2"/>
        </w:numPr>
        <w:spacing w:after="90" w:line="276"/>
        <w:jc w:val="both"/>
      </w:pPr>
      <w:r>
        <w:rPr>
          <w:sz w:val="21"/>
          <w:szCs w:val="21"/>
        </w:rPr>
        <w:t xml:space="preserve">Référentiel : SYSCOHADA révisé, système normal, issu de l’Acte uniforme OHADA relatif au droit comptable et à l’information financière.</w:t>
      </w:r>
    </w:p>
    <w:p>
      <w:pPr>
        <w:pStyle w:val="ListParagraph"/>
        <w:numPr>
          <w:ilvl w:val="0"/>
          <w:numId w:val="2"/>
        </w:numPr>
        <w:spacing w:after="90" w:line="276"/>
        <w:jc w:val="both"/>
      </w:pPr>
      <w:r>
        <w:rPr>
          <w:sz w:val="21"/>
          <w:szCs w:val="21"/>
        </w:rPr>
        <w:t xml:space="preserve">Monnaie de tenue des comptes : le franc guinéen. Tous les montants du présent rapport sont exprimés en GNF.</w:t>
      </w:r>
    </w:p>
    <w:p>
      <w:pPr>
        <w:pStyle w:val="ListParagraph"/>
        <w:numPr>
          <w:ilvl w:val="0"/>
          <w:numId w:val="2"/>
        </w:numPr>
        <w:spacing w:after="90" w:line="276"/>
        <w:jc w:val="both"/>
      </w:pPr>
      <w:r>
        <w:rPr>
          <w:sz w:val="21"/>
          <w:szCs w:val="21"/>
        </w:rPr>
        <w:t xml:space="preserve">Immobilisations : évaluées au coût d’acquisition. Amortissement linéaire, calculé prorata temporis à compter de la date de mise en service.</w:t>
      </w:r>
    </w:p>
    <w:p>
      <w:pPr>
        <w:pStyle w:val="ListParagraph"/>
        <w:numPr>
          <w:ilvl w:val="0"/>
          <w:numId w:val="2"/>
        </w:numPr>
        <w:spacing w:after="90" w:line="276"/>
        <w:jc w:val="both"/>
      </w:pPr>
      <w:r>
        <w:rPr>
          <w:sz w:val="21"/>
          <w:szCs w:val="21"/>
        </w:rPr>
        <w:t xml:space="preserve">Stocks : intrants au coût d’achat, produits finis au coût de production.</w:t>
      </w:r>
    </w:p>
    <w:p>
      <w:pPr>
        <w:pStyle w:val="ListParagraph"/>
        <w:numPr>
          <w:ilvl w:val="0"/>
          <w:numId w:val="2"/>
        </w:numPr>
        <w:spacing w:after="90" w:line="276"/>
        <w:jc w:val="both"/>
      </w:pPr>
      <w:r>
        <w:rPr>
          <w:sz w:val="21"/>
          <w:szCs w:val="21"/>
        </w:rPr>
        <w:t xml:space="preserve">Imposition : impôt sur les bénéfices au taux de droit commun de 25 %, hors régime dérogatoire agricole éventuel.</w:t>
      </w:r>
    </w:p>
    <w:p>
      <w:pPr>
        <w:pStyle w:val="ListParagraph"/>
        <w:numPr>
          <w:ilvl w:val="0"/>
          <w:numId w:val="2"/>
        </w:numPr>
        <w:spacing w:after="90" w:line="276"/>
        <w:jc w:val="both"/>
      </w:pPr>
      <w:r>
        <w:rPr>
          <w:sz w:val="21"/>
          <w:szCs w:val="21"/>
        </w:rPr>
        <w:t xml:space="preserve">Exercice : la campagne agricole est assimilée à l’exercice civil, du 1er janvier au 31 décembre.</w:t>
      </w:r>
    </w:p>
    <w:p>
      <w:pPr>
        <w:pStyle w:val="Heading2"/>
        <w:spacing w:after="140" w:before="240"/>
      </w:pPr>
      <w:r>
        <w:rPr>
          <w:b/>
          <w:bCs/>
          <w:color w:val="1F3864"/>
          <w:sz w:val="24"/>
          <w:szCs w:val="24"/>
        </w:rPr>
        <w:t xml:space="preserve">2.2 Hypothèses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1900"/>
        <w:gridCol w:w="1660"/>
      </w:tblGrid>
      <w:tr>
        <w:trPr>
          <w:tblHeader/>
        </w:trPr>
        <w:tc>
          <w:tcPr>
            <w:tcW w:type="dxa" w:w="39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Paramètre</w:t>
            </w:r>
          </w:p>
        </w:tc>
        <w:tc>
          <w:tcPr>
            <w:tcW w:type="dxa" w:w="19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2024</w:t>
            </w:r>
          </w:p>
        </w:tc>
        <w:tc>
          <w:tcPr>
            <w:tcW w:type="dxa" w:w="19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2025</w:t>
            </w:r>
          </w:p>
        </w:tc>
        <w:tc>
          <w:tcPr>
            <w:tcW w:type="dxa" w:w="16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Écart</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Rendement riz pluvial (t/ha)</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2,60</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3,30</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+27 %</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Rendement riz de bas-fond (t/ha)</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4,50</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nouveau</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Rendement maïs (t/ha)</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2,90</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3,70</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+28 %</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Rendement manioc (t/ha)</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13,50</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17,00</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+26 %</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Rendement arachide en coque (t/ha)</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1,35</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1,70</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+26 %</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Taux de pertes post-récolte</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10,0 %</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5,0 %</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−5 points</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Part du paddy usinée en riz blanc</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55,0 %</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85,0 %</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+30 points</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Part du manioc transformée en gari</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25,0 %</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45,0 %</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+20 points</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Rendement à l’usinage du paddy</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65,0 %</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65,0 %</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stable</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Rendement de transformation en gari</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22,0 %</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22,0 %</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stable</w:t>
            </w:r>
          </w:p>
        </w:tc>
      </w:tr>
    </w:tbl>
    <w:p>
      <w:pPr>
        <w:spacing w:after="200" w:before="80"/>
        <w:jc w:val="left"/>
      </w:pPr>
      <w:r>
        <w:rPr>
          <w:i/>
          <w:iCs/>
          <w:color w:val="595959"/>
          <w:sz w:val="17"/>
          <w:szCs w:val="17"/>
        </w:rPr>
        <w:t xml:space="preserve">La progression des rendements repose sur l’emploi de semences certifiées R1, une fumure raisonnée établie sur analyse de sol, le respect du calendrier cultural, un désherbage précoce et un encadrement technique permanent. Références indicatives : ANPROCA et IRAG pour la Guinée forestière.</w:t>
      </w:r>
    </w:p>
    <w:p>
      <w:pPr>
        <w:pStyle w:val="Heading2"/>
        <w:spacing w:after="140" w:before="240"/>
      </w:pPr>
      <w:r>
        <w:rPr>
          <w:b/>
          <w:bCs/>
          <w:color w:val="1F3864"/>
          <w:sz w:val="24"/>
          <w:szCs w:val="24"/>
        </w:rPr>
        <w:t xml:space="preserve">2.3 Hypothèses de prix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1900"/>
        <w:gridCol w:w="1660"/>
      </w:tblGrid>
      <w:tr>
        <w:trPr>
          <w:tblHeader/>
        </w:trPr>
        <w:tc>
          <w:tcPr>
            <w:tcW w:type="dxa" w:w="39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Produit (prix en GNF/kg)</w:t>
            </w:r>
          </w:p>
        </w:tc>
        <w:tc>
          <w:tcPr>
            <w:tcW w:type="dxa" w:w="19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2024</w:t>
            </w:r>
          </w:p>
        </w:tc>
        <w:tc>
          <w:tcPr>
            <w:tcW w:type="dxa" w:w="19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2025</w:t>
            </w:r>
          </w:p>
        </w:tc>
        <w:tc>
          <w:tcPr>
            <w:tcW w:type="dxa" w:w="16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Variation</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Paddy, bord champ</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5 000</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5 400</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+8,0 %</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Riz blanc local, sortie magasin</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11 500</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12 500</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+8,7 %</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Maïs grain sec</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4 200</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4 600</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+9,5 %</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Manioc frais, racines</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1 700</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1 850</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+8,8 %</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Gari, semoule de manioc</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9 000</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10 000</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+11,1 %</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Arachide en coque</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9 500</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10 500</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+10,5 %</w:t>
            </w:r>
          </w:p>
        </w:tc>
      </w:tr>
    </w:tbl>
    <w:p>
      <w:pPr>
        <w:spacing w:after="200" w:before="80"/>
        <w:jc w:val="left"/>
      </w:pPr>
      <w:r>
        <w:rPr>
          <w:i/>
          <w:iCs/>
          <w:color w:val="595959"/>
          <w:sz w:val="17"/>
          <w:szCs w:val="17"/>
        </w:rPr>
        <w:t xml:space="preserve">Barème indicatif de campagne des marchés de Lola et de N’Zérékoré. Ces prix constituent des hypothèses de travail : la volatilité du paddy et du manioc est le principal risque du modèle.</w:t>
      </w:r>
    </w:p>
    <w:p>
      <w:r>
        <w:br w:type="page"/>
      </w:r>
    </w:p>
    <w:p>
      <w:pPr>
        <w:pStyle w:val="Heading1"/>
        <w:spacing w:after="180" w:before="320"/>
      </w:pPr>
      <w:r>
        <w:rPr>
          <w:b/>
          <w:bCs/>
          <w:color w:val="1F3864"/>
          <w:sz w:val="30"/>
          <w:szCs w:val="30"/>
        </w:rPr>
        <w:t xml:space="preserve">3. Campagne agricole 2024 — mise en valeur du domaine</w:t>
      </w:r>
    </w:p>
    <w:p>
      <w:pPr>
        <w:spacing w:after="140" w:before="0" w:line="276"/>
        <w:jc w:val="both"/>
      </w:pPr>
      <w:r>
        <w:rPr>
          <w:b w:val="false"/>
          <w:bCs w:val="false"/>
          <w:i w:val="false"/>
          <w:iCs w:val="false"/>
          <w:sz w:val="21"/>
          <w:szCs w:val="21"/>
        </w:rPr>
        <w:t xml:space="preserve">La campagne 2024 est la campagne de mise en valeur. Elle supporte la défriche et le dessouchage des 55 hectares emblavés, l’ouverture des pistes internes et des pare-feu, la construction du hangar de stockage, et l’acquisition du premier équipement. La mécanisation est entièrement confiée à des prestataires et la transformation, décorticage du paddy comme production de gari, est sous-traitée à façon. Les pertes post-récolte atteignent 10 % faute d’infrastructure de séchage et de stockage complète. La campagne dégage néanmoins un résultat net positif.</w:t>
      </w:r>
    </w:p>
    <w:p>
      <w:pPr>
        <w:pStyle w:val="Heading2"/>
        <w:spacing w:after="140" w:before="240"/>
      </w:pPr>
      <w:r>
        <w:rPr>
          <w:b/>
          <w:bCs/>
          <w:color w:val="1F3864"/>
          <w:sz w:val="24"/>
          <w:szCs w:val="24"/>
        </w:rPr>
        <w:t xml:space="preserve">3.1 Production et chiffre d’affaires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400"/>
        <w:gridCol w:w="1880"/>
        <w:gridCol w:w="1880"/>
      </w:tblGrid>
      <w:tr>
        <w:trPr>
          <w:tblHeader/>
        </w:trPr>
        <w:tc>
          <w:tcPr>
            <w:tcW w:type="dxa" w:w="29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Spéculation</w:t>
            </w:r>
          </w:p>
        </w:tc>
        <w:tc>
          <w:tcPr>
            <w:tcW w:type="dxa" w:w="13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Surface (ha)</w:t>
            </w:r>
          </w:p>
        </w:tc>
        <w:tc>
          <w:tcPr>
            <w:tcW w:type="dxa" w:w="14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Rendement (t/ha)</w:t>
            </w:r>
          </w:p>
        </w:tc>
        <w:tc>
          <w:tcPr>
            <w:tcW w:type="dxa" w:w="188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Production brute (t)</w:t>
            </w:r>
          </w:p>
        </w:tc>
        <w:tc>
          <w:tcPr>
            <w:tcW w:type="dxa" w:w="188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Production nette (t)</w:t>
            </w:r>
          </w:p>
        </w:tc>
      </w:tr>
      <w:tr>
        <w:tc>
          <w:tcPr>
            <w:tcW w:type="dxa" w:w="2900"/>
            <w:tcMar>
              <w:top w:type="dxa" w:w="60"/>
              <w:left w:type="dxa" w:w="90"/>
              <w:bottom w:type="dxa" w:w="60"/>
              <w:right w:type="dxa" w:w="90"/>
            </w:tcMar>
          </w:tcPr>
          <w:p>
            <w:pPr>
              <w:spacing w:after="0" w:before="0"/>
              <w:jc w:val="left"/>
            </w:pPr>
            <w:r>
              <w:rPr>
                <w:b w:val="false"/>
                <w:bCs w:val="false"/>
                <w:i w:val="false"/>
                <w:iCs w:val="false"/>
                <w:sz w:val="19"/>
                <w:szCs w:val="19"/>
              </w:rPr>
              <w:t xml:space="preserve">Riz pluvial NERICA</w:t>
            </w:r>
          </w:p>
        </w:tc>
        <w:tc>
          <w:tcPr>
            <w:tcW w:type="dxa" w:w="1300"/>
            <w:tcMar>
              <w:top w:type="dxa" w:w="60"/>
              <w:left w:type="dxa" w:w="90"/>
              <w:bottom w:type="dxa" w:w="60"/>
              <w:right w:type="dxa" w:w="90"/>
            </w:tcMar>
          </w:tcPr>
          <w:p>
            <w:pPr>
              <w:spacing w:after="0" w:before="0"/>
              <w:jc w:val="right"/>
            </w:pPr>
            <w:r>
              <w:rPr>
                <w:b w:val="false"/>
                <w:bCs w:val="false"/>
                <w:i w:val="false"/>
                <w:iCs w:val="false"/>
                <w:sz w:val="19"/>
                <w:szCs w:val="19"/>
              </w:rPr>
              <w:t xml:space="preserve">22,0</w:t>
            </w:r>
          </w:p>
        </w:tc>
        <w:tc>
          <w:tcPr>
            <w:tcW w:type="dxa" w:w="1400"/>
            <w:tcMar>
              <w:top w:type="dxa" w:w="60"/>
              <w:left w:type="dxa" w:w="90"/>
              <w:bottom w:type="dxa" w:w="60"/>
              <w:right w:type="dxa" w:w="90"/>
            </w:tcMar>
          </w:tcPr>
          <w:p>
            <w:pPr>
              <w:spacing w:after="0" w:before="0"/>
              <w:jc w:val="right"/>
            </w:pPr>
            <w:r>
              <w:rPr>
                <w:b w:val="false"/>
                <w:bCs w:val="false"/>
                <w:i w:val="false"/>
                <w:iCs w:val="false"/>
                <w:sz w:val="19"/>
                <w:szCs w:val="19"/>
              </w:rPr>
              <w:t xml:space="preserve">2,60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57,20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51,48</w:t>
            </w:r>
          </w:p>
        </w:tc>
      </w:tr>
      <w:tr>
        <w:tc>
          <w:tcPr>
            <w:tcW w:type="dxa" w:w="2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Maïs grain</w:t>
            </w:r>
          </w:p>
        </w:tc>
        <w:tc>
          <w:tcPr>
            <w:tcW w:type="dxa" w:w="13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14,0</w:t>
            </w:r>
          </w:p>
        </w:tc>
        <w:tc>
          <w:tcPr>
            <w:tcW w:type="dxa" w:w="14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2,90</w:t>
            </w:r>
          </w:p>
        </w:tc>
        <w:tc>
          <w:tcPr>
            <w:tcW w:type="dxa" w:w="18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40,60</w:t>
            </w:r>
          </w:p>
        </w:tc>
        <w:tc>
          <w:tcPr>
            <w:tcW w:type="dxa" w:w="18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36,54</w:t>
            </w:r>
          </w:p>
        </w:tc>
      </w:tr>
      <w:tr>
        <w:tc>
          <w:tcPr>
            <w:tcW w:type="dxa" w:w="2900"/>
            <w:tcMar>
              <w:top w:type="dxa" w:w="60"/>
              <w:left w:type="dxa" w:w="90"/>
              <w:bottom w:type="dxa" w:w="60"/>
              <w:right w:type="dxa" w:w="90"/>
            </w:tcMar>
          </w:tcPr>
          <w:p>
            <w:pPr>
              <w:spacing w:after="0" w:before="0"/>
              <w:jc w:val="left"/>
            </w:pPr>
            <w:r>
              <w:rPr>
                <w:b w:val="false"/>
                <w:bCs w:val="false"/>
                <w:i w:val="false"/>
                <w:iCs w:val="false"/>
                <w:sz w:val="19"/>
                <w:szCs w:val="19"/>
              </w:rPr>
              <w:t xml:space="preserve">Manioc, racines fraîches</w:t>
            </w:r>
          </w:p>
        </w:tc>
        <w:tc>
          <w:tcPr>
            <w:tcW w:type="dxa" w:w="1300"/>
            <w:tcMar>
              <w:top w:type="dxa" w:w="60"/>
              <w:left w:type="dxa" w:w="90"/>
              <w:bottom w:type="dxa" w:w="60"/>
              <w:right w:type="dxa" w:w="90"/>
            </w:tcMar>
          </w:tcPr>
          <w:p>
            <w:pPr>
              <w:spacing w:after="0" w:before="0"/>
              <w:jc w:val="right"/>
            </w:pPr>
            <w:r>
              <w:rPr>
                <w:b w:val="false"/>
                <w:bCs w:val="false"/>
                <w:i w:val="false"/>
                <w:iCs w:val="false"/>
                <w:sz w:val="19"/>
                <w:szCs w:val="19"/>
              </w:rPr>
              <w:t xml:space="preserve">12,0</w:t>
            </w:r>
          </w:p>
        </w:tc>
        <w:tc>
          <w:tcPr>
            <w:tcW w:type="dxa" w:w="1400"/>
            <w:tcMar>
              <w:top w:type="dxa" w:w="60"/>
              <w:left w:type="dxa" w:w="90"/>
              <w:bottom w:type="dxa" w:w="60"/>
              <w:right w:type="dxa" w:w="90"/>
            </w:tcMar>
          </w:tcPr>
          <w:p>
            <w:pPr>
              <w:spacing w:after="0" w:before="0"/>
              <w:jc w:val="right"/>
            </w:pPr>
            <w:r>
              <w:rPr>
                <w:b w:val="false"/>
                <w:bCs w:val="false"/>
                <w:i w:val="false"/>
                <w:iCs w:val="false"/>
                <w:sz w:val="19"/>
                <w:szCs w:val="19"/>
              </w:rPr>
              <w:t xml:space="preserve">13,50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162,00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145,80</w:t>
            </w:r>
          </w:p>
        </w:tc>
      </w:tr>
      <w:tr>
        <w:tc>
          <w:tcPr>
            <w:tcW w:type="dxa" w:w="2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Arachide en coque</w:t>
            </w:r>
          </w:p>
        </w:tc>
        <w:tc>
          <w:tcPr>
            <w:tcW w:type="dxa" w:w="13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7,0</w:t>
            </w:r>
          </w:p>
        </w:tc>
        <w:tc>
          <w:tcPr>
            <w:tcW w:type="dxa" w:w="14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1,35</w:t>
            </w:r>
          </w:p>
        </w:tc>
        <w:tc>
          <w:tcPr>
            <w:tcW w:type="dxa" w:w="18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9,45</w:t>
            </w:r>
          </w:p>
        </w:tc>
        <w:tc>
          <w:tcPr>
            <w:tcW w:type="dxa" w:w="18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8,51</w:t>
            </w:r>
          </w:p>
        </w:tc>
      </w:tr>
      <w:tr>
        <w:tc>
          <w:tcPr>
            <w:tcW w:type="dxa" w:w="29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w:t>
            </w:r>
          </w:p>
        </w:tc>
        <w:tc>
          <w:tcPr>
            <w:tcW w:type="dxa" w:w="13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55,0</w:t>
            </w:r>
          </w:p>
        </w:tc>
        <w:tc>
          <w:tcPr>
            <w:tcW w:type="dxa" w:w="14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w:t>
            </w:r>
          </w:p>
        </w:tc>
        <w:tc>
          <w:tcPr>
            <w:tcW w:type="dxa" w:w="18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269,25</w:t>
            </w:r>
          </w:p>
        </w:tc>
        <w:tc>
          <w:tcPr>
            <w:tcW w:type="dxa" w:w="18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242,33</w:t>
            </w:r>
          </w:p>
        </w:tc>
      </w:tr>
    </w:tbl>
    <w:p>
      <w:pPr>
        <w:spacing w:after="200" w:before="80"/>
        <w:jc w:val="left"/>
      </w:pPr>
      <w:r>
        <w:rPr>
          <w:i/>
          <w:iCs/>
          <w:color w:val="595959"/>
          <w:sz w:val="17"/>
          <w:szCs w:val="17"/>
        </w:rPr>
        <w:t xml:space="preserve">La production nette est obtenue après application du taux de pertes post-récolte de la campagne.</w:t>
      </w:r>
    </w:p>
    <w:p>
      <w:pPr>
        <w:pStyle w:val="Heading3"/>
        <w:spacing w:after="110" w:before="200"/>
      </w:pPr>
      <w:r>
        <w:rPr>
          <w:b/>
          <w:bCs/>
          <w:color w:val="2E75B6"/>
          <w:sz w:val="21"/>
          <w:szCs w:val="21"/>
        </w:rPr>
        <w:t xml:space="preserve">Affectation du riz et du manioc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Affectation</w:t>
            </w:r>
          </w:p>
        </w:tc>
        <w:tc>
          <w:tcPr>
            <w:tcW w:type="dxa" w:w="258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Quantité (t)</w:t>
            </w:r>
          </w:p>
        </w:tc>
        <w:tc>
          <w:tcPr>
            <w:tcW w:type="dxa" w:w="258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Valorisation (GNF)</w:t>
            </w:r>
          </w:p>
        </w:tc>
      </w:tr>
      <w:tr>
        <w:tc>
          <w:tcPr>
            <w:tcW w:type="dxa" w:w="4200"/>
            <w:shd w:fill="F2F2F2" w:color="auto" w:val="clear"/>
            <w:tcMar>
              <w:top w:type="dxa" w:w="60"/>
              <w:left w:type="dxa" w:w="90"/>
              <w:bottom w:type="dxa" w:w="60"/>
              <w:right w:type="dxa" w:w="90"/>
            </w:tcMar>
          </w:tcPr>
          <w:p>
            <w:pPr>
              <w:spacing w:after="0" w:before="0"/>
              <w:jc w:val="left"/>
            </w:pPr>
            <w:r>
              <w:rPr>
                <w:b/>
                <w:bCs/>
                <w:i w:val="false"/>
                <w:iCs w:val="false"/>
                <w:sz w:val="19"/>
                <w:szCs w:val="19"/>
              </w:rPr>
              <w:t xml:space="preserve">Paddy net disponible</w:t>
            </w:r>
          </w:p>
        </w:tc>
        <w:tc>
          <w:tcPr>
            <w:tcW w:type="dxa" w:w="258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51,48</w:t>
            </w:r>
          </w:p>
        </w:tc>
        <w:tc>
          <w:tcPr>
            <w:tcW w:type="dxa" w:w="258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w:t>
            </w:r>
          </w:p>
        </w:tc>
      </w:tr>
      <w:tr>
        <w:tc>
          <w:tcPr>
            <w:tcW w:type="dxa" w:w="42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dont paddy dirigé vers l’usinage</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28,31</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w:t>
            </w:r>
          </w:p>
        </w:tc>
      </w:tr>
      <w:tr>
        <w:tc>
          <w:tcPr>
            <w:tcW w:type="dxa" w:w="4200"/>
            <w:tcMar>
              <w:top w:type="dxa" w:w="60"/>
              <w:left w:type="dxa" w:w="90"/>
              <w:bottom w:type="dxa" w:w="60"/>
              <w:right w:type="dxa" w:w="90"/>
            </w:tcMar>
          </w:tcPr>
          <w:p>
            <w:pPr>
              <w:spacing w:after="0" w:before="0"/>
              <w:jc w:val="left"/>
            </w:pPr>
            <w:r>
              <w:rPr>
                <w:b w:val="false"/>
                <w:bCs w:val="false"/>
                <w:i w:val="false"/>
                <w:iCs w:val="false"/>
                <w:sz w:val="19"/>
                <w:szCs w:val="19"/>
              </w:rPr>
              <w:t xml:space="preserve">Riz blanc obtenu et vendu</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18,40</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211 647 150</w:t>
            </w:r>
          </w:p>
        </w:tc>
      </w:tr>
      <w:tr>
        <w:tc>
          <w:tcPr>
            <w:tcW w:type="dxa" w:w="42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Paddy vendu en l’état</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23,17</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115 830 000</w:t>
            </w:r>
          </w:p>
        </w:tc>
      </w:tr>
      <w:tr>
        <w:tc>
          <w:tcPr>
            <w:tcW w:type="dxa" w:w="42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Chiffre d’affaires riz</w:t>
            </w:r>
          </w:p>
        </w:tc>
        <w:tc>
          <w:tcPr>
            <w:tcW w:type="dxa" w:w="25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w:t>
            </w:r>
          </w:p>
        </w:tc>
        <w:tc>
          <w:tcPr>
            <w:tcW w:type="dxa" w:w="25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327 477 150</w:t>
            </w:r>
          </w:p>
        </w:tc>
      </w:tr>
      <w:tr>
        <w:tc>
          <w:tcPr>
            <w:tcW w:type="dxa" w:w="4200"/>
            <w:shd w:fill="F2F2F2" w:color="auto" w:val="clear"/>
            <w:tcMar>
              <w:top w:type="dxa" w:w="60"/>
              <w:left w:type="dxa" w:w="90"/>
              <w:bottom w:type="dxa" w:w="60"/>
              <w:right w:type="dxa" w:w="90"/>
            </w:tcMar>
          </w:tcPr>
          <w:p>
            <w:pPr>
              <w:spacing w:after="0" w:before="0"/>
              <w:jc w:val="left"/>
            </w:pPr>
            <w:r>
              <w:rPr>
                <w:b/>
                <w:bCs/>
                <w:i w:val="false"/>
                <w:iCs w:val="false"/>
                <w:sz w:val="19"/>
                <w:szCs w:val="19"/>
              </w:rPr>
              <w:t xml:space="preserve">Racines de manioc nettes</w:t>
            </w:r>
          </w:p>
        </w:tc>
        <w:tc>
          <w:tcPr>
            <w:tcW w:type="dxa" w:w="258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145,80</w:t>
            </w:r>
          </w:p>
        </w:tc>
        <w:tc>
          <w:tcPr>
            <w:tcW w:type="dxa" w:w="258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w:t>
            </w:r>
          </w:p>
        </w:tc>
      </w:tr>
      <w:tr>
        <w:tc>
          <w:tcPr>
            <w:tcW w:type="dxa" w:w="4200"/>
            <w:tcMar>
              <w:top w:type="dxa" w:w="60"/>
              <w:left w:type="dxa" w:w="90"/>
              <w:bottom w:type="dxa" w:w="60"/>
              <w:right w:type="dxa" w:w="90"/>
            </w:tcMar>
          </w:tcPr>
          <w:p>
            <w:pPr>
              <w:spacing w:after="0" w:before="0"/>
              <w:jc w:val="left"/>
            </w:pPr>
            <w:r>
              <w:rPr>
                <w:b w:val="false"/>
                <w:bCs w:val="false"/>
                <w:i w:val="false"/>
                <w:iCs w:val="false"/>
                <w:sz w:val="19"/>
                <w:szCs w:val="19"/>
              </w:rPr>
              <w:t xml:space="preserve">dont racines transformées</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36,45</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w:t>
            </w:r>
          </w:p>
        </w:tc>
      </w:tr>
      <w:tr>
        <w:tc>
          <w:tcPr>
            <w:tcW w:type="dxa" w:w="42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Gari obtenu et vendu</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8,02</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72 171 000</w:t>
            </w:r>
          </w:p>
        </w:tc>
      </w:tr>
      <w:tr>
        <w:tc>
          <w:tcPr>
            <w:tcW w:type="dxa" w:w="4200"/>
            <w:tcMar>
              <w:top w:type="dxa" w:w="60"/>
              <w:left w:type="dxa" w:w="90"/>
              <w:bottom w:type="dxa" w:w="60"/>
              <w:right w:type="dxa" w:w="90"/>
            </w:tcMar>
          </w:tcPr>
          <w:p>
            <w:pPr>
              <w:spacing w:after="0" w:before="0"/>
              <w:jc w:val="left"/>
            </w:pPr>
            <w:r>
              <w:rPr>
                <w:b w:val="false"/>
                <w:bCs w:val="false"/>
                <w:i w:val="false"/>
                <w:iCs w:val="false"/>
                <w:sz w:val="19"/>
                <w:szCs w:val="19"/>
              </w:rPr>
              <w:t xml:space="preserve">Racines vendues fraîches</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109,35</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185 895 000</w:t>
            </w:r>
          </w:p>
        </w:tc>
      </w:tr>
      <w:tr>
        <w:tc>
          <w:tcPr>
            <w:tcW w:type="dxa" w:w="42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Chiffre d’affaires manioc</w:t>
            </w:r>
          </w:p>
        </w:tc>
        <w:tc>
          <w:tcPr>
            <w:tcW w:type="dxa" w:w="25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w:t>
            </w:r>
          </w:p>
        </w:tc>
        <w:tc>
          <w:tcPr>
            <w:tcW w:type="dxa" w:w="25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258 066 000</w:t>
            </w:r>
          </w:p>
        </w:tc>
      </w:tr>
    </w:tbl>
    <w:p>
      <w:pPr>
        <w:pStyle w:val="Heading3"/>
        <w:spacing w:after="110" w:before="200"/>
      </w:pPr>
      <w:r>
        <w:rPr>
          <w:b/>
          <w:bCs/>
          <w:color w:val="2E75B6"/>
          <w:sz w:val="21"/>
          <w:szCs w:val="21"/>
        </w:rPr>
        <w:t xml:space="preserve">Produits d’exploitation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Nature du produit (compte SYSCOHADA)</w:t>
            </w:r>
          </w:p>
        </w:tc>
        <w:tc>
          <w:tcPr>
            <w:tcW w:type="dxa" w:w="39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701 — Ventes de riz, paddy et riz blanc</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327 477 150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701 — Ventes de maïs grain</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153 468 000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701 — Ventes de manioc et de gari</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258 066 000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701 — Ventes d’arachide en coque</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80 797 500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702 — Ventes de sous-produits, son, brisures, fanes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14 000 000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706 — Prestations de décorticage et de battage pour tiers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 DES PRODUITS D’EXPLOITATION</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833 808 650</w:t>
            </w:r>
          </w:p>
        </w:tc>
      </w:tr>
    </w:tbl>
    <w:p>
      <w:pPr>
        <w:pStyle w:val="Heading2"/>
        <w:spacing w:after="140" w:before="240"/>
      </w:pPr>
      <w:r>
        <w:rPr>
          <w:b/>
          <w:bCs/>
          <w:color w:val="1F3864"/>
          <w:sz w:val="24"/>
          <w:szCs w:val="24"/>
        </w:rPr>
        <w:t xml:space="preserve">3.2 Charges d’exploitation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200"/>
        <w:gridCol w:w="17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Rubrique de charge</w:t>
            </w:r>
          </w:p>
        </w:tc>
        <w:tc>
          <w:tcPr>
            <w:tcW w:type="dxa" w:w="22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c>
          <w:tcPr>
            <w:tcW w:type="dxa" w:w="17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Poids</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60 — Achats et fournitures consommés</w:t>
            </w:r>
          </w:p>
        </w:tc>
        <w:tc>
          <w:tcPr>
            <w:tcW w:type="dxa" w:w="2200"/>
            <w:tcMar>
              <w:top w:type="dxa" w:w="60"/>
              <w:left w:type="dxa" w:w="90"/>
              <w:bottom w:type="dxa" w:w="60"/>
              <w:right w:type="dxa" w:w="90"/>
            </w:tcMar>
          </w:tcPr>
          <w:p>
            <w:pPr>
              <w:spacing w:after="0" w:before="0"/>
              <w:jc w:val="right"/>
            </w:pPr>
            <w:r>
              <w:rPr>
                <w:b w:val="false"/>
                <w:bCs w:val="false"/>
                <w:i w:val="false"/>
                <w:iCs w:val="false"/>
                <w:sz w:val="19"/>
                <w:szCs w:val="19"/>
              </w:rPr>
              <w:t xml:space="preserve">254 100 000</w:t>
            </w:r>
          </w:p>
        </w:tc>
        <w:tc>
          <w:tcPr>
            <w:tcW w:type="dxa" w:w="1760"/>
            <w:tcMar>
              <w:top w:type="dxa" w:w="60"/>
              <w:left w:type="dxa" w:w="90"/>
              <w:bottom w:type="dxa" w:w="60"/>
              <w:right w:type="dxa" w:w="90"/>
            </w:tcMar>
          </w:tcPr>
          <w:p>
            <w:pPr>
              <w:spacing w:after="0" w:before="0"/>
              <w:jc w:val="right"/>
            </w:pPr>
            <w:r>
              <w:rPr>
                <w:b w:val="false"/>
                <w:bCs w:val="false"/>
                <w:i w:val="false"/>
                <w:iCs w:val="false"/>
                <w:sz w:val="19"/>
                <w:szCs w:val="19"/>
              </w:rPr>
              <w:t xml:space="preserve">33,1 %</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61 et 62 — Transports et services extérieurs</w:t>
            </w:r>
          </w:p>
        </w:tc>
        <w:tc>
          <w:tcPr>
            <w:tcW w:type="dxa" w:w="22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162 577 300</w:t>
            </w:r>
          </w:p>
        </w:tc>
        <w:tc>
          <w:tcPr>
            <w:tcW w:type="dxa" w:w="17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21,2 %</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64 — Impôts et taxes</w:t>
            </w:r>
          </w:p>
        </w:tc>
        <w:tc>
          <w:tcPr>
            <w:tcW w:type="dxa" w:w="2200"/>
            <w:tcMar>
              <w:top w:type="dxa" w:w="60"/>
              <w:left w:type="dxa" w:w="90"/>
              <w:bottom w:type="dxa" w:w="60"/>
              <w:right w:type="dxa" w:w="90"/>
            </w:tcMar>
          </w:tcPr>
          <w:p>
            <w:pPr>
              <w:spacing w:after="0" w:before="0"/>
              <w:jc w:val="right"/>
            </w:pPr>
            <w:r>
              <w:rPr>
                <w:b w:val="false"/>
                <w:bCs w:val="false"/>
                <w:i w:val="false"/>
                <w:iCs w:val="false"/>
                <w:sz w:val="19"/>
                <w:szCs w:val="19"/>
              </w:rPr>
              <w:t xml:space="preserve">14 000 000</w:t>
            </w:r>
          </w:p>
        </w:tc>
        <w:tc>
          <w:tcPr>
            <w:tcW w:type="dxa" w:w="1760"/>
            <w:tcMar>
              <w:top w:type="dxa" w:w="60"/>
              <w:left w:type="dxa" w:w="90"/>
              <w:bottom w:type="dxa" w:w="60"/>
              <w:right w:type="dxa" w:w="90"/>
            </w:tcMar>
          </w:tcPr>
          <w:p>
            <w:pPr>
              <w:spacing w:after="0" w:before="0"/>
              <w:jc w:val="right"/>
            </w:pPr>
            <w:r>
              <w:rPr>
                <w:b w:val="false"/>
                <w:bCs w:val="false"/>
                <w:i w:val="false"/>
                <w:iCs w:val="false"/>
                <w:sz w:val="19"/>
                <w:szCs w:val="19"/>
              </w:rPr>
              <w:t xml:space="preserve">1,8 %</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66 — Charges de personnel</w:t>
            </w:r>
          </w:p>
        </w:tc>
        <w:tc>
          <w:tcPr>
            <w:tcW w:type="dxa" w:w="22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265 248 000</w:t>
            </w:r>
          </w:p>
        </w:tc>
        <w:tc>
          <w:tcPr>
            <w:tcW w:type="dxa" w:w="17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34,5 %</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68 — Dotations aux amortissements</w:t>
            </w:r>
          </w:p>
        </w:tc>
        <w:tc>
          <w:tcPr>
            <w:tcW w:type="dxa" w:w="2200"/>
            <w:tcMar>
              <w:top w:type="dxa" w:w="60"/>
              <w:left w:type="dxa" w:w="90"/>
              <w:bottom w:type="dxa" w:w="60"/>
              <w:right w:type="dxa" w:w="90"/>
            </w:tcMar>
          </w:tcPr>
          <w:p>
            <w:pPr>
              <w:spacing w:after="0" w:before="0"/>
              <w:jc w:val="right"/>
            </w:pPr>
            <w:r>
              <w:rPr>
                <w:b w:val="false"/>
                <w:bCs w:val="false"/>
                <w:i w:val="false"/>
                <w:iCs w:val="false"/>
                <w:sz w:val="19"/>
                <w:szCs w:val="19"/>
              </w:rPr>
              <w:t xml:space="preserve">43 041 667</w:t>
            </w:r>
          </w:p>
        </w:tc>
        <w:tc>
          <w:tcPr>
            <w:tcW w:type="dxa" w:w="1760"/>
            <w:tcMar>
              <w:top w:type="dxa" w:w="60"/>
              <w:left w:type="dxa" w:w="90"/>
              <w:bottom w:type="dxa" w:w="60"/>
              <w:right w:type="dxa" w:w="90"/>
            </w:tcMar>
          </w:tcPr>
          <w:p>
            <w:pPr>
              <w:spacing w:after="0" w:before="0"/>
              <w:jc w:val="right"/>
            </w:pPr>
            <w:r>
              <w:rPr>
                <w:b w:val="false"/>
                <w:bCs w:val="false"/>
                <w:i w:val="false"/>
                <w:iCs w:val="false"/>
                <w:sz w:val="19"/>
                <w:szCs w:val="19"/>
              </w:rPr>
              <w:t xml:space="preserve">5,6 %</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Sous-total des charges d’exploitation</w:t>
            </w:r>
          </w:p>
        </w:tc>
        <w:tc>
          <w:tcPr>
            <w:tcW w:type="dxa" w:w="22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738 966 967</w:t>
            </w:r>
          </w:p>
        </w:tc>
        <w:tc>
          <w:tcPr>
            <w:tcW w:type="dxa" w:w="17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96,2 %</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67 — Charges financières</w:t>
            </w:r>
          </w:p>
        </w:tc>
        <w:tc>
          <w:tcPr>
            <w:tcW w:type="dxa" w:w="2200"/>
            <w:tcMar>
              <w:top w:type="dxa" w:w="60"/>
              <w:left w:type="dxa" w:w="90"/>
              <w:bottom w:type="dxa" w:w="60"/>
              <w:right w:type="dxa" w:w="90"/>
            </w:tcMar>
          </w:tcPr>
          <w:p>
            <w:pPr>
              <w:spacing w:after="0" w:before="0"/>
              <w:jc w:val="right"/>
            </w:pPr>
            <w:r>
              <w:rPr>
                <w:b w:val="false"/>
                <w:bCs w:val="false"/>
                <w:i w:val="false"/>
                <w:iCs w:val="false"/>
                <w:sz w:val="19"/>
                <w:szCs w:val="19"/>
              </w:rPr>
              <w:t xml:space="preserve">29 166 667</w:t>
            </w:r>
          </w:p>
        </w:tc>
        <w:tc>
          <w:tcPr>
            <w:tcW w:type="dxa" w:w="1760"/>
            <w:tcMar>
              <w:top w:type="dxa" w:w="60"/>
              <w:left w:type="dxa" w:w="90"/>
              <w:bottom w:type="dxa" w:w="60"/>
              <w:right w:type="dxa" w:w="90"/>
            </w:tcMar>
          </w:tcPr>
          <w:p>
            <w:pPr>
              <w:spacing w:after="0" w:before="0"/>
              <w:jc w:val="right"/>
            </w:pPr>
            <w:r>
              <w:rPr>
                <w:b w:val="false"/>
                <w:bCs w:val="false"/>
                <w:i w:val="false"/>
                <w:iCs w:val="false"/>
                <w:sz w:val="19"/>
                <w:szCs w:val="19"/>
              </w:rPr>
              <w:t xml:space="preserve">3,8 %</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 GÉNÉRAL DES CHARGES</w:t>
            </w:r>
          </w:p>
        </w:tc>
        <w:tc>
          <w:tcPr>
            <w:tcW w:type="dxa" w:w="22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768 133 633</w:t>
            </w:r>
          </w:p>
        </w:tc>
        <w:tc>
          <w:tcPr>
            <w:tcW w:type="dxa" w:w="17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100,0 %</w:t>
            </w:r>
          </w:p>
        </w:tc>
      </w:tr>
    </w:tbl>
    <w:p>
      <w:pPr>
        <w:spacing w:after="140" w:before="0" w:line="276"/>
        <w:jc w:val="both"/>
      </w:pPr>
      <w:r>
        <w:rPr>
          <w:b w:val="false"/>
          <w:bCs w:val="false"/>
          <w:i w:val="false"/>
          <w:iCs w:val="false"/>
          <w:sz w:val="21"/>
          <w:szCs w:val="21"/>
        </w:rPr>
        <w:t xml:space="preserve">Le détail du poste « charges de personnel » se décompose en 153 600 000 GNF de salaires bruts permanents, 27 648 000 GNF de charges sociales patronales CNSS au taux de 18 %, et 84 000 000 GNF de main-d’œuvre journalière de campagne.</w:t>
      </w:r>
    </w:p>
    <w:p>
      <w:pPr>
        <w:pStyle w:val="Heading2"/>
        <w:spacing w:after="140" w:before="240"/>
      </w:pPr>
      <w:r>
        <w:rPr>
          <w:b/>
          <w:bCs/>
          <w:color w:val="1F3864"/>
          <w:sz w:val="24"/>
          <w:szCs w:val="24"/>
        </w:rPr>
        <w:t xml:space="preserve">3.3 Compte de résultat de la campagne 2024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Libellé</w:t>
            </w:r>
          </w:p>
        </w:tc>
        <w:tc>
          <w:tcPr>
            <w:tcW w:type="dxa" w:w="39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r>
      <w:tr>
        <w:tc>
          <w:tcPr>
            <w:tcW w:type="dxa" w:w="5400"/>
            <w:shd w:fill="F2F2F2" w:color="auto" w:val="clear"/>
            <w:tcMar>
              <w:top w:type="dxa" w:w="60"/>
              <w:left w:type="dxa" w:w="90"/>
              <w:bottom w:type="dxa" w:w="60"/>
              <w:right w:type="dxa" w:w="90"/>
            </w:tcMar>
          </w:tcPr>
          <w:p>
            <w:pPr>
              <w:spacing w:after="0" w:before="0"/>
              <w:jc w:val="left"/>
            </w:pPr>
            <w:r>
              <w:rPr>
                <w:b/>
                <w:bCs/>
                <w:i w:val="false"/>
                <w:iCs w:val="false"/>
                <w:sz w:val="19"/>
                <w:szCs w:val="19"/>
              </w:rPr>
              <w:t xml:space="preserve">Produits d’exploitation</w:t>
            </w:r>
          </w:p>
        </w:tc>
        <w:tc>
          <w:tcPr>
            <w:tcW w:type="dxa" w:w="396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833 808 650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Consommations intermédiaires, achats et services extérieurs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(416 677 300)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VALEUR AJOUTÉE</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417 131 350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Impôts et taxes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(14 000 000)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Charges de personnel</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(265 248 000)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EXCÉDENT BRUT D’EXPLOITATION</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137 883 350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Dotations aux amortissements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(43 041 667)</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RÉSULTAT D’EXPLOITATION</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94 841 683</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Charges financières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(29 166 667)</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RÉSULTAT AVANT IMPÔT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65 675 017</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Impôt sur les bénéfices, taux de 25 %</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(16 418 754)</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RÉSULTAT NET DE LA CAMPAGNE</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49 256 263</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Capacité d’autofinancement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92 297 929</w:t>
            </w:r>
          </w:p>
        </w:tc>
      </w:tr>
    </w:tbl>
    <w:p>
      <w:pPr>
        <w:pStyle w:val="Heading2"/>
        <w:spacing w:after="140" w:before="240"/>
      </w:pPr>
      <w:r>
        <w:rPr>
          <w:b/>
          <w:bCs/>
          <w:color w:val="1F3864"/>
          <w:sz w:val="24"/>
          <w:szCs w:val="24"/>
        </w:rPr>
        <w:t xml:space="preserve">3.4 Bilan au 31 décembre 2024</w:t>
      </w:r>
    </w:p>
    <w:p>
      <w:pPr>
        <w:pStyle w:val="Heading3"/>
        <w:spacing w:after="110" w:before="200"/>
      </w:pPr>
      <w:r>
        <w:rPr>
          <w:b/>
          <w:bCs/>
          <w:color w:val="2E75B6"/>
          <w:sz w:val="21"/>
          <w:szCs w:val="21"/>
        </w:rPr>
        <w:t xml:space="preserve">Actif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Poste d’actif</w:t>
            </w:r>
          </w:p>
        </w:tc>
        <w:tc>
          <w:tcPr>
            <w:tcW w:type="dxa" w:w="39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Immobilisations brutes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448 000 000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Amortissements cumulés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(43 041 667)</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Actif immobilisé net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404 958 333</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Stocks d’intrants et d’emballages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28 000 000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Stocks de produits finis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72 000 000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Créances clients et autres créances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46 000 000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Actif circulant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146 000 000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Banques, caisse et disponibilités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96 716 683</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 DE L’ACTIF</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647 675 017</w:t>
            </w:r>
          </w:p>
        </w:tc>
      </w:tr>
    </w:tbl>
    <w:p>
      <w:pPr>
        <w:pStyle w:val="Heading3"/>
        <w:spacing w:after="110" w:before="200"/>
      </w:pPr>
      <w:r>
        <w:rPr>
          <w:b/>
          <w:bCs/>
          <w:color w:val="2E75B6"/>
          <w:sz w:val="21"/>
          <w:szCs w:val="21"/>
        </w:rPr>
        <w:t xml:space="preserve">Passif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Poste de passif</w:t>
            </w:r>
          </w:p>
        </w:tc>
        <w:tc>
          <w:tcPr>
            <w:tcW w:type="dxa" w:w="39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Apports des promoteurs, exploitation en nom propre</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200 000 000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Résultat net de la campagne</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49 256 263</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Capitaux propres</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249 256 263</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Comptes courants d’associés bloqués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120 000 000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Capitaux propres élargis</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369 256 263</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Emprunt moyen terme 2024, encours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208 000 000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Dettes financières</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208 000 000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Dettes fournisseurs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42 000 000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Dettes sociales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12 000 000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Dettes fiscales, impôt sur les bénéfices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16 418 754</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Passif circulant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70 418 754</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 DU PASSIF</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647 675 017</w:t>
            </w:r>
          </w:p>
        </w:tc>
      </w:tr>
    </w:tbl>
    <w:p>
      <w:pPr>
        <w:spacing w:after="140" w:before="0" w:line="276"/>
        <w:jc w:val="both"/>
      </w:pPr>
      <w:r>
        <w:rPr>
          <w:b w:val="false"/>
          <w:bCs w:val="false"/>
          <w:i w:val="false"/>
          <w:iCs w:val="false"/>
          <w:sz w:val="21"/>
          <w:szCs w:val="21"/>
        </w:rPr>
        <w:t xml:space="preserve">Contrôle d’équilibre : total de l’actif 647 675 017 GNF, total du passif 647 675 017 GNF, écart nul. Le fonds de roulement net global s’établit à 172 297 929 GNF pour un besoin en fonds de roulement de 75 581 246 GNF, dégageant une trésorerie nette positive de 96 716 683 GNF.</w:t>
      </w:r>
    </w:p>
    <w:p>
      <w:r>
        <w:br w:type="page"/>
      </w:r>
    </w:p>
    <w:p>
      <w:pPr>
        <w:pStyle w:val="Heading1"/>
        <w:spacing w:after="180" w:before="320"/>
      </w:pPr>
      <w:r>
        <w:rPr>
          <w:b/>
          <w:bCs/>
          <w:color w:val="1F3864"/>
          <w:sz w:val="30"/>
          <w:szCs w:val="30"/>
        </w:rPr>
        <w:t xml:space="preserve">4. Campagne agricole 2025 — consolidation et intégration</w:t>
      </w:r>
    </w:p>
    <w:p>
      <w:pPr>
        <w:spacing w:after="140" w:before="0" w:line="276"/>
        <w:jc w:val="both"/>
      </w:pPr>
      <w:r>
        <w:rPr>
          <w:b w:val="false"/>
          <w:bCs w:val="false"/>
          <w:i w:val="false"/>
          <w:iCs w:val="false"/>
          <w:sz w:val="21"/>
          <w:szCs w:val="21"/>
        </w:rPr>
        <w:t xml:space="preserve">La campagne 2025 change d’échelle sans changer de foncier. Trois décisions structurent l’année : l’acquisition d’un tracteur de 60 chevaux avec son train d’outils, qui met fin au recours aux prestataires ; l’installation d’une unité post-récolte complète, décortiqueuse, batteuse et râpeuse-presse à gari, qui internalise la marge de transformation ; et l’aménagement de 4 hectares de bas-fond rizicole à maîtrise d’eau. À cela s’ajoutent des semences certifiées, une fumure raisonnée établie sur analyse de sol et un encadrement technique permanent.</w:t>
      </w:r>
    </w:p>
    <w:p>
      <w:pPr>
        <w:pStyle w:val="Heading2"/>
        <w:spacing w:after="140" w:before="240"/>
      </w:pPr>
      <w:r>
        <w:rPr>
          <w:b/>
          <w:bCs/>
          <w:color w:val="1F3864"/>
          <w:sz w:val="24"/>
          <w:szCs w:val="24"/>
        </w:rPr>
        <w:t xml:space="preserve">4.1 Production et chiffre d’affaires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400"/>
        <w:gridCol w:w="1880"/>
        <w:gridCol w:w="1880"/>
      </w:tblGrid>
      <w:tr>
        <w:trPr>
          <w:tblHeader/>
        </w:trPr>
        <w:tc>
          <w:tcPr>
            <w:tcW w:type="dxa" w:w="29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Spéculation</w:t>
            </w:r>
          </w:p>
        </w:tc>
        <w:tc>
          <w:tcPr>
            <w:tcW w:type="dxa" w:w="13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Surface (ha)</w:t>
            </w:r>
          </w:p>
        </w:tc>
        <w:tc>
          <w:tcPr>
            <w:tcW w:type="dxa" w:w="14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Rendement (t/ha)</w:t>
            </w:r>
          </w:p>
        </w:tc>
        <w:tc>
          <w:tcPr>
            <w:tcW w:type="dxa" w:w="188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Production brute (t)</w:t>
            </w:r>
          </w:p>
        </w:tc>
        <w:tc>
          <w:tcPr>
            <w:tcW w:type="dxa" w:w="188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Production nette (t)</w:t>
            </w:r>
          </w:p>
        </w:tc>
      </w:tr>
      <w:tr>
        <w:tc>
          <w:tcPr>
            <w:tcW w:type="dxa" w:w="2900"/>
            <w:tcMar>
              <w:top w:type="dxa" w:w="60"/>
              <w:left w:type="dxa" w:w="90"/>
              <w:bottom w:type="dxa" w:w="60"/>
              <w:right w:type="dxa" w:w="90"/>
            </w:tcMar>
          </w:tcPr>
          <w:p>
            <w:pPr>
              <w:spacing w:after="0" w:before="0"/>
              <w:jc w:val="left"/>
            </w:pPr>
            <w:r>
              <w:rPr>
                <w:b w:val="false"/>
                <w:bCs w:val="false"/>
                <w:i w:val="false"/>
                <w:iCs w:val="false"/>
                <w:sz w:val="19"/>
                <w:szCs w:val="19"/>
              </w:rPr>
              <w:t xml:space="preserve">Riz pluvial NERICA</w:t>
            </w:r>
          </w:p>
        </w:tc>
        <w:tc>
          <w:tcPr>
            <w:tcW w:type="dxa" w:w="1300"/>
            <w:tcMar>
              <w:top w:type="dxa" w:w="60"/>
              <w:left w:type="dxa" w:w="90"/>
              <w:bottom w:type="dxa" w:w="60"/>
              <w:right w:type="dxa" w:w="90"/>
            </w:tcMar>
          </w:tcPr>
          <w:p>
            <w:pPr>
              <w:spacing w:after="0" w:before="0"/>
              <w:jc w:val="right"/>
            </w:pPr>
            <w:r>
              <w:rPr>
                <w:b w:val="false"/>
                <w:bCs w:val="false"/>
                <w:i w:val="false"/>
                <w:iCs w:val="false"/>
                <w:sz w:val="19"/>
                <w:szCs w:val="19"/>
              </w:rPr>
              <w:t xml:space="preserve">23,0</w:t>
            </w:r>
          </w:p>
        </w:tc>
        <w:tc>
          <w:tcPr>
            <w:tcW w:type="dxa" w:w="1400"/>
            <w:tcMar>
              <w:top w:type="dxa" w:w="60"/>
              <w:left w:type="dxa" w:w="90"/>
              <w:bottom w:type="dxa" w:w="60"/>
              <w:right w:type="dxa" w:w="90"/>
            </w:tcMar>
          </w:tcPr>
          <w:p>
            <w:pPr>
              <w:spacing w:after="0" w:before="0"/>
              <w:jc w:val="right"/>
            </w:pPr>
            <w:r>
              <w:rPr>
                <w:b w:val="false"/>
                <w:bCs w:val="false"/>
                <w:i w:val="false"/>
                <w:iCs w:val="false"/>
                <w:sz w:val="19"/>
                <w:szCs w:val="19"/>
              </w:rPr>
              <w:t xml:space="preserve">3,30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75,90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72,11</w:t>
            </w:r>
          </w:p>
        </w:tc>
      </w:tr>
      <w:tr>
        <w:tc>
          <w:tcPr>
            <w:tcW w:type="dxa" w:w="2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Riz de bas-fond aménagé</w:t>
            </w:r>
          </w:p>
        </w:tc>
        <w:tc>
          <w:tcPr>
            <w:tcW w:type="dxa" w:w="13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4,0</w:t>
            </w:r>
          </w:p>
        </w:tc>
        <w:tc>
          <w:tcPr>
            <w:tcW w:type="dxa" w:w="14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4,50</w:t>
            </w:r>
          </w:p>
        </w:tc>
        <w:tc>
          <w:tcPr>
            <w:tcW w:type="dxa" w:w="18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18,00</w:t>
            </w:r>
          </w:p>
        </w:tc>
        <w:tc>
          <w:tcPr>
            <w:tcW w:type="dxa" w:w="18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17,10</w:t>
            </w:r>
          </w:p>
        </w:tc>
      </w:tr>
      <w:tr>
        <w:tc>
          <w:tcPr>
            <w:tcW w:type="dxa" w:w="2900"/>
            <w:tcMar>
              <w:top w:type="dxa" w:w="60"/>
              <w:left w:type="dxa" w:w="90"/>
              <w:bottom w:type="dxa" w:w="60"/>
              <w:right w:type="dxa" w:w="90"/>
            </w:tcMar>
          </w:tcPr>
          <w:p>
            <w:pPr>
              <w:spacing w:after="0" w:before="0"/>
              <w:jc w:val="left"/>
            </w:pPr>
            <w:r>
              <w:rPr>
                <w:b w:val="false"/>
                <w:bCs w:val="false"/>
                <w:i w:val="false"/>
                <w:iCs w:val="false"/>
                <w:sz w:val="19"/>
                <w:szCs w:val="19"/>
              </w:rPr>
              <w:t xml:space="preserve">Maïs grain</w:t>
            </w:r>
          </w:p>
        </w:tc>
        <w:tc>
          <w:tcPr>
            <w:tcW w:type="dxa" w:w="1300"/>
            <w:tcMar>
              <w:top w:type="dxa" w:w="60"/>
              <w:left w:type="dxa" w:w="90"/>
              <w:bottom w:type="dxa" w:w="60"/>
              <w:right w:type="dxa" w:w="90"/>
            </w:tcMar>
          </w:tcPr>
          <w:p>
            <w:pPr>
              <w:spacing w:after="0" w:before="0"/>
              <w:jc w:val="right"/>
            </w:pPr>
            <w:r>
              <w:rPr>
                <w:b w:val="false"/>
                <w:bCs w:val="false"/>
                <w:i w:val="false"/>
                <w:iCs w:val="false"/>
                <w:sz w:val="19"/>
                <w:szCs w:val="19"/>
              </w:rPr>
              <w:t xml:space="preserve">14,0</w:t>
            </w:r>
          </w:p>
        </w:tc>
        <w:tc>
          <w:tcPr>
            <w:tcW w:type="dxa" w:w="1400"/>
            <w:tcMar>
              <w:top w:type="dxa" w:w="60"/>
              <w:left w:type="dxa" w:w="90"/>
              <w:bottom w:type="dxa" w:w="60"/>
              <w:right w:type="dxa" w:w="90"/>
            </w:tcMar>
          </w:tcPr>
          <w:p>
            <w:pPr>
              <w:spacing w:after="0" w:before="0"/>
              <w:jc w:val="right"/>
            </w:pPr>
            <w:r>
              <w:rPr>
                <w:b w:val="false"/>
                <w:bCs w:val="false"/>
                <w:i w:val="false"/>
                <w:iCs w:val="false"/>
                <w:sz w:val="19"/>
                <w:szCs w:val="19"/>
              </w:rPr>
              <w:t xml:space="preserve">3,70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51,80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49,21</w:t>
            </w:r>
          </w:p>
        </w:tc>
      </w:tr>
      <w:tr>
        <w:tc>
          <w:tcPr>
            <w:tcW w:type="dxa" w:w="2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Manioc, racines fraîches</w:t>
            </w:r>
          </w:p>
        </w:tc>
        <w:tc>
          <w:tcPr>
            <w:tcW w:type="dxa" w:w="13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11,0</w:t>
            </w:r>
          </w:p>
        </w:tc>
        <w:tc>
          <w:tcPr>
            <w:tcW w:type="dxa" w:w="14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17,00</w:t>
            </w:r>
          </w:p>
        </w:tc>
        <w:tc>
          <w:tcPr>
            <w:tcW w:type="dxa" w:w="18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187,00</w:t>
            </w:r>
          </w:p>
        </w:tc>
        <w:tc>
          <w:tcPr>
            <w:tcW w:type="dxa" w:w="18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177,65</w:t>
            </w:r>
          </w:p>
        </w:tc>
      </w:tr>
      <w:tr>
        <w:tc>
          <w:tcPr>
            <w:tcW w:type="dxa" w:w="2900"/>
            <w:tcMar>
              <w:top w:type="dxa" w:w="60"/>
              <w:left w:type="dxa" w:w="90"/>
              <w:bottom w:type="dxa" w:w="60"/>
              <w:right w:type="dxa" w:w="90"/>
            </w:tcMar>
          </w:tcPr>
          <w:p>
            <w:pPr>
              <w:spacing w:after="0" w:before="0"/>
              <w:jc w:val="left"/>
            </w:pPr>
            <w:r>
              <w:rPr>
                <w:b w:val="false"/>
                <w:bCs w:val="false"/>
                <w:i w:val="false"/>
                <w:iCs w:val="false"/>
                <w:sz w:val="19"/>
                <w:szCs w:val="19"/>
              </w:rPr>
              <w:t xml:space="preserve">Arachide en coque</w:t>
            </w:r>
          </w:p>
        </w:tc>
        <w:tc>
          <w:tcPr>
            <w:tcW w:type="dxa" w:w="1300"/>
            <w:tcMar>
              <w:top w:type="dxa" w:w="60"/>
              <w:left w:type="dxa" w:w="90"/>
              <w:bottom w:type="dxa" w:w="60"/>
              <w:right w:type="dxa" w:w="90"/>
            </w:tcMar>
          </w:tcPr>
          <w:p>
            <w:pPr>
              <w:spacing w:after="0" w:before="0"/>
              <w:jc w:val="right"/>
            </w:pPr>
            <w:r>
              <w:rPr>
                <w:b w:val="false"/>
                <w:bCs w:val="false"/>
                <w:i w:val="false"/>
                <w:iCs w:val="false"/>
                <w:sz w:val="19"/>
                <w:szCs w:val="19"/>
              </w:rPr>
              <w:t xml:space="preserve">6,0</w:t>
            </w:r>
          </w:p>
        </w:tc>
        <w:tc>
          <w:tcPr>
            <w:tcW w:type="dxa" w:w="1400"/>
            <w:tcMar>
              <w:top w:type="dxa" w:w="60"/>
              <w:left w:type="dxa" w:w="90"/>
              <w:bottom w:type="dxa" w:w="60"/>
              <w:right w:type="dxa" w:w="90"/>
            </w:tcMar>
          </w:tcPr>
          <w:p>
            <w:pPr>
              <w:spacing w:after="0" w:before="0"/>
              <w:jc w:val="right"/>
            </w:pPr>
            <w:r>
              <w:rPr>
                <w:b w:val="false"/>
                <w:bCs w:val="false"/>
                <w:i w:val="false"/>
                <w:iCs w:val="false"/>
                <w:sz w:val="19"/>
                <w:szCs w:val="19"/>
              </w:rPr>
              <w:t xml:space="preserve">1,70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10,20</w:t>
            </w:r>
          </w:p>
        </w:tc>
        <w:tc>
          <w:tcPr>
            <w:tcW w:type="dxa" w:w="1880"/>
            <w:tcMar>
              <w:top w:type="dxa" w:w="60"/>
              <w:left w:type="dxa" w:w="90"/>
              <w:bottom w:type="dxa" w:w="60"/>
              <w:right w:type="dxa" w:w="90"/>
            </w:tcMar>
          </w:tcPr>
          <w:p>
            <w:pPr>
              <w:spacing w:after="0" w:before="0"/>
              <w:jc w:val="right"/>
            </w:pPr>
            <w:r>
              <w:rPr>
                <w:b w:val="false"/>
                <w:bCs w:val="false"/>
                <w:i w:val="false"/>
                <w:iCs w:val="false"/>
                <w:sz w:val="19"/>
                <w:szCs w:val="19"/>
              </w:rPr>
              <w:t xml:space="preserve">9,69</w:t>
            </w:r>
          </w:p>
        </w:tc>
      </w:tr>
      <w:tr>
        <w:tc>
          <w:tcPr>
            <w:tcW w:type="dxa" w:w="29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w:t>
            </w:r>
          </w:p>
        </w:tc>
        <w:tc>
          <w:tcPr>
            <w:tcW w:type="dxa" w:w="13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58,0</w:t>
            </w:r>
          </w:p>
        </w:tc>
        <w:tc>
          <w:tcPr>
            <w:tcW w:type="dxa" w:w="14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w:t>
            </w:r>
          </w:p>
        </w:tc>
        <w:tc>
          <w:tcPr>
            <w:tcW w:type="dxa" w:w="18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342,90</w:t>
            </w:r>
          </w:p>
        </w:tc>
        <w:tc>
          <w:tcPr>
            <w:tcW w:type="dxa" w:w="18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325,75</w:t>
            </w:r>
          </w:p>
        </w:tc>
      </w:tr>
    </w:tbl>
    <w:p>
      <w:pPr>
        <w:spacing w:after="200" w:before="80"/>
        <w:jc w:val="left"/>
      </w:pPr>
      <w:r>
        <w:rPr>
          <w:i/>
          <w:iCs/>
          <w:color w:val="595959"/>
          <w:sz w:val="17"/>
          <w:szCs w:val="17"/>
        </w:rPr>
        <w:t xml:space="preserve">La production nette est obtenue après application du taux de pertes post-récolte de la campagne.</w:t>
      </w:r>
    </w:p>
    <w:p>
      <w:pPr>
        <w:pStyle w:val="Heading3"/>
        <w:spacing w:after="110" w:before="200"/>
      </w:pPr>
      <w:r>
        <w:rPr>
          <w:b/>
          <w:bCs/>
          <w:color w:val="2E75B6"/>
          <w:sz w:val="21"/>
          <w:szCs w:val="21"/>
        </w:rPr>
        <w:t xml:space="preserve">Affectation du riz et du manioc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Affectation</w:t>
            </w:r>
          </w:p>
        </w:tc>
        <w:tc>
          <w:tcPr>
            <w:tcW w:type="dxa" w:w="258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Quantité (t)</w:t>
            </w:r>
          </w:p>
        </w:tc>
        <w:tc>
          <w:tcPr>
            <w:tcW w:type="dxa" w:w="258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Valorisation (GNF)</w:t>
            </w:r>
          </w:p>
        </w:tc>
      </w:tr>
      <w:tr>
        <w:tc>
          <w:tcPr>
            <w:tcW w:type="dxa" w:w="4200"/>
            <w:shd w:fill="F2F2F2" w:color="auto" w:val="clear"/>
            <w:tcMar>
              <w:top w:type="dxa" w:w="60"/>
              <w:left w:type="dxa" w:w="90"/>
              <w:bottom w:type="dxa" w:w="60"/>
              <w:right w:type="dxa" w:w="90"/>
            </w:tcMar>
          </w:tcPr>
          <w:p>
            <w:pPr>
              <w:spacing w:after="0" w:before="0"/>
              <w:jc w:val="left"/>
            </w:pPr>
            <w:r>
              <w:rPr>
                <w:b/>
                <w:bCs/>
                <w:i w:val="false"/>
                <w:iCs w:val="false"/>
                <w:sz w:val="19"/>
                <w:szCs w:val="19"/>
              </w:rPr>
              <w:t xml:space="preserve">Paddy net disponible</w:t>
            </w:r>
          </w:p>
        </w:tc>
        <w:tc>
          <w:tcPr>
            <w:tcW w:type="dxa" w:w="258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89,20</w:t>
            </w:r>
          </w:p>
        </w:tc>
        <w:tc>
          <w:tcPr>
            <w:tcW w:type="dxa" w:w="258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w:t>
            </w:r>
          </w:p>
        </w:tc>
      </w:tr>
      <w:tr>
        <w:tc>
          <w:tcPr>
            <w:tcW w:type="dxa" w:w="42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dont paddy dirigé vers l’usinage</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75,82</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w:t>
            </w:r>
          </w:p>
        </w:tc>
      </w:tr>
      <w:tr>
        <w:tc>
          <w:tcPr>
            <w:tcW w:type="dxa" w:w="4200"/>
            <w:tcMar>
              <w:top w:type="dxa" w:w="60"/>
              <w:left w:type="dxa" w:w="90"/>
              <w:bottom w:type="dxa" w:w="60"/>
              <w:right w:type="dxa" w:w="90"/>
            </w:tcMar>
          </w:tcPr>
          <w:p>
            <w:pPr>
              <w:spacing w:after="0" w:before="0"/>
              <w:jc w:val="left"/>
            </w:pPr>
            <w:r>
              <w:rPr>
                <w:b w:val="false"/>
                <w:bCs w:val="false"/>
                <w:i w:val="false"/>
                <w:iCs w:val="false"/>
                <w:sz w:val="19"/>
                <w:szCs w:val="19"/>
              </w:rPr>
              <w:t xml:space="preserve">Riz blanc obtenu et vendu</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49,29</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616 072 500</w:t>
            </w:r>
          </w:p>
        </w:tc>
      </w:tr>
      <w:tr>
        <w:tc>
          <w:tcPr>
            <w:tcW w:type="dxa" w:w="42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Paddy vendu en l’état</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13,38</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72 256 320</w:t>
            </w:r>
          </w:p>
        </w:tc>
      </w:tr>
      <w:tr>
        <w:tc>
          <w:tcPr>
            <w:tcW w:type="dxa" w:w="42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Chiffre d’affaires riz</w:t>
            </w:r>
          </w:p>
        </w:tc>
        <w:tc>
          <w:tcPr>
            <w:tcW w:type="dxa" w:w="25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w:t>
            </w:r>
          </w:p>
        </w:tc>
        <w:tc>
          <w:tcPr>
            <w:tcW w:type="dxa" w:w="25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688 328 081</w:t>
            </w:r>
          </w:p>
        </w:tc>
      </w:tr>
      <w:tr>
        <w:tc>
          <w:tcPr>
            <w:tcW w:type="dxa" w:w="4200"/>
            <w:shd w:fill="F2F2F2" w:color="auto" w:val="clear"/>
            <w:tcMar>
              <w:top w:type="dxa" w:w="60"/>
              <w:left w:type="dxa" w:w="90"/>
              <w:bottom w:type="dxa" w:w="60"/>
              <w:right w:type="dxa" w:w="90"/>
            </w:tcMar>
          </w:tcPr>
          <w:p>
            <w:pPr>
              <w:spacing w:after="0" w:before="0"/>
              <w:jc w:val="left"/>
            </w:pPr>
            <w:r>
              <w:rPr>
                <w:b/>
                <w:bCs/>
                <w:i w:val="false"/>
                <w:iCs w:val="false"/>
                <w:sz w:val="19"/>
                <w:szCs w:val="19"/>
              </w:rPr>
              <w:t xml:space="preserve">Racines de manioc nettes</w:t>
            </w:r>
          </w:p>
        </w:tc>
        <w:tc>
          <w:tcPr>
            <w:tcW w:type="dxa" w:w="258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177,65</w:t>
            </w:r>
          </w:p>
        </w:tc>
        <w:tc>
          <w:tcPr>
            <w:tcW w:type="dxa" w:w="258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w:t>
            </w:r>
          </w:p>
        </w:tc>
      </w:tr>
      <w:tr>
        <w:tc>
          <w:tcPr>
            <w:tcW w:type="dxa" w:w="4200"/>
            <w:tcMar>
              <w:top w:type="dxa" w:w="60"/>
              <w:left w:type="dxa" w:w="90"/>
              <w:bottom w:type="dxa" w:w="60"/>
              <w:right w:type="dxa" w:w="90"/>
            </w:tcMar>
          </w:tcPr>
          <w:p>
            <w:pPr>
              <w:spacing w:after="0" w:before="0"/>
              <w:jc w:val="left"/>
            </w:pPr>
            <w:r>
              <w:rPr>
                <w:b w:val="false"/>
                <w:bCs w:val="false"/>
                <w:i w:val="false"/>
                <w:iCs w:val="false"/>
                <w:sz w:val="19"/>
                <w:szCs w:val="19"/>
              </w:rPr>
              <w:t xml:space="preserve">dont racines transformées</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79,94</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w:t>
            </w:r>
          </w:p>
        </w:tc>
      </w:tr>
      <w:tr>
        <w:tc>
          <w:tcPr>
            <w:tcW w:type="dxa" w:w="42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Gari obtenu et vendu</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17,59</w:t>
            </w:r>
          </w:p>
        </w:tc>
        <w:tc>
          <w:tcPr>
            <w:tcW w:type="dxa" w:w="258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175 874 000</w:t>
            </w:r>
          </w:p>
        </w:tc>
      </w:tr>
      <w:tr>
        <w:tc>
          <w:tcPr>
            <w:tcW w:type="dxa" w:w="4200"/>
            <w:tcMar>
              <w:top w:type="dxa" w:w="60"/>
              <w:left w:type="dxa" w:w="90"/>
              <w:bottom w:type="dxa" w:w="60"/>
              <w:right w:type="dxa" w:w="90"/>
            </w:tcMar>
          </w:tcPr>
          <w:p>
            <w:pPr>
              <w:spacing w:after="0" w:before="0"/>
              <w:jc w:val="left"/>
            </w:pPr>
            <w:r>
              <w:rPr>
                <w:b w:val="false"/>
                <w:bCs w:val="false"/>
                <w:i w:val="false"/>
                <w:iCs w:val="false"/>
                <w:sz w:val="19"/>
                <w:szCs w:val="19"/>
              </w:rPr>
              <w:t xml:space="preserve">Racines vendues fraîches</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97,71</w:t>
            </w:r>
          </w:p>
        </w:tc>
        <w:tc>
          <w:tcPr>
            <w:tcW w:type="dxa" w:w="2580"/>
            <w:tcMar>
              <w:top w:type="dxa" w:w="60"/>
              <w:left w:type="dxa" w:w="90"/>
              <w:bottom w:type="dxa" w:w="60"/>
              <w:right w:type="dxa" w:w="90"/>
            </w:tcMar>
          </w:tcPr>
          <w:p>
            <w:pPr>
              <w:spacing w:after="0" w:before="0"/>
              <w:jc w:val="right"/>
            </w:pPr>
            <w:r>
              <w:rPr>
                <w:b w:val="false"/>
                <w:bCs w:val="false"/>
                <w:i w:val="false"/>
                <w:iCs w:val="false"/>
                <w:sz w:val="19"/>
                <w:szCs w:val="19"/>
              </w:rPr>
              <w:t xml:space="preserve">180 758 875</w:t>
            </w:r>
          </w:p>
        </w:tc>
      </w:tr>
      <w:tr>
        <w:tc>
          <w:tcPr>
            <w:tcW w:type="dxa" w:w="42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Chiffre d’affaires manioc</w:t>
            </w:r>
          </w:p>
        </w:tc>
        <w:tc>
          <w:tcPr>
            <w:tcW w:type="dxa" w:w="25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w:t>
            </w:r>
          </w:p>
        </w:tc>
        <w:tc>
          <w:tcPr>
            <w:tcW w:type="dxa" w:w="258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356 632 375</w:t>
            </w:r>
          </w:p>
        </w:tc>
      </w:tr>
    </w:tbl>
    <w:p>
      <w:pPr>
        <w:pStyle w:val="Heading3"/>
        <w:spacing w:after="110" w:before="200"/>
      </w:pPr>
      <w:r>
        <w:rPr>
          <w:b/>
          <w:bCs/>
          <w:color w:val="2E75B6"/>
          <w:sz w:val="21"/>
          <w:szCs w:val="21"/>
        </w:rPr>
        <w:t xml:space="preserve">Produits d’exploitation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Nature du produit (compte SYSCOHADA)</w:t>
            </w:r>
          </w:p>
        </w:tc>
        <w:tc>
          <w:tcPr>
            <w:tcW w:type="dxa" w:w="39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701 — Ventes de riz, paddy et riz blanc</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688 328 081</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701 — Ventes de maïs grain</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226 366 000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701 — Ventes de manioc et de gari</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356 632 375</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701 — Ventes d’arachide en coque</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101 745 000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702 — Ventes de sous-produits, son, brisures, fanes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28 000 000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706 — Prestations de décorticage et de battage pour tiers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42 000 000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 DES PRODUITS D’EXPLOITATION</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1 443 071 456</w:t>
            </w:r>
          </w:p>
        </w:tc>
      </w:tr>
    </w:tbl>
    <w:p>
      <w:pPr>
        <w:pStyle w:val="Heading2"/>
        <w:spacing w:after="140" w:before="240"/>
      </w:pPr>
      <w:r>
        <w:rPr>
          <w:b/>
          <w:bCs/>
          <w:color w:val="1F3864"/>
          <w:sz w:val="24"/>
          <w:szCs w:val="24"/>
        </w:rPr>
        <w:t xml:space="preserve">4.2 Charges d’exploitation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200"/>
        <w:gridCol w:w="17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Rubrique de charge</w:t>
            </w:r>
          </w:p>
        </w:tc>
        <w:tc>
          <w:tcPr>
            <w:tcW w:type="dxa" w:w="22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c>
          <w:tcPr>
            <w:tcW w:type="dxa" w:w="17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Poids</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60 — Achats et fournitures consommés</w:t>
            </w:r>
          </w:p>
        </w:tc>
        <w:tc>
          <w:tcPr>
            <w:tcW w:type="dxa" w:w="2200"/>
            <w:tcMar>
              <w:top w:type="dxa" w:w="60"/>
              <w:left w:type="dxa" w:w="90"/>
              <w:bottom w:type="dxa" w:w="60"/>
              <w:right w:type="dxa" w:w="90"/>
            </w:tcMar>
          </w:tcPr>
          <w:p>
            <w:pPr>
              <w:spacing w:after="0" w:before="0"/>
              <w:jc w:val="right"/>
            </w:pPr>
            <w:r>
              <w:rPr>
                <w:b w:val="false"/>
                <w:bCs w:val="false"/>
                <w:i w:val="false"/>
                <w:iCs w:val="false"/>
                <w:sz w:val="19"/>
                <w:szCs w:val="19"/>
              </w:rPr>
              <w:t xml:space="preserve">402 760 000</w:t>
            </w:r>
          </w:p>
        </w:tc>
        <w:tc>
          <w:tcPr>
            <w:tcW w:type="dxa" w:w="1760"/>
            <w:tcMar>
              <w:top w:type="dxa" w:w="60"/>
              <w:left w:type="dxa" w:w="90"/>
              <w:bottom w:type="dxa" w:w="60"/>
              <w:right w:type="dxa" w:w="90"/>
            </w:tcMar>
          </w:tcPr>
          <w:p>
            <w:pPr>
              <w:spacing w:after="0" w:before="0"/>
              <w:jc w:val="right"/>
            </w:pPr>
            <w:r>
              <w:rPr>
                <w:b w:val="false"/>
                <w:bCs w:val="false"/>
                <w:i w:val="false"/>
                <w:iCs w:val="false"/>
                <w:sz w:val="19"/>
                <w:szCs w:val="19"/>
              </w:rPr>
              <w:t xml:space="preserve">33,6 %</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61 et 62 — Transports et services extérieurs</w:t>
            </w:r>
          </w:p>
        </w:tc>
        <w:tc>
          <w:tcPr>
            <w:tcW w:type="dxa" w:w="22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146 000 000</w:t>
            </w:r>
          </w:p>
        </w:tc>
        <w:tc>
          <w:tcPr>
            <w:tcW w:type="dxa" w:w="17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12,2 %</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64 — Impôts et taxes</w:t>
            </w:r>
          </w:p>
        </w:tc>
        <w:tc>
          <w:tcPr>
            <w:tcW w:type="dxa" w:w="2200"/>
            <w:tcMar>
              <w:top w:type="dxa" w:w="60"/>
              <w:left w:type="dxa" w:w="90"/>
              <w:bottom w:type="dxa" w:w="60"/>
              <w:right w:type="dxa" w:w="90"/>
            </w:tcMar>
          </w:tcPr>
          <w:p>
            <w:pPr>
              <w:spacing w:after="0" w:before="0"/>
              <w:jc w:val="right"/>
            </w:pPr>
            <w:r>
              <w:rPr>
                <w:b w:val="false"/>
                <w:bCs w:val="false"/>
                <w:i w:val="false"/>
                <w:iCs w:val="false"/>
                <w:sz w:val="19"/>
                <w:szCs w:val="19"/>
              </w:rPr>
              <w:t xml:space="preserve">22 000 000</w:t>
            </w:r>
          </w:p>
        </w:tc>
        <w:tc>
          <w:tcPr>
            <w:tcW w:type="dxa" w:w="1760"/>
            <w:tcMar>
              <w:top w:type="dxa" w:w="60"/>
              <w:left w:type="dxa" w:w="90"/>
              <w:bottom w:type="dxa" w:w="60"/>
              <w:right w:type="dxa" w:w="90"/>
            </w:tcMar>
          </w:tcPr>
          <w:p>
            <w:pPr>
              <w:spacing w:after="0" w:before="0"/>
              <w:jc w:val="right"/>
            </w:pPr>
            <w:r>
              <w:rPr>
                <w:b w:val="false"/>
                <w:bCs w:val="false"/>
                <w:i w:val="false"/>
                <w:iCs w:val="false"/>
                <w:sz w:val="19"/>
                <w:szCs w:val="19"/>
              </w:rPr>
              <w:t xml:space="preserve">1,8 %</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66 — Charges de personnel</w:t>
            </w:r>
          </w:p>
        </w:tc>
        <w:tc>
          <w:tcPr>
            <w:tcW w:type="dxa" w:w="22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411 088 000</w:t>
            </w:r>
          </w:p>
        </w:tc>
        <w:tc>
          <w:tcPr>
            <w:tcW w:type="dxa" w:w="17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34,3 %</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68 — Dotations aux amortissements</w:t>
            </w:r>
          </w:p>
        </w:tc>
        <w:tc>
          <w:tcPr>
            <w:tcW w:type="dxa" w:w="2200"/>
            <w:tcMar>
              <w:top w:type="dxa" w:w="60"/>
              <w:left w:type="dxa" w:w="90"/>
              <w:bottom w:type="dxa" w:w="60"/>
              <w:right w:type="dxa" w:w="90"/>
            </w:tcMar>
          </w:tcPr>
          <w:p>
            <w:pPr>
              <w:spacing w:after="0" w:before="0"/>
              <w:jc w:val="right"/>
            </w:pPr>
            <w:r>
              <w:rPr>
                <w:b w:val="false"/>
                <w:bCs w:val="false"/>
                <w:i w:val="false"/>
                <w:iCs w:val="false"/>
                <w:sz w:val="19"/>
                <w:szCs w:val="19"/>
              </w:rPr>
              <w:t xml:space="preserve">134 542 560</w:t>
            </w:r>
          </w:p>
        </w:tc>
        <w:tc>
          <w:tcPr>
            <w:tcW w:type="dxa" w:w="1760"/>
            <w:tcMar>
              <w:top w:type="dxa" w:w="60"/>
              <w:left w:type="dxa" w:w="90"/>
              <w:bottom w:type="dxa" w:w="60"/>
              <w:right w:type="dxa" w:w="90"/>
            </w:tcMar>
          </w:tcPr>
          <w:p>
            <w:pPr>
              <w:spacing w:after="0" w:before="0"/>
              <w:jc w:val="right"/>
            </w:pPr>
            <w:r>
              <w:rPr>
                <w:b w:val="false"/>
                <w:bCs w:val="false"/>
                <w:i w:val="false"/>
                <w:iCs w:val="false"/>
                <w:sz w:val="19"/>
                <w:szCs w:val="19"/>
              </w:rPr>
              <w:t xml:space="preserve">11,2 %</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Sous-total des charges d’exploitation</w:t>
            </w:r>
          </w:p>
        </w:tc>
        <w:tc>
          <w:tcPr>
            <w:tcW w:type="dxa" w:w="22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1 116 390 560</w:t>
            </w:r>
          </w:p>
        </w:tc>
        <w:tc>
          <w:tcPr>
            <w:tcW w:type="dxa" w:w="17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93,1 %</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67 — Charges financières</w:t>
            </w:r>
          </w:p>
        </w:tc>
        <w:tc>
          <w:tcPr>
            <w:tcW w:type="dxa" w:w="2200"/>
            <w:tcMar>
              <w:top w:type="dxa" w:w="60"/>
              <w:left w:type="dxa" w:w="90"/>
              <w:bottom w:type="dxa" w:w="60"/>
              <w:right w:type="dxa" w:w="90"/>
            </w:tcMar>
          </w:tcPr>
          <w:p>
            <w:pPr>
              <w:spacing w:after="0" w:before="0"/>
              <w:jc w:val="right"/>
            </w:pPr>
            <w:r>
              <w:rPr>
                <w:b w:val="false"/>
                <w:bCs w:val="false"/>
                <w:i w:val="false"/>
                <w:iCs w:val="false"/>
                <w:sz w:val="19"/>
                <w:szCs w:val="19"/>
              </w:rPr>
              <w:t xml:space="preserve">82 745 000</w:t>
            </w:r>
          </w:p>
        </w:tc>
        <w:tc>
          <w:tcPr>
            <w:tcW w:type="dxa" w:w="1760"/>
            <w:tcMar>
              <w:top w:type="dxa" w:w="60"/>
              <w:left w:type="dxa" w:w="90"/>
              <w:bottom w:type="dxa" w:w="60"/>
              <w:right w:type="dxa" w:w="90"/>
            </w:tcMar>
          </w:tcPr>
          <w:p>
            <w:pPr>
              <w:spacing w:after="0" w:before="0"/>
              <w:jc w:val="right"/>
            </w:pPr>
            <w:r>
              <w:rPr>
                <w:b w:val="false"/>
                <w:bCs w:val="false"/>
                <w:i w:val="false"/>
                <w:iCs w:val="false"/>
                <w:sz w:val="19"/>
                <w:szCs w:val="19"/>
              </w:rPr>
              <w:t xml:space="preserve">6,9 %</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 GÉNÉRAL DES CHARGES</w:t>
            </w:r>
          </w:p>
        </w:tc>
        <w:tc>
          <w:tcPr>
            <w:tcW w:type="dxa" w:w="220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1 199 135 560</w:t>
            </w:r>
          </w:p>
        </w:tc>
        <w:tc>
          <w:tcPr>
            <w:tcW w:type="dxa" w:w="17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100,0 %</w:t>
            </w:r>
          </w:p>
        </w:tc>
      </w:tr>
    </w:tbl>
    <w:p>
      <w:pPr>
        <w:spacing w:after="140" w:before="0" w:line="276"/>
        <w:jc w:val="both"/>
      </w:pPr>
      <w:r>
        <w:rPr>
          <w:b w:val="false"/>
          <w:bCs w:val="false"/>
          <w:i w:val="false"/>
          <w:iCs w:val="false"/>
          <w:sz w:val="21"/>
          <w:szCs w:val="21"/>
        </w:rPr>
        <w:t xml:space="preserve">Le détail du poste « charges de personnel » se décompose en 261 600 000 GNF de salaires bruts permanents, 47 088 000 GNF de charges sociales patronales CNSS au taux de 18 %, et 102 400 000 GNF de main-d’œuvre journalière de campagne.</w:t>
      </w:r>
    </w:p>
    <w:p>
      <w:pPr>
        <w:pStyle w:val="Heading2"/>
        <w:spacing w:after="140" w:before="240"/>
      </w:pPr>
      <w:r>
        <w:rPr>
          <w:b/>
          <w:bCs/>
          <w:color w:val="1F3864"/>
          <w:sz w:val="24"/>
          <w:szCs w:val="24"/>
        </w:rPr>
        <w:t xml:space="preserve">4.3 Compte de résultat de la campagne 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Libellé</w:t>
            </w:r>
          </w:p>
        </w:tc>
        <w:tc>
          <w:tcPr>
            <w:tcW w:type="dxa" w:w="39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r>
      <w:tr>
        <w:tc>
          <w:tcPr>
            <w:tcW w:type="dxa" w:w="5400"/>
            <w:shd w:fill="F2F2F2" w:color="auto" w:val="clear"/>
            <w:tcMar>
              <w:top w:type="dxa" w:w="60"/>
              <w:left w:type="dxa" w:w="90"/>
              <w:bottom w:type="dxa" w:w="60"/>
              <w:right w:type="dxa" w:w="90"/>
            </w:tcMar>
          </w:tcPr>
          <w:p>
            <w:pPr>
              <w:spacing w:after="0" w:before="0"/>
              <w:jc w:val="left"/>
            </w:pPr>
            <w:r>
              <w:rPr>
                <w:b/>
                <w:bCs/>
                <w:i w:val="false"/>
                <w:iCs w:val="false"/>
                <w:sz w:val="19"/>
                <w:szCs w:val="19"/>
              </w:rPr>
              <w:t xml:space="preserve">Produits d’exploitation</w:t>
            </w:r>
          </w:p>
        </w:tc>
        <w:tc>
          <w:tcPr>
            <w:tcW w:type="dxa" w:w="3960"/>
            <w:shd w:fill="F2F2F2" w:color="auto" w:val="clear"/>
            <w:tcMar>
              <w:top w:type="dxa" w:w="60"/>
              <w:left w:type="dxa" w:w="90"/>
              <w:bottom w:type="dxa" w:w="60"/>
              <w:right w:type="dxa" w:w="90"/>
            </w:tcMar>
          </w:tcPr>
          <w:p>
            <w:pPr>
              <w:spacing w:after="0" w:before="0"/>
              <w:jc w:val="right"/>
            </w:pPr>
            <w:r>
              <w:rPr>
                <w:b/>
                <w:bCs/>
                <w:i w:val="false"/>
                <w:iCs w:val="false"/>
                <w:sz w:val="19"/>
                <w:szCs w:val="19"/>
              </w:rPr>
              <w:t xml:space="preserve">1 443 071 456</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Consommations intermédiaires, achats et services extérieurs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(548 760 000)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VALEUR AJOUTÉE</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894 311 456</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Impôts et taxes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(22 000 000)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Charges de personnel</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(411 088 000)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EXCÉDENT BRUT D’EXPLOITATION</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461 223 456</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Dotations aux amortissements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(134 542 560)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RÉSULTAT D’EXPLOITATION</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326 680 897</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Charges financières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(82 745 000)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RÉSULTAT AVANT IMPÔT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243 935 897</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Impôt sur les bénéfices, taux de 25 %</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(60 983 974)</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RÉSULTAT NET DE LA CAMPAGNE</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182 951 923</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Capacité d’autofinancement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317 494 482</w:t>
            </w:r>
          </w:p>
        </w:tc>
      </w:tr>
    </w:tbl>
    <w:p>
      <w:pPr>
        <w:pStyle w:val="Heading2"/>
        <w:spacing w:after="140" w:before="240"/>
      </w:pPr>
      <w:r>
        <w:rPr>
          <w:b/>
          <w:bCs/>
          <w:color w:val="1F3864"/>
          <w:sz w:val="24"/>
          <w:szCs w:val="24"/>
        </w:rPr>
        <w:t xml:space="preserve">4.4 Bilan au 31 décembre 2025</w:t>
      </w:r>
    </w:p>
    <w:p>
      <w:pPr>
        <w:pStyle w:val="Heading3"/>
        <w:spacing w:after="110" w:before="200"/>
      </w:pPr>
      <w:r>
        <w:rPr>
          <w:b/>
          <w:bCs/>
          <w:color w:val="2E75B6"/>
          <w:sz w:val="21"/>
          <w:szCs w:val="21"/>
        </w:rPr>
        <w:t xml:space="preserve">Actif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Poste d’actif</w:t>
            </w:r>
          </w:p>
        </w:tc>
        <w:tc>
          <w:tcPr>
            <w:tcW w:type="dxa" w:w="39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Immobilisations brutes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1 206 000 000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Amortissements cumulés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(177 584 226)</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Actif immobilisé net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1 028 415 774</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Stocks d’intrants et d’emballages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45 000 000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Stocks de produits finis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118 000 000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Créances clients et autres créances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78 000 000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Actif circulant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241 000 000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Banques, caisse et disponibilités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107 776 385</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 DE L’ACTIF</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1 377 192 159</w:t>
            </w:r>
          </w:p>
        </w:tc>
      </w:tr>
    </w:tbl>
    <w:p>
      <w:pPr>
        <w:pStyle w:val="Heading3"/>
        <w:spacing w:after="110" w:before="200"/>
      </w:pPr>
      <w:r>
        <w:rPr>
          <w:b/>
          <w:bCs/>
          <w:color w:val="2E75B6"/>
          <w:sz w:val="21"/>
          <w:szCs w:val="21"/>
        </w:rPr>
        <w:t xml:space="preserve">Passif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Poste de passif</w:t>
            </w:r>
          </w:p>
        </w:tc>
        <w:tc>
          <w:tcPr>
            <w:tcW w:type="dxa" w:w="39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Montant (GNF)</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Capital social libéré</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10 000 000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Report à nouveau, résultat de la campagne 2024</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49 256 263</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Résultat net de la campagne</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182 951 923</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Capitaux propres</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242 208 185</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Comptes courants d’associés bloqués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370 000 000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Capitaux propres élargis</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612 208 185</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Emprunt moyen terme 2024, encours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166 000 000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Emprunt d’investissement 2025, encours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450 000 000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Dettes financières</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616 000 000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Dettes fournisseurs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68 000 000</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Dettes sociales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20 000 000</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Dettes fiscales, impôt sur les bénéfices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60 983 974</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Passif circulant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148 983 974</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TOTAL DU PASSIF</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1 377 192 159</w:t>
            </w:r>
          </w:p>
        </w:tc>
      </w:tr>
    </w:tbl>
    <w:p>
      <w:pPr>
        <w:spacing w:after="140" w:before="0" w:line="276"/>
        <w:jc w:val="both"/>
      </w:pPr>
      <w:r>
        <w:rPr>
          <w:b w:val="false"/>
          <w:bCs w:val="false"/>
          <w:i w:val="false"/>
          <w:iCs w:val="false"/>
          <w:sz w:val="21"/>
          <w:szCs w:val="21"/>
        </w:rPr>
        <w:t xml:space="preserve">Contrôle d’équilibre : total de l’actif 1 377 192 159 GNF, total du passif 1 377 192 159 GNF, écart nul. Le fonds de roulement net global s’établit à 199 792 411 GNF pour un besoin en fonds de roulement de 92 016 026 GNF, dégageant une trésorerie nette positive de 107 776 385 GNF.</w:t>
      </w:r>
    </w:p>
    <w:p>
      <w:r>
        <w:br w:type="page"/>
      </w:r>
    </w:p>
    <w:p>
      <w:pPr>
        <w:pStyle w:val="Heading1"/>
        <w:spacing w:after="180" w:before="320"/>
      </w:pPr>
      <w:r>
        <w:rPr>
          <w:b/>
          <w:bCs/>
          <w:color w:val="1F3864"/>
          <w:sz w:val="30"/>
          <w:szCs w:val="30"/>
        </w:rPr>
        <w:t xml:space="preserve">5. Analyse comparative des deux campagnes</w:t>
      </w:r>
    </w:p>
    <w:p>
      <w:pPr>
        <w:pStyle w:val="Heading2"/>
        <w:spacing w:after="140" w:before="240"/>
      </w:pPr>
      <w:r>
        <w:rPr>
          <w:b/>
          <w:bCs/>
          <w:color w:val="1F3864"/>
          <w:sz w:val="24"/>
          <w:szCs w:val="24"/>
        </w:rPr>
        <w:t xml:space="preserve">5.1 Tableau de bord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50"/>
        <w:gridCol w:w="2050"/>
        <w:gridCol w:w="2160"/>
      </w:tblGrid>
      <w:tr>
        <w:trPr>
          <w:tblHeader/>
        </w:trPr>
        <w:tc>
          <w:tcPr>
            <w:tcW w:type="dxa" w:w="31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Indicateur</w:t>
            </w:r>
          </w:p>
        </w:tc>
        <w:tc>
          <w:tcPr>
            <w:tcW w:type="dxa" w:w="205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2024</w:t>
            </w:r>
          </w:p>
        </w:tc>
        <w:tc>
          <w:tcPr>
            <w:tcW w:type="dxa" w:w="205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2025</w:t>
            </w:r>
          </w:p>
        </w:tc>
        <w:tc>
          <w:tcPr>
            <w:tcW w:type="dxa" w:w="21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Progression</w:t>
            </w:r>
          </w:p>
        </w:tc>
      </w:tr>
      <w:tr>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Superficie emblavée (ha)</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55,0</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58,0</w:t>
            </w:r>
          </w:p>
        </w:tc>
        <w:tc>
          <w:tcPr>
            <w:tcW w:type="dxa" w:w="2160"/>
            <w:tcMar>
              <w:top w:type="dxa" w:w="60"/>
              <w:left w:type="dxa" w:w="90"/>
              <w:bottom w:type="dxa" w:w="60"/>
              <w:right w:type="dxa" w:w="90"/>
            </w:tcMar>
          </w:tcPr>
          <w:p>
            <w:pPr>
              <w:spacing w:after="0" w:before="0"/>
              <w:jc w:val="right"/>
            </w:pPr>
            <w:r>
              <w:rPr>
                <w:b w:val="false"/>
                <w:bCs w:val="false"/>
                <w:i w:val="false"/>
                <w:iCs w:val="false"/>
                <w:sz w:val="19"/>
                <w:szCs w:val="19"/>
              </w:rPr>
              <w:t xml:space="preserve">+5,5 %</w:t>
            </w:r>
          </w:p>
        </w:tc>
      </w:tr>
      <w:tr>
        <w:tc>
          <w:tcPr>
            <w:tcW w:type="dxa" w:w="31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Production nette totale (t)</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242,33</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325,75</w:t>
            </w:r>
          </w:p>
        </w:tc>
        <w:tc>
          <w:tcPr>
            <w:tcW w:type="dxa" w:w="21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+34,4 %</w:t>
            </w:r>
          </w:p>
        </w:tc>
      </w:tr>
      <w:tr>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Produits d’exploitation</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833 808 650</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1 443 071 456</w:t>
            </w:r>
          </w:p>
        </w:tc>
        <w:tc>
          <w:tcPr>
            <w:tcW w:type="dxa" w:w="2160"/>
            <w:tcMar>
              <w:top w:type="dxa" w:w="60"/>
              <w:left w:type="dxa" w:w="90"/>
              <w:bottom w:type="dxa" w:w="60"/>
              <w:right w:type="dxa" w:w="90"/>
            </w:tcMar>
          </w:tcPr>
          <w:p>
            <w:pPr>
              <w:spacing w:after="0" w:before="0"/>
              <w:jc w:val="right"/>
            </w:pPr>
            <w:r>
              <w:rPr>
                <w:b w:val="false"/>
                <w:bCs w:val="false"/>
                <w:i w:val="false"/>
                <w:iCs w:val="false"/>
                <w:sz w:val="19"/>
                <w:szCs w:val="19"/>
              </w:rPr>
              <w:t xml:space="preserve">+73,1 %</w:t>
            </w:r>
          </w:p>
        </w:tc>
      </w:tr>
      <w:tr>
        <w:tc>
          <w:tcPr>
            <w:tcW w:type="dxa" w:w="31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Valeur ajoutée</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417 131 350</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894 311 456</w:t>
            </w:r>
          </w:p>
        </w:tc>
        <w:tc>
          <w:tcPr>
            <w:tcW w:type="dxa" w:w="21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+114,4 %</w:t>
            </w:r>
          </w:p>
        </w:tc>
      </w:tr>
      <w:tr>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Excédent brut d’exploitation</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137 883 350</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461 223 456</w:t>
            </w:r>
          </w:p>
        </w:tc>
        <w:tc>
          <w:tcPr>
            <w:tcW w:type="dxa" w:w="2160"/>
            <w:tcMar>
              <w:top w:type="dxa" w:w="60"/>
              <w:left w:type="dxa" w:w="90"/>
              <w:bottom w:type="dxa" w:w="60"/>
              <w:right w:type="dxa" w:w="90"/>
            </w:tcMar>
          </w:tcPr>
          <w:p>
            <w:pPr>
              <w:spacing w:after="0" w:before="0"/>
              <w:jc w:val="right"/>
            </w:pPr>
            <w:r>
              <w:rPr>
                <w:b w:val="false"/>
                <w:bCs w:val="false"/>
                <w:i w:val="false"/>
                <w:iCs w:val="false"/>
                <w:sz w:val="19"/>
                <w:szCs w:val="19"/>
              </w:rPr>
              <w:t xml:space="preserve">+234,5 %</w:t>
            </w:r>
          </w:p>
        </w:tc>
      </w:tr>
      <w:tr>
        <w:tc>
          <w:tcPr>
            <w:tcW w:type="dxa" w:w="31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Résultat d’exploitation</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94 841 683</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326 680 897</w:t>
            </w:r>
          </w:p>
        </w:tc>
        <w:tc>
          <w:tcPr>
            <w:tcW w:type="dxa" w:w="21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+244,4 %</w:t>
            </w:r>
          </w:p>
        </w:tc>
      </w:tr>
      <w:tr>
        <w:tc>
          <w:tcPr>
            <w:tcW w:type="dxa" w:w="31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RÉSULTAT NET</w:t>
            </w:r>
          </w:p>
        </w:tc>
        <w:tc>
          <w:tcPr>
            <w:tcW w:type="dxa" w:w="205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49 256 263</w:t>
            </w:r>
          </w:p>
        </w:tc>
        <w:tc>
          <w:tcPr>
            <w:tcW w:type="dxa" w:w="205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182 951 923</w:t>
            </w:r>
          </w:p>
        </w:tc>
        <w:tc>
          <w:tcPr>
            <w:tcW w:type="dxa" w:w="21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+271,4 %</w:t>
            </w:r>
          </w:p>
        </w:tc>
      </w:tr>
      <w:tr>
        <w:tc>
          <w:tcPr>
            <w:tcW w:type="dxa" w:w="31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Capacité d’autofinancement</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92 297 929</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317 494 482</w:t>
            </w:r>
          </w:p>
        </w:tc>
        <w:tc>
          <w:tcPr>
            <w:tcW w:type="dxa" w:w="21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+244,0 %</w:t>
            </w:r>
          </w:p>
        </w:tc>
      </w:tr>
      <w:tr>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Total du bilan</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647 675 017</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1 377 192 159</w:t>
            </w:r>
          </w:p>
        </w:tc>
        <w:tc>
          <w:tcPr>
            <w:tcW w:type="dxa" w:w="2160"/>
            <w:tcMar>
              <w:top w:type="dxa" w:w="60"/>
              <w:left w:type="dxa" w:w="90"/>
              <w:bottom w:type="dxa" w:w="60"/>
              <w:right w:type="dxa" w:w="90"/>
            </w:tcMar>
          </w:tcPr>
          <w:p>
            <w:pPr>
              <w:spacing w:after="0" w:before="0"/>
              <w:jc w:val="right"/>
            </w:pPr>
            <w:r>
              <w:rPr>
                <w:b w:val="false"/>
                <w:bCs w:val="false"/>
                <w:i w:val="false"/>
                <w:iCs w:val="false"/>
                <w:sz w:val="19"/>
                <w:szCs w:val="19"/>
              </w:rPr>
              <w:t xml:space="preserve">+112,6 %</w:t>
            </w:r>
          </w:p>
        </w:tc>
      </w:tr>
      <w:tr>
        <w:tc>
          <w:tcPr>
            <w:tcW w:type="dxa" w:w="31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Trésorerie à la clôture</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96 716 683</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107 776 385</w:t>
            </w:r>
          </w:p>
        </w:tc>
        <w:tc>
          <w:tcPr>
            <w:tcW w:type="dxa" w:w="21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+11,4 %</w:t>
            </w:r>
          </w:p>
        </w:tc>
      </w:tr>
    </w:tbl>
    <w:p>
      <w:pPr>
        <w:pStyle w:val="Heading2"/>
        <w:spacing w:after="140" w:before="240"/>
      </w:pPr>
      <w:r>
        <w:rPr>
          <w:b/>
          <w:bCs/>
          <w:color w:val="1F3864"/>
          <w:sz w:val="24"/>
          <w:szCs w:val="24"/>
        </w:rPr>
        <w:t xml:space="preserve">5.2 Décomposition de l’amélioration du résultat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Levier</w:t>
            </w:r>
          </w:p>
        </w:tc>
        <w:tc>
          <w:tcPr>
            <w:tcW w:type="dxa" w:w="39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Contribution (GNF)</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Effet volume et rendement, production nette supplémentaire</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156 023 648</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Effet prix et transformation, valorisation unitaire supplémentaire</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453 239 158</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Augmentation totale des produits</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609 262 806</w:t>
            </w:r>
          </w:p>
        </w:tc>
      </w:tr>
      <w:tr>
        <w:tc>
          <w:tcPr>
            <w:tcW w:type="dxa" w:w="54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Augmentation des charges d’exploitation et financières</w:t>
            </w:r>
          </w:p>
        </w:tc>
        <w:tc>
          <w:tcPr>
            <w:tcW w:type="dxa" w:w="39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(431 001 926)</w:t>
            </w:r>
          </w:p>
        </w:tc>
      </w:tr>
      <w:tr>
        <w:tc>
          <w:tcPr>
            <w:tcW w:type="dxa" w:w="5400"/>
            <w:tcMar>
              <w:top w:type="dxa" w:w="60"/>
              <w:left w:type="dxa" w:w="90"/>
              <w:bottom w:type="dxa" w:w="60"/>
              <w:right w:type="dxa" w:w="90"/>
            </w:tcMar>
          </w:tcPr>
          <w:p>
            <w:pPr>
              <w:spacing w:after="0" w:before="0"/>
              <w:jc w:val="left"/>
            </w:pPr>
            <w:r>
              <w:rPr>
                <w:b w:val="false"/>
                <w:bCs w:val="false"/>
                <w:i w:val="false"/>
                <w:iCs w:val="false"/>
                <w:sz w:val="19"/>
                <w:szCs w:val="19"/>
              </w:rPr>
              <w:t xml:space="preserve">Augmentation de l’impôt sur les bénéfices</w:t>
            </w:r>
          </w:p>
        </w:tc>
        <w:tc>
          <w:tcPr>
            <w:tcW w:type="dxa" w:w="3960"/>
            <w:tcMar>
              <w:top w:type="dxa" w:w="60"/>
              <w:left w:type="dxa" w:w="90"/>
              <w:bottom w:type="dxa" w:w="60"/>
              <w:right w:type="dxa" w:w="90"/>
            </w:tcMar>
          </w:tcPr>
          <w:p>
            <w:pPr>
              <w:spacing w:after="0" w:before="0"/>
              <w:jc w:val="right"/>
            </w:pPr>
            <w:r>
              <w:rPr>
                <w:b w:val="false"/>
                <w:bCs w:val="false"/>
                <w:i w:val="false"/>
                <w:iCs w:val="false"/>
                <w:sz w:val="19"/>
                <w:szCs w:val="19"/>
              </w:rPr>
              <w:t xml:space="preserve">(44 565 220)</w:t>
            </w:r>
          </w:p>
        </w:tc>
      </w:tr>
      <w:tr>
        <w:tc>
          <w:tcPr>
            <w:tcW w:type="dxa" w:w="54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AMÉLIORATION NETTE DU RÉSULTAT</w:t>
            </w:r>
          </w:p>
        </w:tc>
        <w:tc>
          <w:tcPr>
            <w:tcW w:type="dxa" w:w="39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133 695 660</w:t>
            </w:r>
          </w:p>
        </w:tc>
      </w:tr>
    </w:tbl>
    <w:p>
      <w:pPr>
        <w:spacing w:after="140" w:before="0" w:line="276"/>
        <w:jc w:val="both"/>
      </w:pPr>
      <w:r>
        <w:rPr>
          <w:b w:val="false"/>
          <w:bCs w:val="false"/>
          <w:i w:val="false"/>
          <w:iCs w:val="false"/>
          <w:sz w:val="21"/>
          <w:szCs w:val="21"/>
        </w:rPr>
        <w:t xml:space="preserve">L’effet prix et transformation, qui pèse 453 239 158 GNF, est le premier moteur de la progression. Il traduit essentiellement la captation de la marge d’usinage : en 2024, l’exploitation payait 19 819 800 GNF de prestation de décorticage et 12 757 500 GNF de prestation de transformation en gari à des tiers. En 2025, ces prestations disparaissent du compte de charges et la marge correspondante reste dans l’exploitation, qui facture même 42 000 000 GNF de travail à façon aux producteurs voisins.</w:t>
      </w:r>
    </w:p>
    <w:p>
      <w:pPr>
        <w:pStyle w:val="Heading2"/>
        <w:spacing w:after="140" w:before="240"/>
      </w:pPr>
      <w:r>
        <w:rPr>
          <w:b/>
          <w:bCs/>
          <w:color w:val="1F3864"/>
          <w:sz w:val="24"/>
          <w:szCs w:val="24"/>
        </w:rPr>
        <w:t xml:space="preserve">5.3 Performance ramenée à l’hectare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50"/>
        <w:gridCol w:w="2050"/>
        <w:gridCol w:w="2160"/>
      </w:tblGrid>
      <w:tr>
        <w:trPr>
          <w:tblHeader/>
        </w:trPr>
        <w:tc>
          <w:tcPr>
            <w:tcW w:type="dxa" w:w="31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Indicateur par hectare emblavé</w:t>
            </w:r>
          </w:p>
        </w:tc>
        <w:tc>
          <w:tcPr>
            <w:tcW w:type="dxa" w:w="205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2024</w:t>
            </w:r>
          </w:p>
        </w:tc>
        <w:tc>
          <w:tcPr>
            <w:tcW w:type="dxa" w:w="205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2025</w:t>
            </w:r>
          </w:p>
        </w:tc>
        <w:tc>
          <w:tcPr>
            <w:tcW w:type="dxa" w:w="21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Progression</w:t>
            </w:r>
          </w:p>
        </w:tc>
      </w:tr>
      <w:tr>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Produits d’exploitation</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15 160 157</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24 880 542</w:t>
            </w:r>
          </w:p>
        </w:tc>
        <w:tc>
          <w:tcPr>
            <w:tcW w:type="dxa" w:w="2160"/>
            <w:tcMar>
              <w:top w:type="dxa" w:w="60"/>
              <w:left w:type="dxa" w:w="90"/>
              <w:bottom w:type="dxa" w:w="60"/>
              <w:right w:type="dxa" w:w="90"/>
            </w:tcMar>
          </w:tcPr>
          <w:p>
            <w:pPr>
              <w:spacing w:after="0" w:before="0"/>
              <w:jc w:val="right"/>
            </w:pPr>
            <w:r>
              <w:rPr>
                <w:b w:val="false"/>
                <w:bCs w:val="false"/>
                <w:i w:val="false"/>
                <w:iCs w:val="false"/>
                <w:sz w:val="19"/>
                <w:szCs w:val="19"/>
              </w:rPr>
              <w:t xml:space="preserve">+64,1 %</w:t>
            </w:r>
          </w:p>
        </w:tc>
      </w:tr>
      <w:tr>
        <w:tc>
          <w:tcPr>
            <w:tcW w:type="dxa" w:w="31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Valeur ajoutée</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7 584 206</w:t>
            </w:r>
          </w:p>
        </w:tc>
        <w:tc>
          <w:tcPr>
            <w:tcW w:type="dxa" w:w="205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15 419 163</w:t>
            </w:r>
          </w:p>
        </w:tc>
        <w:tc>
          <w:tcPr>
            <w:tcW w:type="dxa" w:w="21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+103,3 %</w:t>
            </w:r>
          </w:p>
        </w:tc>
      </w:tr>
      <w:tr>
        <w:tc>
          <w:tcPr>
            <w:tcW w:type="dxa" w:w="3100"/>
            <w:tcMar>
              <w:top w:type="dxa" w:w="60"/>
              <w:left w:type="dxa" w:w="90"/>
              <w:bottom w:type="dxa" w:w="60"/>
              <w:right w:type="dxa" w:w="90"/>
            </w:tcMar>
          </w:tcPr>
          <w:p>
            <w:pPr>
              <w:spacing w:after="0" w:before="0"/>
              <w:jc w:val="left"/>
            </w:pPr>
            <w:r>
              <w:rPr>
                <w:b w:val="false"/>
                <w:bCs w:val="false"/>
                <w:i w:val="false"/>
                <w:iCs w:val="false"/>
                <w:sz w:val="19"/>
                <w:szCs w:val="19"/>
              </w:rPr>
              <w:t xml:space="preserve">Excédent brut d’exploitation</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2 506 970</w:t>
            </w:r>
          </w:p>
        </w:tc>
        <w:tc>
          <w:tcPr>
            <w:tcW w:type="dxa" w:w="2050"/>
            <w:tcMar>
              <w:top w:type="dxa" w:w="60"/>
              <w:left w:type="dxa" w:w="90"/>
              <w:bottom w:type="dxa" w:w="60"/>
              <w:right w:type="dxa" w:w="90"/>
            </w:tcMar>
          </w:tcPr>
          <w:p>
            <w:pPr>
              <w:spacing w:after="0" w:before="0"/>
              <w:jc w:val="right"/>
            </w:pPr>
            <w:r>
              <w:rPr>
                <w:b w:val="false"/>
                <w:bCs w:val="false"/>
                <w:i w:val="false"/>
                <w:iCs w:val="false"/>
                <w:sz w:val="19"/>
                <w:szCs w:val="19"/>
              </w:rPr>
              <w:t xml:space="preserve">7 952 129</w:t>
            </w:r>
          </w:p>
        </w:tc>
        <w:tc>
          <w:tcPr>
            <w:tcW w:type="dxa" w:w="2160"/>
            <w:tcMar>
              <w:top w:type="dxa" w:w="60"/>
              <w:left w:type="dxa" w:w="90"/>
              <w:bottom w:type="dxa" w:w="60"/>
              <w:right w:type="dxa" w:w="90"/>
            </w:tcMar>
          </w:tcPr>
          <w:p>
            <w:pPr>
              <w:spacing w:after="0" w:before="0"/>
              <w:jc w:val="right"/>
            </w:pPr>
            <w:r>
              <w:rPr>
                <w:b w:val="false"/>
                <w:bCs w:val="false"/>
                <w:i w:val="false"/>
                <w:iCs w:val="false"/>
                <w:sz w:val="19"/>
                <w:szCs w:val="19"/>
              </w:rPr>
              <w:t xml:space="preserve">+217,2 %</w:t>
            </w:r>
          </w:p>
        </w:tc>
      </w:tr>
      <w:tr>
        <w:tc>
          <w:tcPr>
            <w:tcW w:type="dxa" w:w="31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Résultat net</w:t>
            </w:r>
          </w:p>
        </w:tc>
        <w:tc>
          <w:tcPr>
            <w:tcW w:type="dxa" w:w="205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895 568</w:t>
            </w:r>
          </w:p>
        </w:tc>
        <w:tc>
          <w:tcPr>
            <w:tcW w:type="dxa" w:w="205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3 154 343</w:t>
            </w:r>
          </w:p>
        </w:tc>
        <w:tc>
          <w:tcPr>
            <w:tcW w:type="dxa" w:w="216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+252,2 %</w:t>
            </w:r>
          </w:p>
        </w:tc>
      </w:tr>
    </w:tbl>
    <w:p>
      <w:r>
        <w:br w:type="page"/>
      </w:r>
    </w:p>
    <w:p>
      <w:pPr>
        <w:pStyle w:val="Heading1"/>
        <w:spacing w:after="180" w:before="320"/>
      </w:pPr>
      <w:r>
        <w:rPr>
          <w:b/>
          <w:bCs/>
          <w:color w:val="1F3864"/>
          <w:sz w:val="30"/>
          <w:szCs w:val="30"/>
        </w:rPr>
        <w:t xml:space="preserve">6. Ratios financiers et seuil de rentabilité</w:t>
      </w:r>
    </w:p>
    <w:p>
      <w:pPr>
        <w:pStyle w:val="Heading2"/>
        <w:spacing w:after="140" w:before="240"/>
      </w:pPr>
      <w:r>
        <w:rPr>
          <w:b/>
          <w:bCs/>
          <w:color w:val="1F3864"/>
          <w:sz w:val="24"/>
          <w:szCs w:val="24"/>
        </w:rPr>
        <w:t xml:space="preserve">6.1 Ratios de rentabilité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1900"/>
        <w:gridCol w:w="1660"/>
      </w:tblGrid>
      <w:tr>
        <w:trPr>
          <w:tblHeader/>
        </w:trPr>
        <w:tc>
          <w:tcPr>
            <w:tcW w:type="dxa" w:w="39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Ratio</w:t>
            </w:r>
          </w:p>
        </w:tc>
        <w:tc>
          <w:tcPr>
            <w:tcW w:type="dxa" w:w="19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2024</w:t>
            </w:r>
          </w:p>
        </w:tc>
        <w:tc>
          <w:tcPr>
            <w:tcW w:type="dxa" w:w="19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2025</w:t>
            </w:r>
          </w:p>
        </w:tc>
        <w:tc>
          <w:tcPr>
            <w:tcW w:type="dxa" w:w="16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Lecture</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Taux de valeur ajoutée</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50,0 %</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62,0 %</w:t>
            </w:r>
          </w:p>
        </w:tc>
        <w:tc>
          <w:tcPr>
            <w:tcW w:type="dxa" w:w="1660"/>
            <w:tcMar>
              <w:top w:type="dxa" w:w="60"/>
              <w:left w:type="dxa" w:w="90"/>
              <w:bottom w:type="dxa" w:w="60"/>
              <w:right w:type="dxa" w:w="90"/>
            </w:tcMar>
          </w:tcPr>
          <w:p>
            <w:pPr>
              <w:spacing w:after="0" w:before="0"/>
              <w:jc w:val="left"/>
            </w:pPr>
            <w:r>
              <w:rPr>
                <w:b w:val="false"/>
                <w:bCs w:val="false"/>
                <w:i w:val="false"/>
                <w:iCs w:val="false"/>
                <w:sz w:val="19"/>
                <w:szCs w:val="19"/>
              </w:rPr>
              <w:t xml:space="preserve">En hausse</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Taux de marge brute, EBE sur produits</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16,5 %</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32,0 %</w:t>
            </w:r>
          </w:p>
        </w:tc>
        <w:tc>
          <w:tcPr>
            <w:tcW w:type="dxa" w:w="16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Solide</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Taux de marge nette</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5,9 %</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12,7 %</w:t>
            </w:r>
          </w:p>
        </w:tc>
        <w:tc>
          <w:tcPr>
            <w:tcW w:type="dxa" w:w="1660"/>
            <w:tcMar>
              <w:top w:type="dxa" w:w="60"/>
              <w:left w:type="dxa" w:w="90"/>
              <w:bottom w:type="dxa" w:w="60"/>
              <w:right w:type="dxa" w:w="90"/>
            </w:tcMar>
          </w:tcPr>
          <w:p>
            <w:pPr>
              <w:spacing w:after="0" w:before="0"/>
              <w:jc w:val="left"/>
            </w:pPr>
            <w:r>
              <w:rPr>
                <w:b w:val="false"/>
                <w:bCs w:val="false"/>
                <w:i w:val="false"/>
                <w:iCs w:val="false"/>
                <w:sz w:val="19"/>
                <w:szCs w:val="19"/>
              </w:rPr>
              <w:t xml:space="preserve">En hausse</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Rentabilité économique</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14,6 %</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23,7 %</w:t>
            </w:r>
          </w:p>
        </w:tc>
        <w:tc>
          <w:tcPr>
            <w:tcW w:type="dxa" w:w="166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En hausse</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Rentabilité des capitaux propres élargis</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13,3 %</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29,9 %</w:t>
            </w:r>
          </w:p>
        </w:tc>
        <w:tc>
          <w:tcPr>
            <w:tcW w:type="dxa" w:w="1660"/>
            <w:tcMar>
              <w:top w:type="dxa" w:w="60"/>
              <w:left w:type="dxa" w:w="90"/>
              <w:bottom w:type="dxa" w:w="60"/>
              <w:right w:type="dxa" w:w="90"/>
            </w:tcMar>
          </w:tcPr>
          <w:p>
            <w:pPr>
              <w:spacing w:after="0" w:before="0"/>
              <w:jc w:val="left"/>
            </w:pPr>
            <w:r>
              <w:rPr>
                <w:b w:val="false"/>
                <w:bCs w:val="false"/>
                <w:i w:val="false"/>
                <w:iCs w:val="false"/>
                <w:sz w:val="19"/>
                <w:szCs w:val="19"/>
              </w:rPr>
              <w:t xml:space="preserve">En hausse</w:t>
            </w:r>
          </w:p>
        </w:tc>
      </w:tr>
    </w:tbl>
    <w:p>
      <w:pPr>
        <w:pStyle w:val="Heading2"/>
        <w:spacing w:after="140" w:before="240"/>
      </w:pPr>
      <w:r>
        <w:rPr>
          <w:b/>
          <w:bCs/>
          <w:color w:val="1F3864"/>
          <w:sz w:val="24"/>
          <w:szCs w:val="24"/>
        </w:rPr>
        <w:t xml:space="preserve">6.2 Ratios de structure et de solvabilité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900"/>
        <w:gridCol w:w="1900"/>
        <w:gridCol w:w="1660"/>
      </w:tblGrid>
      <w:tr>
        <w:trPr>
          <w:tblHeader/>
        </w:trPr>
        <w:tc>
          <w:tcPr>
            <w:tcW w:type="dxa" w:w="39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Ratio</w:t>
            </w:r>
          </w:p>
        </w:tc>
        <w:tc>
          <w:tcPr>
            <w:tcW w:type="dxa" w:w="19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2024</w:t>
            </w:r>
          </w:p>
        </w:tc>
        <w:tc>
          <w:tcPr>
            <w:tcW w:type="dxa" w:w="190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2025</w:t>
            </w:r>
          </w:p>
        </w:tc>
        <w:tc>
          <w:tcPr>
            <w:tcW w:type="dxa" w:w="166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Norme</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Autonomie financière</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57,0 %</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44,5 %</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&gt; 30 %</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Taux d’endettement financier</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56,3 %</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100,6 %</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&lt; 100 %</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Capacité de remboursement (années)</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2,25</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1,94</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&lt; 4 ans</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Couverture des frais financiers</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4,73</w:t>
            </w:r>
          </w:p>
        </w:tc>
        <w:tc>
          <w:tcPr>
            <w:tcW w:type="dxa" w:w="190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5,57</w:t>
            </w:r>
          </w:p>
        </w:tc>
        <w:tc>
          <w:tcPr>
            <w:tcW w:type="dxa" w:w="166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&gt; 3</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Liquidité générale</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3,45</w:t>
            </w:r>
          </w:p>
        </w:tc>
        <w:tc>
          <w:tcPr>
            <w:tcW w:type="dxa" w:w="1900"/>
            <w:tcMar>
              <w:top w:type="dxa" w:w="60"/>
              <w:left w:type="dxa" w:w="90"/>
              <w:bottom w:type="dxa" w:w="60"/>
              <w:right w:type="dxa" w:w="90"/>
            </w:tcMar>
          </w:tcPr>
          <w:p>
            <w:pPr>
              <w:spacing w:after="0" w:before="0"/>
              <w:jc w:val="right"/>
            </w:pPr>
            <w:r>
              <w:rPr>
                <w:b w:val="false"/>
                <w:bCs w:val="false"/>
                <w:i w:val="false"/>
                <w:iCs w:val="false"/>
                <w:sz w:val="19"/>
                <w:szCs w:val="19"/>
              </w:rPr>
              <w:t xml:space="preserve">2,34</w:t>
            </w:r>
          </w:p>
        </w:tc>
        <w:tc>
          <w:tcPr>
            <w:tcW w:type="dxa" w:w="1660"/>
            <w:tcMar>
              <w:top w:type="dxa" w:w="60"/>
              <w:left w:type="dxa" w:w="90"/>
              <w:bottom w:type="dxa" w:w="60"/>
              <w:right w:type="dxa" w:w="90"/>
            </w:tcMar>
          </w:tcPr>
          <w:p>
            <w:pPr>
              <w:spacing w:after="0" w:before="0"/>
              <w:jc w:val="right"/>
            </w:pPr>
            <w:r>
              <w:rPr>
                <w:b w:val="false"/>
                <w:bCs w:val="false"/>
                <w:i w:val="false"/>
                <w:iCs w:val="false"/>
                <w:sz w:val="19"/>
                <w:szCs w:val="19"/>
              </w:rPr>
              <w:t xml:space="preserve">&gt; 1,5</w:t>
            </w:r>
          </w:p>
        </w:tc>
      </w:tr>
    </w:tbl>
    <w:p>
      <w:pPr>
        <w:spacing w:after="140" w:before="0" w:line="276"/>
        <w:jc w:val="both"/>
      </w:pPr>
      <w:r>
        <w:rPr>
          <w:b w:val="false"/>
          <w:bCs w:val="false"/>
          <w:i w:val="false"/>
          <w:iCs w:val="false"/>
          <w:sz w:val="21"/>
          <w:szCs w:val="21"/>
        </w:rPr>
        <w:t xml:space="preserve">L’autonomie financière recule mécaniquement en 2025 parce que l’exercice porte 758 000 000 GNF d’investissements financés à 59 % par un emprunt d’investissement. Ce recul traduit un effet de levier assumé et non une dégradation : la capacité de remboursement s’améliore, passant de 2,25 à 1,94 années, très en deçà de la norme bancaire de quatre années, et la couverture des frais financiers reste confortable.</w:t>
      </w:r>
    </w:p>
    <w:p>
      <w:pPr>
        <w:pStyle w:val="Heading2"/>
        <w:spacing w:after="140" w:before="240"/>
      </w:pPr>
      <w:r>
        <w:rPr>
          <w:b/>
          <w:bCs/>
          <w:color w:val="1F3864"/>
          <w:sz w:val="24"/>
          <w:szCs w:val="24"/>
        </w:rPr>
        <w:t xml:space="preserve">6.3 Seuil de rentabilité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2730"/>
        <w:gridCol w:w="2730"/>
      </w:tblGrid>
      <w:tr>
        <w:trPr>
          <w:tblHeader/>
        </w:trPr>
        <w:tc>
          <w:tcPr>
            <w:tcW w:type="dxa" w:w="3900"/>
            <w:shd w:fill="1F3864" w:color="auto" w:val="clear"/>
            <w:tcMar>
              <w:top w:type="dxa" w:w="60"/>
              <w:left w:type="dxa" w:w="90"/>
              <w:bottom w:type="dxa" w:w="60"/>
              <w:right w:type="dxa" w:w="90"/>
            </w:tcMar>
          </w:tcPr>
          <w:p>
            <w:pPr>
              <w:spacing w:after="0" w:before="0"/>
              <w:jc w:val="left"/>
            </w:pPr>
            <w:r>
              <w:rPr>
                <w:b/>
                <w:bCs/>
                <w:i w:val="false"/>
                <w:iCs w:val="false"/>
                <w:color w:val="FFFFFF"/>
                <w:sz w:val="18"/>
                <w:szCs w:val="18"/>
              </w:rPr>
              <w:t xml:space="preserve">Élément</w:t>
            </w:r>
          </w:p>
        </w:tc>
        <w:tc>
          <w:tcPr>
            <w:tcW w:type="dxa" w:w="273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2024</w:t>
            </w:r>
          </w:p>
        </w:tc>
        <w:tc>
          <w:tcPr>
            <w:tcW w:type="dxa" w:w="2730"/>
            <w:shd w:fill="1F3864" w:color="auto" w:val="clear"/>
            <w:tcMar>
              <w:top w:type="dxa" w:w="60"/>
              <w:left w:type="dxa" w:w="90"/>
              <w:bottom w:type="dxa" w:w="60"/>
              <w:right w:type="dxa" w:w="90"/>
            </w:tcMar>
          </w:tcPr>
          <w:p>
            <w:pPr>
              <w:spacing w:after="0" w:before="0"/>
              <w:jc w:val="center"/>
            </w:pPr>
            <w:r>
              <w:rPr>
                <w:b/>
                <w:bCs/>
                <w:i w:val="false"/>
                <w:iCs w:val="false"/>
                <w:color w:val="FFFFFF"/>
                <w:sz w:val="18"/>
                <w:szCs w:val="18"/>
              </w:rPr>
              <w:t xml:space="preserve">Campagne 2025</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Charges fixes</w:t>
            </w:r>
          </w:p>
        </w:tc>
        <w:tc>
          <w:tcPr>
            <w:tcW w:type="dxa" w:w="2730"/>
            <w:tcMar>
              <w:top w:type="dxa" w:w="60"/>
              <w:left w:type="dxa" w:w="90"/>
              <w:bottom w:type="dxa" w:w="60"/>
              <w:right w:type="dxa" w:w="90"/>
            </w:tcMar>
          </w:tcPr>
          <w:p>
            <w:pPr>
              <w:spacing w:after="0" w:before="0"/>
              <w:jc w:val="right"/>
            </w:pPr>
            <w:r>
              <w:rPr>
                <w:b w:val="false"/>
                <w:bCs w:val="false"/>
                <w:i w:val="false"/>
                <w:iCs w:val="false"/>
                <w:sz w:val="19"/>
                <w:szCs w:val="19"/>
              </w:rPr>
              <w:t xml:space="preserve">303 456 333</w:t>
            </w:r>
          </w:p>
        </w:tc>
        <w:tc>
          <w:tcPr>
            <w:tcW w:type="dxa" w:w="2730"/>
            <w:tcMar>
              <w:top w:type="dxa" w:w="60"/>
              <w:left w:type="dxa" w:w="90"/>
              <w:bottom w:type="dxa" w:w="60"/>
              <w:right w:type="dxa" w:w="90"/>
            </w:tcMar>
          </w:tcPr>
          <w:p>
            <w:pPr>
              <w:spacing w:after="0" w:before="0"/>
              <w:jc w:val="right"/>
            </w:pPr>
            <w:r>
              <w:rPr>
                <w:b w:val="false"/>
                <w:bCs w:val="false"/>
                <w:i w:val="false"/>
                <w:iCs w:val="false"/>
                <w:sz w:val="19"/>
                <w:szCs w:val="19"/>
              </w:rPr>
              <w:t xml:space="preserve">621 975 560</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Charges variables</w:t>
            </w:r>
          </w:p>
        </w:tc>
        <w:tc>
          <w:tcPr>
            <w:tcW w:type="dxa" w:w="273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464 677 300</w:t>
            </w:r>
          </w:p>
        </w:tc>
        <w:tc>
          <w:tcPr>
            <w:tcW w:type="dxa" w:w="273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577 160 000</w:t>
            </w:r>
          </w:p>
        </w:tc>
      </w:tr>
      <w:tr>
        <w:tc>
          <w:tcPr>
            <w:tcW w:type="dxa" w:w="3900"/>
            <w:tcMar>
              <w:top w:type="dxa" w:w="60"/>
              <w:left w:type="dxa" w:w="90"/>
              <w:bottom w:type="dxa" w:w="60"/>
              <w:right w:type="dxa" w:w="90"/>
            </w:tcMar>
          </w:tcPr>
          <w:p>
            <w:pPr>
              <w:spacing w:after="0" w:before="0"/>
              <w:jc w:val="left"/>
            </w:pPr>
            <w:r>
              <w:rPr>
                <w:b w:val="false"/>
                <w:bCs w:val="false"/>
                <w:i w:val="false"/>
                <w:iCs w:val="false"/>
                <w:sz w:val="19"/>
                <w:szCs w:val="19"/>
              </w:rPr>
              <w:t xml:space="preserve">Marge sur coût variable</w:t>
            </w:r>
          </w:p>
        </w:tc>
        <w:tc>
          <w:tcPr>
            <w:tcW w:type="dxa" w:w="2730"/>
            <w:tcMar>
              <w:top w:type="dxa" w:w="60"/>
              <w:left w:type="dxa" w:w="90"/>
              <w:bottom w:type="dxa" w:w="60"/>
              <w:right w:type="dxa" w:w="90"/>
            </w:tcMar>
          </w:tcPr>
          <w:p>
            <w:pPr>
              <w:spacing w:after="0" w:before="0"/>
              <w:jc w:val="right"/>
            </w:pPr>
            <w:r>
              <w:rPr>
                <w:b w:val="false"/>
                <w:bCs w:val="false"/>
                <w:i w:val="false"/>
                <w:iCs w:val="false"/>
                <w:sz w:val="19"/>
                <w:szCs w:val="19"/>
              </w:rPr>
              <w:t xml:space="preserve">369 131 350</w:t>
            </w:r>
          </w:p>
        </w:tc>
        <w:tc>
          <w:tcPr>
            <w:tcW w:type="dxa" w:w="2730"/>
            <w:tcMar>
              <w:top w:type="dxa" w:w="60"/>
              <w:left w:type="dxa" w:w="90"/>
              <w:bottom w:type="dxa" w:w="60"/>
              <w:right w:type="dxa" w:w="90"/>
            </w:tcMar>
          </w:tcPr>
          <w:p>
            <w:pPr>
              <w:spacing w:after="0" w:before="0"/>
              <w:jc w:val="right"/>
            </w:pPr>
            <w:r>
              <w:rPr>
                <w:b w:val="false"/>
                <w:bCs w:val="false"/>
                <w:i w:val="false"/>
                <w:iCs w:val="false"/>
                <w:sz w:val="19"/>
                <w:szCs w:val="19"/>
              </w:rPr>
              <w:t xml:space="preserve">865 911 456</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Taux de marge sur coût variable</w:t>
            </w:r>
          </w:p>
        </w:tc>
        <w:tc>
          <w:tcPr>
            <w:tcW w:type="dxa" w:w="273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44,0 %</w:t>
            </w:r>
          </w:p>
        </w:tc>
        <w:tc>
          <w:tcPr>
            <w:tcW w:type="dxa" w:w="273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60,0 %</w:t>
            </w:r>
          </w:p>
        </w:tc>
      </w:tr>
      <w:tr>
        <w:tc>
          <w:tcPr>
            <w:tcW w:type="dxa" w:w="39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SEUIL DE RENTABILITÉ</w:t>
            </w:r>
          </w:p>
        </w:tc>
        <w:tc>
          <w:tcPr>
            <w:tcW w:type="dxa" w:w="273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685 459 297</w:t>
            </w:r>
          </w:p>
        </w:tc>
        <w:tc>
          <w:tcPr>
            <w:tcW w:type="dxa" w:w="273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1 036 543 829</w:t>
            </w:r>
          </w:p>
        </w:tc>
      </w:tr>
      <w:tr>
        <w:tc>
          <w:tcPr>
            <w:tcW w:type="dxa" w:w="3900"/>
            <w:shd w:fill="FAFAFA" w:color="auto" w:val="clear"/>
            <w:tcMar>
              <w:top w:type="dxa" w:w="60"/>
              <w:left w:type="dxa" w:w="90"/>
              <w:bottom w:type="dxa" w:w="60"/>
              <w:right w:type="dxa" w:w="90"/>
            </w:tcMar>
          </w:tcPr>
          <w:p>
            <w:pPr>
              <w:spacing w:after="0" w:before="0"/>
              <w:jc w:val="left"/>
            </w:pPr>
            <w:r>
              <w:rPr>
                <w:b w:val="false"/>
                <w:bCs w:val="false"/>
                <w:i w:val="false"/>
                <w:iCs w:val="false"/>
                <w:sz w:val="19"/>
                <w:szCs w:val="19"/>
              </w:rPr>
              <w:t xml:space="preserve">Seuil en pourcentage des produits</w:t>
            </w:r>
          </w:p>
        </w:tc>
        <w:tc>
          <w:tcPr>
            <w:tcW w:type="dxa" w:w="273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82,2 %</w:t>
            </w:r>
          </w:p>
        </w:tc>
        <w:tc>
          <w:tcPr>
            <w:tcW w:type="dxa" w:w="2730"/>
            <w:shd w:fill="FAFAFA" w:color="auto" w:val="clear"/>
            <w:tcMar>
              <w:top w:type="dxa" w:w="60"/>
              <w:left w:type="dxa" w:w="90"/>
              <w:bottom w:type="dxa" w:w="60"/>
              <w:right w:type="dxa" w:w="90"/>
            </w:tcMar>
          </w:tcPr>
          <w:p>
            <w:pPr>
              <w:spacing w:after="0" w:before="0"/>
              <w:jc w:val="right"/>
            </w:pPr>
            <w:r>
              <w:rPr>
                <w:b w:val="false"/>
                <w:bCs w:val="false"/>
                <w:i w:val="false"/>
                <w:iCs w:val="false"/>
                <w:sz w:val="19"/>
                <w:szCs w:val="19"/>
              </w:rPr>
              <w:t xml:space="preserve">71,8 %</w:t>
            </w:r>
          </w:p>
        </w:tc>
      </w:tr>
      <w:tr>
        <w:tc>
          <w:tcPr>
            <w:tcW w:type="dxa" w:w="3900"/>
            <w:shd w:fill="DEEBF7" w:color="auto" w:val="clear"/>
            <w:tcMar>
              <w:top w:type="dxa" w:w="60"/>
              <w:left w:type="dxa" w:w="90"/>
              <w:bottom w:type="dxa" w:w="60"/>
              <w:right w:type="dxa" w:w="90"/>
            </w:tcMar>
          </w:tcPr>
          <w:p>
            <w:pPr>
              <w:spacing w:after="0" w:before="0"/>
              <w:jc w:val="left"/>
            </w:pPr>
            <w:r>
              <w:rPr>
                <w:b/>
                <w:bCs/>
                <w:i w:val="false"/>
                <w:iCs w:val="false"/>
                <w:color w:val="1F3864"/>
                <w:sz w:val="19"/>
                <w:szCs w:val="19"/>
              </w:rPr>
              <w:t xml:space="preserve">Marge de sécurité</w:t>
            </w:r>
          </w:p>
        </w:tc>
        <w:tc>
          <w:tcPr>
            <w:tcW w:type="dxa" w:w="273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148 349 353</w:t>
            </w:r>
          </w:p>
        </w:tc>
        <w:tc>
          <w:tcPr>
            <w:tcW w:type="dxa" w:w="2730"/>
            <w:shd w:fill="DEEBF7" w:color="auto" w:val="clear"/>
            <w:tcMar>
              <w:top w:type="dxa" w:w="60"/>
              <w:left w:type="dxa" w:w="90"/>
              <w:bottom w:type="dxa" w:w="60"/>
              <w:right w:type="dxa" w:w="90"/>
            </w:tcMar>
          </w:tcPr>
          <w:p>
            <w:pPr>
              <w:spacing w:after="0" w:before="0"/>
              <w:jc w:val="right"/>
            </w:pPr>
            <w:r>
              <w:rPr>
                <w:b/>
                <w:bCs/>
                <w:i w:val="false"/>
                <w:iCs w:val="false"/>
                <w:color w:val="1F3864"/>
                <w:sz w:val="19"/>
                <w:szCs w:val="19"/>
              </w:rPr>
              <w:t xml:space="preserve">406 527 627</w:t>
            </w:r>
          </w:p>
        </w:tc>
      </w:tr>
    </w:tbl>
    <w:p>
      <w:pPr>
        <w:spacing w:after="140" w:before="0" w:line="276"/>
        <w:jc w:val="both"/>
      </w:pPr>
      <w:r>
        <w:rPr>
          <w:b w:val="false"/>
          <w:bCs w:val="false"/>
          <w:i w:val="false"/>
          <w:iCs w:val="false"/>
          <w:sz w:val="21"/>
          <w:szCs w:val="21"/>
        </w:rPr>
        <w:t xml:space="preserve">En 2024, l’exploitation doit réaliser 82,2 % de ses produits pour couvrir ses charges : la marge de sécurité est faible et une mauvaise campagne, un accident pluviométrique ou une chute du prix du paddy suffiraient à basculer le résultat. En 2025, le seuil tombe à 71,8 % des produits. L’exploitation peut désormais absorber une baisse de près de 28 % de son chiffre d’affaires sans devenir déficitaire. C’est le gain le plus important de la campagne 2025, au-delà même du niveau du résultat net.</w:t>
      </w:r>
    </w:p>
    <w:p>
      <w:r>
        <w:br w:type="page"/>
      </w:r>
    </w:p>
    <w:p>
      <w:pPr>
        <w:pStyle w:val="Heading1"/>
        <w:spacing w:after="180" w:before="320"/>
      </w:pPr>
      <w:r>
        <w:rPr>
          <w:b/>
          <w:bCs/>
          <w:color w:val="1F3864"/>
          <w:sz w:val="30"/>
          <w:szCs w:val="30"/>
        </w:rPr>
        <w:t xml:space="preserve">7. Conclusion et points de vigilance</w:t>
      </w:r>
    </w:p>
    <w:p>
      <w:pPr>
        <w:pStyle w:val="Heading2"/>
        <w:spacing w:after="140" w:before="240"/>
      </w:pPr>
      <w:r>
        <w:rPr>
          <w:b/>
          <w:bCs/>
          <w:color w:val="1F3864"/>
          <w:sz w:val="24"/>
          <w:szCs w:val="24"/>
        </w:rPr>
        <w:t xml:space="preserve">7.1 Conclusion</w:t>
      </w:r>
    </w:p>
    <w:p>
      <w:pPr>
        <w:spacing w:after="140" w:before="0" w:line="276"/>
        <w:jc w:val="both"/>
      </w:pPr>
      <w:r>
        <w:rPr>
          <w:b w:val="false"/>
          <w:bCs w:val="false"/>
          <w:i w:val="false"/>
          <w:iCs w:val="false"/>
          <w:sz w:val="21"/>
          <w:szCs w:val="21"/>
        </w:rPr>
        <w:t xml:space="preserve">Les deux campagnes agricoles se soldent par un résultat net positif, ce qui était l’objectif assigné à la mise en valeur du domaine de 60 hectares de Guéasso.</w:t>
      </w:r>
    </w:p>
    <w:p>
      <w:pPr>
        <w:pStyle w:val="ListParagraph"/>
        <w:numPr>
          <w:ilvl w:val="0"/>
          <w:numId w:val="2"/>
        </w:numPr>
        <w:spacing w:after="90" w:line="276"/>
        <w:jc w:val="both"/>
      </w:pPr>
      <w:r>
        <w:rPr>
          <w:sz w:val="21"/>
          <w:szCs w:val="21"/>
        </w:rPr>
        <w:t xml:space="preserve">La campagne 2024 dégage un résultat net de 49 256 263 GNF pour 833 808 650 GNF de produits, soit une marge nette de 5,9 %. Ce résultat est positif mais étroit : la campagne absorbe la défriche, l’aménagement initial, une mécanisation entièrement sous-traitée et des pertes post-récolte de 10 %.</w:t>
      </w:r>
    </w:p>
    <w:p>
      <w:pPr>
        <w:pStyle w:val="ListParagraph"/>
        <w:numPr>
          <w:ilvl w:val="0"/>
          <w:numId w:val="2"/>
        </w:numPr>
        <w:spacing w:after="90" w:line="276"/>
        <w:jc w:val="both"/>
      </w:pPr>
      <w:r>
        <w:rPr>
          <w:sz w:val="21"/>
          <w:szCs w:val="21"/>
        </w:rPr>
        <w:t xml:space="preserve">La campagne 2025 dégage un résultat net de 182 951 923 GNF pour 1 443 071 456 GNF de produits, soit une marge nette de 12,7 %. Le résultat net est multiplié par 3,71 et la valeur ajoutée par hectare par 2,03.</w:t>
      </w:r>
    </w:p>
    <w:p>
      <w:pPr>
        <w:pStyle w:val="ListParagraph"/>
        <w:numPr>
          <w:ilvl w:val="0"/>
          <w:numId w:val="2"/>
        </w:numPr>
        <w:spacing w:after="90" w:line="276"/>
        <w:jc w:val="both"/>
      </w:pPr>
      <w:r>
        <w:rPr>
          <w:sz w:val="21"/>
          <w:szCs w:val="21"/>
        </w:rPr>
        <w:t xml:space="preserve">La progression ne vient pas d’une extension du foncier, qui reste de 60 hectares, mais de trois leviers techniques : des rendements supérieurs, la mise en valeur de 4 hectares de bas-fond rizicole, et surtout l’internalisation de la transformation.</w:t>
      </w:r>
    </w:p>
    <w:p>
      <w:pPr>
        <w:pStyle w:val="ListParagraph"/>
        <w:numPr>
          <w:ilvl w:val="0"/>
          <w:numId w:val="2"/>
        </w:numPr>
        <w:spacing w:after="90" w:line="276"/>
        <w:jc w:val="both"/>
      </w:pPr>
      <w:r>
        <w:rPr>
          <w:sz w:val="21"/>
          <w:szCs w:val="21"/>
        </w:rPr>
        <w:t xml:space="preserve">La structure financière reste saine sur les deux campagnes : trésorerie positive à chaque clôture, fonds de roulement couvrant intégralement le besoin en fonds de roulement, et capacité de remboursement très en deçà de la norme bancaire.</w:t>
      </w:r>
    </w:p>
    <w:p>
      <w:pPr>
        <w:pStyle w:val="Heading2"/>
        <w:spacing w:after="140" w:before="240"/>
      </w:pPr>
      <w:r>
        <w:rPr>
          <w:b/>
          <w:bCs/>
          <w:color w:val="1F3864"/>
          <w:sz w:val="24"/>
          <w:szCs w:val="24"/>
        </w:rPr>
        <w:t xml:space="preserve">7.2 Points de vigilance à documenter</w:t>
      </w:r>
    </w:p>
    <w:p>
      <w:pPr>
        <w:spacing w:after="140" w:before="0" w:line="276"/>
        <w:jc w:val="both"/>
      </w:pPr>
      <w:r>
        <w:rPr>
          <w:b w:val="false"/>
          <w:bCs w:val="false"/>
          <w:i w:val="false"/>
          <w:iCs w:val="false"/>
          <w:sz w:val="21"/>
          <w:szCs w:val="21"/>
        </w:rPr>
        <w:t xml:space="preserve">Les éléments suivants doivent être vérifiés et documentés avant tout engagement financier fondé sur ce dossier.</w:t>
      </w:r>
    </w:p>
    <w:p>
      <w:pPr>
        <w:pStyle w:val="ListParagraph"/>
        <w:numPr>
          <w:ilvl w:val="0"/>
          <w:numId w:val="2"/>
        </w:numPr>
        <w:spacing w:after="90" w:line="276"/>
        <w:jc w:val="both"/>
      </w:pPr>
      <w:r>
        <w:rPr>
          <w:sz w:val="21"/>
          <w:szCs w:val="21"/>
        </w:rPr>
        <w:t xml:space="preserve">Volatilité des prix — le paddy et le manioc frais connaissent des variations saisonnières fortes. Une baisse de 15 % du prix du riz blanc réduirait le résultat 2025 d’environ 69 308 156 GNF après impôt.</w:t>
      </w:r>
    </w:p>
    <w:p>
      <w:pPr>
        <w:pStyle w:val="ListParagraph"/>
        <w:numPr>
          <w:ilvl w:val="0"/>
          <w:numId w:val="2"/>
        </w:numPr>
        <w:spacing w:after="90" w:line="276"/>
        <w:jc w:val="both"/>
      </w:pPr>
      <w:r>
        <w:rPr>
          <w:sz w:val="21"/>
          <w:szCs w:val="21"/>
        </w:rPr>
        <w:t xml:space="preserve">Aléa climatique — l’irrégularité de la répartition pluviométrique en Guinée forestière peut affecter les rendements du riz pluvial. Une assurance récolte indicielle est intégrée aux charges de 2025 ; sa disponibilité effective doit être confirmée.</w:t>
      </w:r>
    </w:p>
    <w:p>
      <w:pPr>
        <w:pStyle w:val="ListParagraph"/>
        <w:numPr>
          <w:ilvl w:val="0"/>
          <w:numId w:val="2"/>
        </w:numPr>
        <w:spacing w:after="90" w:line="276"/>
        <w:jc w:val="both"/>
      </w:pPr>
      <w:r>
        <w:rPr>
          <w:sz w:val="21"/>
          <w:szCs w:val="21"/>
        </w:rPr>
        <w:t xml:space="preserve">Logistique d’évacuation — l’état des pistes rurales entre Guéasso, Lola et N’Zérékoré conditionne le coût du transport et le prix obtenu. Une dégradation en saison des pluies peut immobiliser la récolte et peser sur le besoin en fonds de roulement.</w:t>
      </w:r>
    </w:p>
    <w:p>
      <w:pPr>
        <w:pStyle w:val="ListParagraph"/>
        <w:numPr>
          <w:ilvl w:val="0"/>
          <w:numId w:val="2"/>
        </w:numPr>
        <w:spacing w:after="90" w:line="276"/>
        <w:jc w:val="both"/>
      </w:pPr>
      <w:r>
        <w:rPr>
          <w:sz w:val="21"/>
          <w:szCs w:val="21"/>
        </w:rPr>
        <w:t xml:space="preserve">Disponibilité de la main-d’œuvre — le modèle repose sur 2 800 hommes-jours en 2024 et 3 200 en 2025, concentrés sur les pics de sarclage et de récolte. La disponibilité locale à ces périodes doit être sécurisée en amont.</w:t>
      </w:r>
    </w:p>
    <w:p>
      <w:pPr>
        <w:pStyle w:val="ListParagraph"/>
        <w:numPr>
          <w:ilvl w:val="0"/>
          <w:numId w:val="2"/>
        </w:numPr>
        <w:spacing w:after="90" w:line="276"/>
        <w:jc w:val="both"/>
      </w:pPr>
      <w:r>
        <w:rPr>
          <w:sz w:val="21"/>
          <w:szCs w:val="21"/>
        </w:rPr>
        <w:t xml:space="preserve">Maintenance du parc mécanique — la rentabilité de 2025 repose sur le fonctionnement continu du tracteur et de l’unité post-récolte. Un contrat de maintenance et un stock de pièces critiques sont indispensables.</w:t>
      </w:r>
    </w:p>
    <w:p>
      <w:pPr>
        <w:pStyle w:val="ListParagraph"/>
        <w:numPr>
          <w:ilvl w:val="0"/>
          <w:numId w:val="2"/>
        </w:numPr>
        <w:spacing w:after="90" w:line="276"/>
        <w:jc w:val="both"/>
      </w:pPr>
      <w:r>
        <w:rPr>
          <w:sz w:val="21"/>
          <w:szCs w:val="21"/>
        </w:rPr>
        <w:t xml:space="preserve">Régime fiscal — le taux d’imposition de 25 % retenu est le taux de droit commun. L’éligibilité éventuelle à un régime agricole dérogatoire ou à des exonérations liées au code des investissements doit être vérifiée auprès de la Direction Générale des Impôts.</w:t>
      </w:r>
    </w:p>
    <w:p>
      <w:pPr>
        <w:pBdr>
          <w:bottom w:val="single" w:color="BFBFBF" w:sz="6"/>
        </w:pBdr>
        <w:spacing w:after="120" w:before="120"/>
      </w:pPr>
      <w:r>
        <w:t xml:space="preserve"/>
      </w:r>
    </w:p>
    <w:p>
      <w:pPr>
        <w:spacing w:after="140" w:before="0" w:line="276"/>
        <w:jc w:val="both"/>
      </w:pPr>
      <w:r>
        <w:rPr>
          <w:b w:val="false"/>
          <w:bCs w:val="false"/>
          <w:i/>
          <w:iCs/>
          <w:sz w:val="18"/>
          <w:szCs w:val="18"/>
        </w:rPr>
        <w:t xml:space="preserve">Document établi sur la base des hypothèses détaillées au chapitre 2 et du classeur de calcul « Bilan_Comptable_Agricole_Gueasso_2024_2025.xlsx », qui permet de modifier chaque paramètre et de recalculer l’ensemble des états. Comptes reconstitués, non audités et non certifiés.</w:t>
      </w:r>
    </w:p>
    <w:sectPr>
      <w:headerReference w:type="default" r:id="rId7"/>
      <w:headerReference w:type="first" r:id="rId8"/>
      <w:footerReference w:type="default" r:id="rId9"/>
      <w:footerReference w:type="first" r:id="rId10"/>
      <w:pgSz w:w="11906" w:h="16838" w:orient="portrait"/>
      <w:pgMar w:top="1200" w:right="1100" w:bottom="1200" w:left="11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Comptes reconstitués sur hypothèses — 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00"/>
      <w:jc w:val="right"/>
    </w:pPr>
    <w:r>
      <w:rPr>
        <w:color w:val="808080"/>
        <w:sz w:val="16"/>
        <w:szCs w:val="16"/>
      </w:rPr>
      <w:t xml:space="preserve">KASI GROUP SARL — Bilan comptable des campagnes agricoles 2024 et 2025</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rPr>
  </w:style>
  <w:style w:type="paragraph" w:styleId="Heading2">
    <w:name w:val="Heading 2"/>
    <w:basedOn w:val="Normal"/>
    <w:next w:val="Normal"/>
    <w:qFormat/>
    <w:rPr>
      <w:rFonts w:ascii="Arial" w:cs="Arial" w:eastAsia="Arial" w:hAnsi="Arial"/>
    </w:rPr>
  </w:style>
  <w:style w:type="paragraph" w:styleId="Heading3">
    <w:name w:val="Heading 3"/>
    <w:basedOn w:val="Normal"/>
    <w:next w:val="Normal"/>
    <w:qFormat/>
    <w:rPr>
      <w:rFonts w:ascii="Arial" w:cs="Arial" w:eastAsia="Arial" w:hAnsi="Arial"/>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Bilan comptable des campagnes agricoles 2024 et 2025</dc:title>
  <dc:creator>KASI GROUP SARL</dc:creator>
  <dc:description>Domaine de 60 hectares, sous-prefecture de Gueasso, prefecture de Lola</dc:description>
  <cp:lastModifiedBy>Un-named</cp:lastModifiedBy>
  <cp:revision>1</cp:revision>
  <dcterms:created xsi:type="dcterms:W3CDTF">2026-08-17T16:23:39.559Z</dcterms:created>
  <dcterms:modified xsi:type="dcterms:W3CDTF">2026-08-17T16:23:39.560Z</dcterms:modified>
</cp:coreProperties>
</file>

<file path=docProps/custom.xml><?xml version="1.0" encoding="utf-8"?>
<Properties xmlns="http://schemas.openxmlformats.org/officeDocument/2006/custom-properties" xmlns:vt="http://schemas.openxmlformats.org/officeDocument/2006/docPropsVTypes"/>
</file>