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595959"/>
          <w:sz w:val="16"/>
          <w:szCs w:val="16"/>
        </w:rPr>
        <w:t xml:space="preserve">RÉPUBLIQUE DE GUINÉE  —  MINISTÈRE DE L'ÉNERGIE  —  ÉLECTRICITÉ DE GUINÉE</w:t>
      </w:r>
    </w:p>
    <w:p>
      <w:pPr>
        <w:spacing w:after="0" w:before="80"/>
        <w:jc w:val="center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COMPTE RENDU D'AVANCEMENT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2E74B5"/>
          <w:sz w:val="20"/>
          <w:szCs w:val="20"/>
        </w:rPr>
        <w:t xml:space="preserve">NIES &amp; Plan d'Action de Réinstallation et de Compensation (PARC)</w:t>
      </w:r>
    </w:p>
    <w:p>
      <w:pPr>
        <w:pBdr>
          <w:bottom w:val="single" w:color="1F3864" w:sz="12" w:space="4"/>
        </w:pBdr>
        <w:spacing w:after="140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Microcentrale hydroélectrique de KÉNO (7,2 MW) — Rivière Makona, préfecture de Guéckédou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2823"/>
        <w:gridCol w:w="1750"/>
        <w:gridCol w:w="3123"/>
      </w:tblGrid>
      <w:tr>
        <w:trPr>
          <w:tblHeader/>
        </w:trPr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Maître d'ouvrage délégué</w:t>
            </w:r>
          </w:p>
        </w:tc>
        <w:tc>
          <w:tcPr>
            <w:tcW w:type="dxa" w:w="2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Électricité de Guinée (EDG)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Concessionnaire BOT</w:t>
            </w:r>
          </w:p>
        </w:tc>
        <w:tc>
          <w:tcPr>
            <w:tcW w:type="dxa" w:w="3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KAMA SA</w:t>
            </w:r>
          </w:p>
        </w:tc>
      </w:tr>
      <w:tr>
        <w:trPr>
          <w:tblHeader w:val="false"/>
        </w:trPr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Consultant</w:t>
            </w:r>
          </w:p>
        </w:tc>
        <w:tc>
          <w:tcPr>
            <w:tcW w:type="dxa" w:w="2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CGDEM-AEDD SARLU — Dr Ibrahima DIALLO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Autorité compétente</w:t>
            </w:r>
          </w:p>
        </w:tc>
        <w:tc>
          <w:tcPr>
            <w:tcW w:type="dxa" w:w="3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AGEE (ex-BGEEE)</w:t>
            </w:r>
          </w:p>
        </w:tc>
      </w:tr>
      <w:tr>
        <w:trPr>
          <w:tblHeader w:val="false"/>
        </w:trPr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Instruments</w:t>
            </w:r>
          </w:p>
        </w:tc>
        <w:tc>
          <w:tcPr>
            <w:tcW w:type="dxa" w:w="2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NIES (art. 25) + PARC (art. 27) — Arrêté A/2023/1595/MEDD/CAB/SGG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Réf. transmission</w:t>
            </w:r>
          </w:p>
        </w:tc>
        <w:tc>
          <w:tcPr>
            <w:tcW w:type="dxa" w:w="3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N° 081/CGDEM-AEDD/EDG/ID/2026</w:t>
            </w:r>
          </w:p>
        </w:tc>
      </w:tr>
      <w:tr>
        <w:trPr>
          <w:tblHeader w:val="false"/>
        </w:trPr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Finalité</w:t>
            </w:r>
          </w:p>
        </w:tc>
        <w:tc>
          <w:tcPr>
            <w:tcW w:type="dxa" w:w="769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Autorisation Environnementale (Certificat de Conformité Environnementale)</w:t>
            </w:r>
          </w:p>
        </w:tc>
      </w:tr>
    </w:tbl>
    <w:p>
      <w:pPr>
        <w:pBdr>
          <w:bottom w:val="single" w:color="2E74B5" w:sz="8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2E74B5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OÙ EN EST LE DOSSIER</w:t>
      </w:r>
    </w:p>
    <w:p>
      <w:pPr>
        <w:spacing w:after="90" w:before="0" w:line="230"/>
        <w:jc w:val="both"/>
      </w:pPr>
      <w:r>
        <w:rPr>
          <w:rFonts w:ascii="Calibri" w:cs="Calibri" w:eastAsia="Calibri" w:hAnsi="Calibri"/>
          <w:color w:val="000000"/>
          <w:sz w:val="19"/>
          <w:szCs w:val="19"/>
        </w:rPr>
        <w:t xml:space="preserve">Les rapports finaux NIES et PARC ont été transmis à Madame la Ministre de l'Environnement sous le n° 081/CGDEM-AEDD/EDG/ID/2026.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Les sept premières étapes de la chaîne réglementaire sont achevées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 ; le dossier est désormais en instance de décision ministérielle, après vérification par le comité restreint que constituera l'AGEE.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"/>
        <w:gridCol w:w="4100"/>
        <w:gridCol w:w="1450"/>
        <w:gridCol w:w="3756"/>
      </w:tblGrid>
      <w:tr>
        <w:trPr>
          <w:tblHeader/>
        </w:trPr>
        <w:tc>
          <w:tcPr>
            <w:tcW w:type="dxa" w:w="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N°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Étape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Statut</w:t>
            </w:r>
          </w:p>
        </w:tc>
        <w:tc>
          <w:tcPr>
            <w:tcW w:type="dxa" w:w="37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Repères / résultats</w:t>
            </w:r>
          </w:p>
        </w:tc>
      </w:tr>
      <w:tr>
        <w:trPr>
          <w:tblHeader w:val="false"/>
        </w:trPr>
        <w:tc>
          <w:tcPr>
            <w:tcW w:type="dxa" w:w="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Validation des TDR (NIES + PARC) par l'autorité environnementale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6B3A"/>
                <w:sz w:val="17"/>
                <w:szCs w:val="17"/>
              </w:rPr>
              <w:t xml:space="preserve">✔ Réalisé</w:t>
            </w:r>
          </w:p>
        </w:tc>
        <w:tc>
          <w:tcPr>
            <w:tcW w:type="dxa" w:w="37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Cadre : Arrêté A/2023/1595 — art. 25 et 27</w:t>
            </w:r>
          </w:p>
        </w:tc>
      </w:tr>
      <w:tr>
        <w:trPr>
          <w:tblHeader w:val="false"/>
        </w:trPr>
        <w:tc>
          <w:tcPr>
            <w:tcW w:type="dxa" w:w="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Validation du cadrage (périmètre, enjeux, méthodologie)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6B3A"/>
                <w:sz w:val="17"/>
                <w:szCs w:val="17"/>
              </w:rPr>
              <w:t xml:space="preserve">✔ Réalisé</w:t>
            </w:r>
          </w:p>
        </w:tc>
        <w:tc>
          <w:tcPr>
            <w:tcW w:type="dxa" w:w="37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Aire d'étude bâtie sur les acquis FICHTNER 2017 ; zone ennoyée 53,4 ha</w:t>
            </w:r>
          </w:p>
        </w:tc>
      </w:tr>
      <w:tr>
        <w:trPr>
          <w:tblHeader w:val="false"/>
        </w:trPr>
        <w:tc>
          <w:tcPr>
            <w:tcW w:type="dxa" w:w="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Missions de terrain, recensement des PAP et consultations publiques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6B3A"/>
                <w:sz w:val="17"/>
                <w:szCs w:val="17"/>
              </w:rPr>
              <w:t xml:space="preserve">✔ Réalisé</w:t>
            </w:r>
          </w:p>
        </w:tc>
        <w:tc>
          <w:tcPr>
            <w:tcW w:type="dxa" w:w="37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Recensement du 10 mars au 5 avril 2025, actualisé en oct. 2025 et mars 2026 — 21 séances, 1 178 participants sur 13 mois</w:t>
            </w:r>
          </w:p>
        </w:tc>
      </w:tr>
      <w:tr>
        <w:trPr>
          <w:tblHeader w:val="false"/>
        </w:trPr>
        <w:tc>
          <w:tcPr>
            <w:tcW w:type="dxa" w:w="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Rédaction des rapports provisoires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6B3A"/>
                <w:sz w:val="17"/>
                <w:szCs w:val="17"/>
              </w:rPr>
              <w:t xml:space="preserve">✔ Réalisé</w:t>
            </w:r>
          </w:p>
        </w:tc>
        <w:tc>
          <w:tcPr>
            <w:tcW w:type="dxa" w:w="37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NIES 187 p. + PARC 117 p. = 304 p., 193 tableaux, 130 illustrations</w:t>
            </w:r>
          </w:p>
        </w:tc>
      </w:tr>
      <w:tr>
        <w:trPr>
          <w:tblHeader w:val="false"/>
        </w:trPr>
        <w:tc>
          <w:tcPr>
            <w:tcW w:type="dxa" w:w="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Validation par le CTAE (session d'examen technique)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6B3A"/>
                <w:sz w:val="17"/>
                <w:szCs w:val="17"/>
              </w:rPr>
              <w:t xml:space="preserve">✔ Réalisé</w:t>
            </w:r>
          </w:p>
        </w:tc>
        <w:tc>
          <w:tcPr>
            <w:tcW w:type="dxa" w:w="37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Mardi 14 juillet 2026, salle UNESCO, présidée par le Conseiller Juridique de la Ministre — 60 recommandations</w:t>
            </w:r>
          </w:p>
        </w:tc>
      </w:tr>
      <w:tr>
        <w:trPr>
          <w:tblHeader w:val="false"/>
        </w:trPr>
        <w:tc>
          <w:tcPr>
            <w:tcW w:type="dxa" w:w="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Corrections et intégration des recommandations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6B3A"/>
                <w:sz w:val="17"/>
                <w:szCs w:val="17"/>
              </w:rPr>
              <w:t xml:space="preserve">✔ Réalisé</w:t>
            </w:r>
          </w:p>
        </w:tc>
        <w:tc>
          <w:tcPr>
            <w:tcW w:type="dxa" w:w="37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Matrice de prise en compte : 60/60 traitées, avec localisation dans les rapports</w:t>
            </w:r>
          </w:p>
        </w:tc>
      </w:tr>
      <w:tr>
        <w:trPr>
          <w:tblHeader w:val="false"/>
        </w:trPr>
        <w:tc>
          <w:tcPr>
            <w:tcW w:type="dxa" w:w="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Dépôt des rapports finaux + demande d'autorisation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6B3A"/>
                <w:sz w:val="17"/>
                <w:szCs w:val="17"/>
              </w:rPr>
              <w:t xml:space="preserve">✔ Réalisé</w:t>
            </w:r>
          </w:p>
        </w:tc>
        <w:tc>
          <w:tcPr>
            <w:tcW w:type="dxa" w:w="37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Lettre n° 081/2026 — 4 pièces jointes (NIES, PARC, matrice, PV du CTAE)</w:t>
            </w:r>
          </w:p>
        </w:tc>
      </w:tr>
      <w:tr>
        <w:trPr>
          <w:tblHeader w:val="false"/>
        </w:trPr>
        <w:tc>
          <w:tcPr>
            <w:tcW w:type="dxa" w:w="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Décision de la Ministre — Certificat de Conformité Environnementale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6000"/>
                <w:sz w:val="17"/>
                <w:szCs w:val="17"/>
              </w:rPr>
              <w:t xml:space="preserve">⧖ En instance</w:t>
            </w:r>
          </w:p>
        </w:tc>
        <w:tc>
          <w:tcPr>
            <w:tcW w:type="dxa" w:w="37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Après vérification par le comité restreint de l'AGEE</w:t>
            </w:r>
          </w:p>
        </w:tc>
      </w:tr>
    </w:tbl>
    <w:p>
      <w:pPr>
        <w:spacing w:after="0" w:before="80" w:line="230"/>
        <w:jc w:val="center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Avancement : 7 étapes sur 8 achevées — seule la décision ministérielle reste à obtenir.</w:t>
      </w:r>
    </w:p>
    <w:p>
      <w:pPr>
        <w:pBdr>
          <w:bottom w:val="single" w:color="2E74B5" w:sz="8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2E74B5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LA SESSION DU CTAE DU 14 JUILLET 2026 ET LES SUITES DONNÉES</w:t>
      </w:r>
    </w:p>
    <w:p>
      <w:pPr>
        <w:pStyle w:val="ListParagraph"/>
        <w:numPr>
          <w:ilvl w:val="0"/>
          <w:numId w:val="2"/>
        </w:numPr>
        <w:spacing w:after="40" w:line="228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60 recommandations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formulées sur la forme et sur le fond,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toutes intégrées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dans les versions finales.</w:t>
      </w:r>
    </w:p>
    <w:p>
      <w:pPr>
        <w:pStyle w:val="ListParagraph"/>
        <w:numPr>
          <w:ilvl w:val="0"/>
          <w:numId w:val="2"/>
        </w:numPr>
        <w:spacing w:after="40" w:line="228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Le PV de délibération subordonne la délivrance de l'Autorisation Environnementale à cette prise en compte et exige une fiche attestant l'intégration : une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matrice de prise en compte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reprend les 60 recommandations une à une, avec la suite donnée et sa localisation précise dans les rapports corrigés.</w:t>
      </w:r>
    </w:p>
    <w:p>
      <w:pPr>
        <w:pStyle w:val="ListParagraph"/>
        <w:numPr>
          <w:ilvl w:val="0"/>
          <w:numId w:val="2"/>
        </w:numPr>
        <w:spacing w:after="40" w:line="228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Mise en conformité au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contenu minimal de l'Arrêté 1595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(art. 25 pour la NIES, art. 27 pour le PARC), chaque rapport comportant un tableau de correspondance rubrique par rubrique.</w:t>
      </w:r>
    </w:p>
    <w:p>
      <w:pPr>
        <w:pStyle w:val="ListParagraph"/>
        <w:numPr>
          <w:ilvl w:val="0"/>
          <w:numId w:val="2"/>
        </w:numPr>
        <w:spacing w:after="40" w:line="228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Harmonisation du coût du PGES, désormais libellé en francs guinéens dans l'ensemble du rapport, et présentation du cadre juridique selon la hiérarchie des normes — deux demandes expresses du Comité.</w:t>
      </w:r>
    </w:p>
    <w:p>
      <w:pPr>
        <w:pBdr>
          <w:bottom w:val="single" w:color="2E74B5" w:sz="8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2E74B5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CHIFFRES CLÉS DES RAPPORTS FINAUX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0"/>
        <w:gridCol w:w="2423"/>
        <w:gridCol w:w="2450"/>
        <w:gridCol w:w="2423"/>
      </w:tblGrid>
      <w:tr>
        <w:trPr>
          <w:tblHeader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Ménages affectés / population</w:t>
            </w:r>
          </w:p>
        </w:tc>
        <w:tc>
          <w:tcPr>
            <w:tcW w:type="dxa" w:w="24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39 ménages (23 + 16) — ≈ 234 personnes</w:t>
            </w:r>
          </w:p>
        </w:tc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Déplacement physique</w:t>
            </w:r>
          </w:p>
        </w:tc>
        <w:tc>
          <w:tcPr>
            <w:tcW w:type="dxa" w:w="24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Aucun — 18 structures secondaires impactées</w:t>
            </w:r>
          </w:p>
        </w:tc>
      </w:tr>
      <w:tr>
        <w:trPr>
          <w:tblHeader w:val="false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Zone ennoyée</w:t>
            </w:r>
          </w:p>
        </w:tc>
        <w:tc>
          <w:tcPr>
            <w:tcW w:type="dxa" w:w="24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53,4 ha (cote 431,2 m)</w:t>
            </w:r>
          </w:p>
        </w:tc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Reboisement compensatoire</w:t>
            </w:r>
          </w:p>
        </w:tc>
        <w:tc>
          <w:tcPr>
            <w:tcW w:type="dxa" w:w="24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38 ha — ratio 3:1, survie cible &gt; 75 % sur 5 ans</w:t>
            </w:r>
          </w:p>
        </w:tc>
      </w:tr>
      <w:tr>
        <w:trPr>
          <w:tblHeader w:val="false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Budget PGES</w:t>
            </w:r>
          </w:p>
        </w:tc>
        <w:tc>
          <w:tcPr>
            <w:tcW w:type="dxa" w:w="24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1 350 000 EUR ≈ 3,0 % de l'investissement</w:t>
            </w:r>
          </w:p>
        </w:tc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Volet social total</w:t>
            </w:r>
          </w:p>
        </w:tc>
        <w:tc>
          <w:tcPr>
            <w:tcW w:type="dxa" w:w="24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790 000 EUR (PARC 240 000 · MGP 145 000 · PMPP 175 000 · RSE 230 000)</w:t>
            </w:r>
          </w:p>
        </w:tc>
      </w:tr>
      <w:tr>
        <w:trPr>
          <w:tblHeader w:val="false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Sécurisation financière</w:t>
            </w:r>
          </w:p>
        </w:tc>
        <w:tc>
          <w:tcPr>
            <w:tcW w:type="dxa" w:w="24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240 000 EUR sous séquestre à la BCRG avant tout ordre de service</w:t>
            </w:r>
          </w:p>
        </w:tc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Mise en œuvre du PARC</w:t>
            </w:r>
          </w:p>
        </w:tc>
        <w:tc>
          <w:tcPr>
            <w:tcW w:type="dxa" w:w="24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60 mois, du recensement au suivi de clôture</w:t>
            </w:r>
          </w:p>
        </w:tc>
      </w:tr>
      <w:tr>
        <w:trPr>
          <w:tblHeader w:val="false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Débit réservé écologique</w:t>
            </w:r>
          </w:p>
        </w:tc>
        <w:tc>
          <w:tcPr>
            <w:tcW w:type="dxa" w:w="24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7,5 m³/s (10 % du module) — arrêt de la centrale si l'entrant &lt; 8,0 m³/s</w:t>
            </w:r>
          </w:p>
        </w:tc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7"/>
                <w:szCs w:val="17"/>
              </w:rPr>
              <w:t xml:space="preserve">Bilan climat</w:t>
            </w:r>
          </w:p>
        </w:tc>
        <w:tc>
          <w:tcPr>
            <w:tcW w:type="dxa" w:w="24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spacing w:after="26" w:before="26" w:line="216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≈ 21 000 tCO₂eq évitées/an — retour énergétique 1,4 an</w:t>
            </w:r>
          </w:p>
        </w:tc>
      </w:tr>
    </w:tbl>
    <w:p>
      <w:pPr>
        <w:pBdr>
          <w:bottom w:val="single" w:color="2E74B5" w:sz="8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2E74B5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 QUE LE CORPUS 2026 APPORTE PAR RAPPORT À L'ÉTUDE FICHTNER (2017)</w:t>
      </w:r>
    </w:p>
    <w:p>
      <w:pPr>
        <w:spacing w:after="60" w:before="0" w:line="230"/>
        <w:jc w:val="both"/>
      </w:pPr>
      <w:r>
        <w:rPr>
          <w:rFonts w:ascii="Calibri" w:cs="Calibri" w:eastAsia="Calibri" w:hAnsi="Calibri"/>
          <w:color w:val="000000"/>
          <w:sz w:val="19"/>
          <w:szCs w:val="19"/>
        </w:rPr>
        <w:t xml:space="preserve">Le volet environnemental et social passe de 59 pages annexées à une étude de faisabilité à un dossier réglementaire autonome de 304 pages, opposable et instruit. Les apports décisifs :</w:t>
      </w:r>
    </w:p>
    <w:p>
      <w:pPr>
        <w:pStyle w:val="ListParagraph"/>
        <w:numPr>
          <w:ilvl w:val="0"/>
          <w:numId w:val="2"/>
        </w:numPr>
        <w:spacing w:after="40" w:line="228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Qualification et cadre juridique —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NIES art. 25 / PARC art. 27 ; Constitution 2025, Code de l'Environnement 2019, Arrêté 1595, AGEE, Accord de Paris, Simandou 2040.</w:t>
      </w:r>
    </w:p>
    <w:p>
      <w:pPr>
        <w:pStyle w:val="ListParagraph"/>
        <w:numPr>
          <w:ilvl w:val="0"/>
          <w:numId w:val="2"/>
        </w:numPr>
        <w:spacing w:after="40" w:line="228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Standards internationaux —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passage de l'OP 4.12 au Cadre Environnemental et Social (NES n°5 et n°6) et aux Directives EHS Hydropower, avec arbitrage en faveur de la norme la plus protectrice : condition d'éligibilité aux financements internationaux.</w:t>
      </w:r>
    </w:p>
    <w:p>
      <w:pPr>
        <w:pStyle w:val="ListParagraph"/>
        <w:numPr>
          <w:ilvl w:val="0"/>
          <w:numId w:val="2"/>
        </w:numPr>
        <w:spacing w:after="40" w:line="228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Domaines entièrement nouveaux —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impact résiduel (avant/après mesures), effets cumulatifs dont l'orpaillage en amont, bilan carbone, dimension transfrontalière (Makona / Union du Fleuve Mano), services écosystémiques, genre et vulnérabilité, MGP incluant les VBG/EAS-HS.</w:t>
      </w:r>
    </w:p>
    <w:p>
      <w:pPr>
        <w:pStyle w:val="ListParagraph"/>
        <w:numPr>
          <w:ilvl w:val="0"/>
          <w:numId w:val="2"/>
        </w:numPr>
        <w:spacing w:after="40" w:line="228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Acquis de 2017 confirmés —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le recensement fondateur (39 ménages, 234 personnes, aucun déplacement) et l'abaissement de la cote de 435 à 431,2 m, mesure d'évitement la plus efficace du projet, restent la base du dossier.</w:t>
      </w:r>
    </w:p>
    <w:p>
      <w:pPr>
        <w:pBdr>
          <w:bottom w:val="single" w:color="2E74B5" w:sz="8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2E74B5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POINTS DE VIGILANCE ET SUITE IMMÉDIATE</w:t>
      </w:r>
    </w:p>
    <w:p>
      <w:pPr>
        <w:pStyle w:val="ListParagraph"/>
        <w:numPr>
          <w:ilvl w:val="0"/>
          <w:numId w:val="3"/>
        </w:numPr>
        <w:spacing w:after="40" w:line="228"/>
      </w:pPr>
      <w:r>
        <w:rPr>
          <w:rFonts w:ascii="Calibri" w:cs="Calibri" w:eastAsia="Calibri" w:hAnsi="Calibri"/>
          <w:b/>
          <w:bCs/>
          <w:color w:val="1E6B3A"/>
          <w:sz w:val="18"/>
          <w:szCs w:val="18"/>
        </w:rPr>
        <w:t xml:space="preserve">Risque de requalification NIES → EIES : écarté.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Avec 7,2 MW et une ligne 30 kV, le projet reste sous les seuils (10 MW / 63 kV) ; le CTAE a instruit le dossier en tant que NIES.</w:t>
      </w:r>
    </w:p>
    <w:p>
      <w:pPr>
        <w:pStyle w:val="ListParagraph"/>
        <w:numPr>
          <w:ilvl w:val="0"/>
          <w:numId w:val="3"/>
        </w:numPr>
        <w:spacing w:after="40" w:line="228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Vérification par le comité restreint de l'AGEE —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maintenir la disponibilité de l'équipe et le suivi hebdomadaire du dossier jusqu'à la signature.</w:t>
      </w:r>
    </w:p>
    <w:p>
      <w:pPr>
        <w:pStyle w:val="ListParagraph"/>
        <w:numPr>
          <w:ilvl w:val="0"/>
          <w:numId w:val="3"/>
        </w:numPr>
        <w:spacing w:after="40" w:line="228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Traçabilité des 60 recommandations —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la matrice de prise en compte est la pièce sur laquelle se fonde la conformité au PV ; toute demande complémentaire doit y être versée.</w:t>
      </w:r>
    </w:p>
    <w:p>
      <w:pPr>
        <w:pStyle w:val="ListParagraph"/>
        <w:numPr>
          <w:ilvl w:val="0"/>
          <w:numId w:val="3"/>
        </w:numPr>
        <w:spacing w:after="40" w:line="228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Préparation de la mise en œuvre —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le séquestre de 240 000 EUR à la BCRG doit être constitué avant toute notification d'ordre de service ; à anticiper dès l'obtention du certificat.</w:t>
      </w:r>
    </w:p>
    <w:p>
      <w:pPr>
        <w:pBdr>
          <w:bottom w:val="single" w:color="2E74B5" w:sz="8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2E74B5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CONCLUSION</w:t>
      </w:r>
    </w:p>
    <w:p>
      <w:pPr>
        <w:spacing w:after="80" w:before="0" w:line="230"/>
        <w:jc w:val="both"/>
      </w:pPr>
      <w:r>
        <w:rPr>
          <w:rFonts w:ascii="Calibri" w:cs="Calibri" w:eastAsia="Calibri" w:hAnsi="Calibri"/>
          <w:color w:val="000000"/>
          <w:sz w:val="19"/>
          <w:szCs w:val="19"/>
        </w:rPr>
        <w:t xml:space="preserve">Le dossier environnemental et social de la microcentrale de Kéno est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complet, corrigé et déposé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. Les recommandations du CTAE sont intégrées et tracées, la conformité à l'Arrêté 1595 est démontrée rubrique par rubrique, et les engagements sont chiffrés, datés et budgétés. La seule étape restante est la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délivrance de l'Autorisation Environnementale par Madame la Ministre de l'Environnement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, après vérification par le comité restreint de l'AGEE.</w:t>
      </w:r>
    </w:p>
    <w:p>
      <w:pPr>
        <w:pBdr>
          <w:top w:val="single" w:color="BFBFBF" w:sz="6" w:space="4"/>
        </w:pBdr>
        <w:spacing w:before="100"/>
      </w:pPr>
      <w:r>
        <w:rPr>
          <w:rFonts w:ascii="Calibri" w:cs="Calibri" w:eastAsia="Calibri" w:hAnsi="Calibri"/>
          <w:i/>
          <w:iCs/>
          <w:color w:val="595959"/>
          <w:sz w:val="15"/>
          <w:szCs w:val="15"/>
        </w:rPr>
        <w:t xml:space="preserve">Sources : lettre de transmission n° 081/CGDEM-AEDD/EDG/ID/2026 ; Note d'analyse comparative FICHTNER 2017 / CGDEM 2026, CGDEM-AEDD SARLU, août 2026 ; PV de délibération du CTAE du 14 juillet 2026.</w:t>
      </w:r>
    </w:p>
    <w:sectPr>
      <w:footerReference w:type="default" r:id="rId7"/>
      <w:pgSz w:w="11906" w:h="16838" w:orient="portrait"/>
      <w:pgMar w:top="850" w:right="1020" w:bottom="75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4"/>
        <w:szCs w:val="14"/>
      </w:rPr>
      <w:t xml:space="preserve">CR d'avancement — NIES &amp; PARC · Microcentrale hydroélectrique de Kéno (7,2 MW) · CGDEM-AEDD SARLU · Page </w:t>
    </w:r>
    <w:r>
      <w:rPr>
        <w:rFonts w:ascii="Calibri" w:cs="Calibri" w:eastAsia="Calibri" w:hAnsi="Calibri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4"/>
        <w:szCs w:val="14"/>
      </w:rPr>
      <w:t xml:space="preserve">/</w:t>
    </w:r>
    <w:r>
      <w:rPr>
        <w:rFonts w:ascii="Calibri" w:cs="Calibri" w:eastAsia="Calibri" w:hAnsi="Calibri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30" w:hanging="19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3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 d'avancement — NIES &amp; PARC — Microcentrale de Kéno (7,2 MW)</dc:title>
  <dc:creator>CGDEM-AEDD SARLU</dc:creator>
  <cp:lastModifiedBy>Un-named</cp:lastModifiedBy>
  <cp:revision>1</cp:revision>
  <dcterms:created xsi:type="dcterms:W3CDTF">2026-08-19T02:20:07.925Z</dcterms:created>
  <dcterms:modified xsi:type="dcterms:W3CDTF">2026-08-19T02:20:07.926Z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