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ai-secretary-pricing-strategy-report"/>
    <w:p>
      <w:pPr>
        <w:pStyle w:val="Heading1"/>
      </w:pPr>
      <w:r>
        <w:t xml:space="preserve">AI Secretary Pricing Strategy Report</w:t>
      </w:r>
    </w:p>
    <w:bookmarkStart w:id="20" w:name="executive-summary"/>
    <w:p>
      <w:pPr>
        <w:pStyle w:val="Heading2"/>
      </w:pPr>
      <w:r>
        <w:t xml:space="preserve">Executive Summary</w:t>
      </w:r>
    </w:p>
    <w:p>
      <w:pPr>
        <w:pStyle w:val="FirstParagraph"/>
      </w:pPr>
      <w:r>
        <w:t xml:space="preserve">This report presents a comprehensive pricing strategy for the AI Secretary, grounded in extensive market analysis, competitive intelligence, and value-based assessment. The research indicates an exceptional market opportunity for a premium-priced AI productivity tool, driven by a validated 67% productivity increase and 60% cost reduction for users. The AI Secretary delivers an ROI of over 3,000% and a payback period of less than one month, justifying a value-to-price ratio of over 30:1—far exceeding the industry benchmark of 3:1.</w:t>
      </w:r>
    </w:p>
    <w:p>
      <w:pPr>
        <w:pStyle w:val="BodyText"/>
      </w:pPr>
      <w:r>
        <w:t xml:space="preserve">The recommended strategy is a three-tiered pricing model designed to capture value across distinct customer segments while fostering adoption and scalability:</w:t>
      </w:r>
    </w:p>
    <w:p>
      <w:pPr>
        <w:numPr>
          <w:ilvl w:val="0"/>
          <w:numId w:val="1001"/>
        </w:numPr>
        <w:pStyle w:val="Compact"/>
      </w:pPr>
      <w:r>
        <w:rPr>
          <w:bCs/>
          <w:b/>
        </w:rPr>
        <w:t xml:space="preserve">Pro Tier ($39/user/month):</w:t>
      </w:r>
      <w:r>
        <w:t xml:space="preserve"> </w:t>
      </w:r>
      <w:r>
        <w:t xml:space="preserve">Targeting individual professionals and small teams, this tier offers a compelling entry point with a rich feature set that delivers immediate and substantial ROI.</w:t>
      </w:r>
    </w:p>
    <w:p>
      <w:pPr>
        <w:numPr>
          <w:ilvl w:val="0"/>
          <w:numId w:val="1001"/>
        </w:numPr>
        <w:pStyle w:val="Compact"/>
      </w:pPr>
      <w:r>
        <w:rPr>
          <w:bCs/>
          <w:b/>
        </w:rPr>
        <w:t xml:space="preserve">Business Tier ($59/user/month):</w:t>
      </w:r>
      <w:r>
        <w:t xml:space="preserve"> </w:t>
      </w:r>
      <w:r>
        <w:t xml:space="preserve">Aimed at SMBs and larger teams, this tier includes advanced collaboration features, enhanced security, and administrative controls to support organizational workflows.</w:t>
      </w:r>
    </w:p>
    <w:p>
      <w:pPr>
        <w:numPr>
          <w:ilvl w:val="0"/>
          <w:numId w:val="1001"/>
        </w:numPr>
        <w:pStyle w:val="Compact"/>
      </w:pPr>
      <w:r>
        <w:rPr>
          <w:bCs/>
          <w:b/>
        </w:rPr>
        <w:t xml:space="preserve">Enterprise Tier (Custom Pricing):</w:t>
      </w:r>
      <w:r>
        <w:t xml:space="preserve"> </w:t>
      </w:r>
      <w:r>
        <w:t xml:space="preserve">Designed for large organizations, this tier offers a bespoke solution with dedicated support, custom integrations, and enterprise-grade security and compliance, with pricing negotiated based on value and scale.</w:t>
      </w:r>
    </w:p>
    <w:p>
      <w:pPr>
        <w:pStyle w:val="FirstParagraph"/>
      </w:pPr>
      <w:r>
        <w:t xml:space="preserve">This tiered strategy, supported by a freemium entry point to drive adoption, positions the AI Secretary as a premium offering, justifiably priced based on the immense value it delivers. The implementation of this strategy is expected to drive strong revenue growth, high customer lifetime value, and establish the AI Secretary as a market leader in the AI-powered productivity space.</w:t>
      </w:r>
    </w:p>
    <w:bookmarkEnd w:id="20"/>
    <w:bookmarkStart w:id="21" w:name="X68f29bd3faa738648c6d592676d186e3f507edb"/>
    <w:p>
      <w:pPr>
        <w:pStyle w:val="Heading2"/>
      </w:pPr>
      <w:r>
        <w:t xml:space="preserve">1. Market Opportunity and Competitive Positioning</w:t>
      </w:r>
    </w:p>
    <w:p>
      <w:pPr>
        <w:pStyle w:val="FirstParagraph"/>
      </w:pPr>
      <w:r>
        <w:t xml:space="preserve">The AI productivity market is not just growing; it is exploding. With a projected value of up to $36.35 billion in 2025 and a CAGR of nearly 28%, the market is ripe for a solution that delivers quantifiable value. Enterprise adoption has surpassed 70%, and SMBs are rapidly following suit, with 91% reporting a revenue lift from AI implementation. This indicates a market that is past the point of early adoption and is now in a phase of mainstream integration.</w:t>
      </w:r>
    </w:p>
    <w:p>
      <w:pPr>
        <w:pStyle w:val="BodyText"/>
      </w:pPr>
      <w:r>
        <w:t xml:space="preserve">Competitors have largely adopted per-user subscription models, with enterprise solutions priced in the $25-$60/user/month range. However, a significant gap exists between standalone AI assistants and tools with deeply integrated AI features. The AI Secretary is positioned to bridge this gap, offering the intelligence of a standalone assistant with the workflow integration of a productivity suite. This integrated approach has been shown to command a higher willingness to pay, as demonstrated by the success of platforms like Microsoft 365 Copilot.</w:t>
      </w:r>
    </w:p>
    <w:bookmarkEnd w:id="21"/>
    <w:bookmarkStart w:id="22" w:name="X3df5205003d6bde7959ae40ff55bc6079e71503"/>
    <w:p>
      <w:pPr>
        <w:pStyle w:val="Heading2"/>
      </w:pPr>
      <w:r>
        <w:t xml:space="preserve">2. Customer Segment Analysis and Pricing Sensitivity</w:t>
      </w:r>
    </w:p>
    <w:p>
      <w:pPr>
        <w:pStyle w:val="FirstParagraph"/>
      </w:pPr>
      <w:r>
        <w:t xml:space="preserve">Our research identifies four key customer segments, each with distinct needs and purchasing behaviors:</w:t>
      </w:r>
    </w:p>
    <w:p>
      <w:pPr>
        <w:numPr>
          <w:ilvl w:val="0"/>
          <w:numId w:val="1002"/>
        </w:numPr>
        <w:pStyle w:val="Compact"/>
      </w:pPr>
      <w:r>
        <w:rPr>
          <w:bCs/>
          <w:b/>
        </w:rPr>
        <w:t xml:space="preserve">Enterprise (500+ employees):</w:t>
      </w:r>
      <w:r>
        <w:t xml:space="preserve"> </w:t>
      </w:r>
      <w:r>
        <w:t xml:space="preserve">This segment is characterized by a high willingness to pay, with 73% investing over $1M annually in AI. They have long, complex procurement cycles (6-18 months) and demand robust security, compliance, and integration capabilities. Pricing is value-based and negotiated.</w:t>
      </w:r>
    </w:p>
    <w:p>
      <w:pPr>
        <w:numPr>
          <w:ilvl w:val="0"/>
          <w:numId w:val="1002"/>
        </w:numPr>
        <w:pStyle w:val="Compact"/>
      </w:pPr>
      <w:r>
        <w:rPr>
          <w:bCs/>
          <w:b/>
        </w:rPr>
        <w:t xml:space="preserve">SMB (50-500 employees):</w:t>
      </w:r>
      <w:r>
        <w:t xml:space="preserve"> </w:t>
      </w:r>
      <w:r>
        <w:t xml:space="preserve">Representing over 50% of the B2B SaaS market, SMBs are increasing their tech spending and are focused on solutions that drive efficiency and revenue. They are more price-sensitive than enterprises but are willing to pay for demonstrable value.</w:t>
      </w:r>
    </w:p>
    <w:p>
      <w:pPr>
        <w:numPr>
          <w:ilvl w:val="0"/>
          <w:numId w:val="1002"/>
        </w:numPr>
        <w:pStyle w:val="Compact"/>
      </w:pPr>
      <w:r>
        <w:rPr>
          <w:bCs/>
          <w:b/>
        </w:rPr>
        <w:t xml:space="preserve">Small Business (2-50 employees):</w:t>
      </w:r>
      <w:r>
        <w:t xml:space="preserve"> </w:t>
      </w:r>
      <w:r>
        <w:t xml:space="preserve">This segment is highly price-sensitive, with a strong preference for simple, transparent pricing. While 99% use at least one tech platform, they operate on tight budgets, typically allocating 2-7% of revenue to IT.</w:t>
      </w:r>
    </w:p>
    <w:p>
      <w:pPr>
        <w:numPr>
          <w:ilvl w:val="0"/>
          <w:numId w:val="1002"/>
        </w:numPr>
        <w:pStyle w:val="Compact"/>
      </w:pPr>
      <w:r>
        <w:rPr>
          <w:bCs/>
          <w:b/>
        </w:rPr>
        <w:t xml:space="preserve">Individual Professionals:</w:t>
      </w:r>
      <w:r>
        <w:t xml:space="preserve"> </w:t>
      </w:r>
      <w:r>
        <w:t xml:space="preserve">This segment has a typical software spending range of $10-$50 per month. They are highly cost-conscious and favor freemium models and transparent subscription pricing.</w:t>
      </w:r>
    </w:p>
    <w:bookmarkEnd w:id="22"/>
    <w:bookmarkStart w:id="23" w:name="value-proposition-and-roi-justification"/>
    <w:p>
      <w:pPr>
        <w:pStyle w:val="Heading2"/>
      </w:pPr>
      <w:r>
        <w:t xml:space="preserve">3. Value Proposition and ROI Justification</w:t>
      </w:r>
    </w:p>
    <w:p>
      <w:pPr>
        <w:pStyle w:val="FirstParagraph"/>
      </w:pPr>
      <w:r>
        <w:t xml:space="preserve">The AI Secretary’s value proposition is its strongest asset. The platform’s ability to increase productivity by 67% and reduce costs by 60% translates into an ROI exceeding 3,000% for all customer segments. The payback period is less than one month, and the value-to-price ratio is consistently above 30:1, dwarfing the industry benchmark of 3:1 to 5:1 for excellent software ROI.</w:t>
      </w:r>
    </w:p>
    <w:p>
      <w:pPr>
        <w:pStyle w:val="BodyText"/>
      </w:pPr>
      <w:r>
        <w:t xml:space="preserve">These metrics provide an exceptionally strong justification for a premium pricing strategy. The AI Secretary is not just another productivity tool; it is a powerful engine for value creation, and its price should reflect that.</w:t>
      </w:r>
    </w:p>
    <w:bookmarkEnd w:id="23"/>
    <w:bookmarkStart w:id="27" w:name="recommended-pricing-strategy"/>
    <w:p>
      <w:pPr>
        <w:pStyle w:val="Heading2"/>
      </w:pPr>
      <w:r>
        <w:t xml:space="preserve">4. Recommended Pricing Strategy</w:t>
      </w:r>
    </w:p>
    <w:p>
      <w:pPr>
        <w:pStyle w:val="FirstParagraph"/>
      </w:pPr>
      <w:r>
        <w:t xml:space="preserve">Based on the comprehensive analysis of the market, customer segments, and value proposition, the following three-tiered pricing strategy is recommended:</w:t>
      </w:r>
    </w:p>
    <w:bookmarkStart w:id="24" w:name="tier-1-pro"/>
    <w:p>
      <w:pPr>
        <w:pStyle w:val="Heading3"/>
      </w:pPr>
      <w:r>
        <w:t xml:space="preserve">Tier 1: Pro</w:t>
      </w:r>
    </w:p>
    <w:p>
      <w:pPr>
        <w:numPr>
          <w:ilvl w:val="0"/>
          <w:numId w:val="1003"/>
        </w:numPr>
        <w:pStyle w:val="Compact"/>
      </w:pPr>
      <w:r>
        <w:rPr>
          <w:bCs/>
          <w:b/>
        </w:rPr>
        <w:t xml:space="preserve">Price:</w:t>
      </w:r>
      <w:r>
        <w:t xml:space="preserve"> </w:t>
      </w:r>
      <w:r>
        <w:t xml:space="preserve">$39/user/month</w:t>
      </w:r>
    </w:p>
    <w:p>
      <w:pPr>
        <w:numPr>
          <w:ilvl w:val="0"/>
          <w:numId w:val="1003"/>
        </w:numPr>
        <w:pStyle w:val="Compact"/>
      </w:pPr>
      <w:r>
        <w:rPr>
          <w:bCs/>
          <w:b/>
        </w:rPr>
        <w:t xml:space="preserve">Target Audience:</w:t>
      </w:r>
      <w:r>
        <w:t xml:space="preserve"> </w:t>
      </w:r>
      <w:r>
        <w:t xml:space="preserve">Individual Professionals and Small Teams</w:t>
      </w:r>
    </w:p>
    <w:p>
      <w:pPr>
        <w:numPr>
          <w:ilvl w:val="0"/>
          <w:numId w:val="1003"/>
        </w:numPr>
        <w:pStyle w:val="Compact"/>
      </w:pPr>
      <w:r>
        <w:rPr>
          <w:bCs/>
          <w:b/>
        </w:rPr>
        <w:t xml:space="preserve">Core Features:</w:t>
      </w:r>
    </w:p>
    <w:p>
      <w:pPr>
        <w:numPr>
          <w:ilvl w:val="1"/>
          <w:numId w:val="1004"/>
        </w:numPr>
        <w:pStyle w:val="Compact"/>
      </w:pPr>
      <w:r>
        <w:t xml:space="preserve">Unlimited access to core AI Secretary features</w:t>
      </w:r>
    </w:p>
    <w:p>
      <w:pPr>
        <w:numPr>
          <w:ilvl w:val="1"/>
          <w:numId w:val="1004"/>
        </w:numPr>
        <w:pStyle w:val="Compact"/>
      </w:pPr>
      <w:r>
        <w:t xml:space="preserve">Integration with standard productivity suites (Google Workspace, Microsoft 365)</w:t>
      </w:r>
    </w:p>
    <w:p>
      <w:pPr>
        <w:numPr>
          <w:ilvl w:val="1"/>
          <w:numId w:val="1004"/>
        </w:numPr>
        <w:pStyle w:val="Compact"/>
      </w:pPr>
      <w:r>
        <w:t xml:space="preserve">Advanced search and summarization capabilities</w:t>
      </w:r>
    </w:p>
    <w:p>
      <w:pPr>
        <w:numPr>
          <w:ilvl w:val="1"/>
          <w:numId w:val="1004"/>
        </w:numPr>
        <w:pStyle w:val="Compact"/>
      </w:pPr>
      <w:r>
        <w:t xml:space="preserve">Standard support</w:t>
      </w:r>
    </w:p>
    <w:bookmarkEnd w:id="24"/>
    <w:bookmarkStart w:id="25" w:name="tier-2-business"/>
    <w:p>
      <w:pPr>
        <w:pStyle w:val="Heading3"/>
      </w:pPr>
      <w:r>
        <w:t xml:space="preserve">Tier 2: Business</w:t>
      </w:r>
    </w:p>
    <w:p>
      <w:pPr>
        <w:numPr>
          <w:ilvl w:val="0"/>
          <w:numId w:val="1005"/>
        </w:numPr>
        <w:pStyle w:val="Compact"/>
      </w:pPr>
      <w:r>
        <w:rPr>
          <w:bCs/>
          <w:b/>
        </w:rPr>
        <w:t xml:space="preserve">Price:</w:t>
      </w:r>
      <w:r>
        <w:t xml:space="preserve"> </w:t>
      </w:r>
      <w:r>
        <w:t xml:space="preserve">$59/user/month</w:t>
      </w:r>
    </w:p>
    <w:p>
      <w:pPr>
        <w:numPr>
          <w:ilvl w:val="0"/>
          <w:numId w:val="1005"/>
        </w:numPr>
        <w:pStyle w:val="Compact"/>
      </w:pPr>
      <w:r>
        <w:rPr>
          <w:bCs/>
          <w:b/>
        </w:rPr>
        <w:t xml:space="preserve">Target Audience:</w:t>
      </w:r>
      <w:r>
        <w:t xml:space="preserve"> </w:t>
      </w:r>
      <w:r>
        <w:t xml:space="preserve">SMBs and larger teams</w:t>
      </w:r>
    </w:p>
    <w:p>
      <w:pPr>
        <w:numPr>
          <w:ilvl w:val="0"/>
          <w:numId w:val="1005"/>
        </w:numPr>
        <w:pStyle w:val="Compact"/>
      </w:pPr>
      <w:r>
        <w:rPr>
          <w:bCs/>
          <w:b/>
        </w:rPr>
        <w:t xml:space="preserve">Core Features (in addition to Pro):</w:t>
      </w:r>
    </w:p>
    <w:p>
      <w:pPr>
        <w:numPr>
          <w:ilvl w:val="1"/>
          <w:numId w:val="1006"/>
        </w:numPr>
        <w:pStyle w:val="Compact"/>
      </w:pPr>
      <w:r>
        <w:t xml:space="preserve">Advanced collaboration features</w:t>
      </w:r>
    </w:p>
    <w:p>
      <w:pPr>
        <w:numPr>
          <w:ilvl w:val="1"/>
          <w:numId w:val="1006"/>
        </w:numPr>
        <w:pStyle w:val="Compact"/>
      </w:pPr>
      <w:r>
        <w:t xml:space="preserve">Team-level analytics and reporting</w:t>
      </w:r>
    </w:p>
    <w:p>
      <w:pPr>
        <w:numPr>
          <w:ilvl w:val="1"/>
          <w:numId w:val="1006"/>
        </w:numPr>
        <w:pStyle w:val="Compact"/>
      </w:pPr>
      <w:r>
        <w:t xml:space="preserve">Enhanced security and administrative controls</w:t>
      </w:r>
    </w:p>
    <w:p>
      <w:pPr>
        <w:numPr>
          <w:ilvl w:val="1"/>
          <w:numId w:val="1006"/>
        </w:numPr>
        <w:pStyle w:val="Compact"/>
      </w:pPr>
      <w:r>
        <w:t xml:space="preserve">Priority support</w:t>
      </w:r>
    </w:p>
    <w:bookmarkEnd w:id="25"/>
    <w:bookmarkStart w:id="26" w:name="tier-3-enterprise"/>
    <w:p>
      <w:pPr>
        <w:pStyle w:val="Heading3"/>
      </w:pPr>
      <w:r>
        <w:t xml:space="preserve">Tier 3: Enterprise</w:t>
      </w:r>
    </w:p>
    <w:p>
      <w:pPr>
        <w:numPr>
          <w:ilvl w:val="0"/>
          <w:numId w:val="1007"/>
        </w:numPr>
        <w:pStyle w:val="Compact"/>
      </w:pPr>
      <w:r>
        <w:rPr>
          <w:bCs/>
          <w:b/>
        </w:rPr>
        <w:t xml:space="preserve">Price:</w:t>
      </w:r>
      <w:r>
        <w:t xml:space="preserve"> </w:t>
      </w:r>
      <w:r>
        <w:t xml:space="preserve">Custom</w:t>
      </w:r>
    </w:p>
    <w:p>
      <w:pPr>
        <w:numPr>
          <w:ilvl w:val="0"/>
          <w:numId w:val="1007"/>
        </w:numPr>
        <w:pStyle w:val="Compact"/>
      </w:pPr>
      <w:r>
        <w:rPr>
          <w:bCs/>
          <w:b/>
        </w:rPr>
        <w:t xml:space="preserve">Target Audience:</w:t>
      </w:r>
      <w:r>
        <w:t xml:space="preserve"> </w:t>
      </w:r>
      <w:r>
        <w:t xml:space="preserve">Large organizations (500+ employees)</w:t>
      </w:r>
    </w:p>
    <w:p>
      <w:pPr>
        <w:numPr>
          <w:ilvl w:val="0"/>
          <w:numId w:val="1007"/>
        </w:numPr>
        <w:pStyle w:val="Compact"/>
      </w:pPr>
      <w:r>
        <w:rPr>
          <w:bCs/>
          <w:b/>
        </w:rPr>
        <w:t xml:space="preserve">Core Features (in addition to Business):</w:t>
      </w:r>
    </w:p>
    <w:p>
      <w:pPr>
        <w:numPr>
          <w:ilvl w:val="1"/>
          <w:numId w:val="1008"/>
        </w:numPr>
        <w:pStyle w:val="Compact"/>
      </w:pPr>
      <w:r>
        <w:t xml:space="preserve">Bespoke solutions tailored to specific workflows</w:t>
      </w:r>
    </w:p>
    <w:p>
      <w:pPr>
        <w:numPr>
          <w:ilvl w:val="1"/>
          <w:numId w:val="1008"/>
        </w:numPr>
        <w:pStyle w:val="Compact"/>
      </w:pPr>
      <w:r>
        <w:t xml:space="preserve">Custom integrations with enterprise systems</w:t>
      </w:r>
    </w:p>
    <w:p>
      <w:pPr>
        <w:numPr>
          <w:ilvl w:val="1"/>
          <w:numId w:val="1008"/>
        </w:numPr>
        <w:pStyle w:val="Compact"/>
      </w:pPr>
      <w:r>
        <w:t xml:space="preserve">Dedicated account management and support</w:t>
      </w:r>
    </w:p>
    <w:p>
      <w:pPr>
        <w:numPr>
          <w:ilvl w:val="1"/>
          <w:numId w:val="1008"/>
        </w:numPr>
        <w:pStyle w:val="Compact"/>
      </w:pPr>
      <w:r>
        <w:t xml:space="preserve">Enterprise-grade security, compliance, and data handling</w:t>
      </w:r>
    </w:p>
    <w:p>
      <w:pPr>
        <w:pStyle w:val="FirstParagraph"/>
      </w:pPr>
      <w:r>
        <w:t xml:space="preserve">This pricing structure allows the AI Secretary to capture the full spectrum of the market, from individual users to the largest enterprises, with a pricing model that scales with the value delivered.</w:t>
      </w:r>
    </w:p>
    <w:bookmarkEnd w:id="26"/>
    <w:bookmarkEnd w:id="27"/>
    <w:bookmarkStart w:id="28" w:name="implementation-roadmap-and-optimization"/>
    <w:p>
      <w:pPr>
        <w:pStyle w:val="Heading2"/>
      </w:pPr>
      <w:r>
        <w:t xml:space="preserve">5. Implementation Roadmap and Optimization</w:t>
      </w:r>
    </w:p>
    <w:p>
      <w:pPr>
        <w:pStyle w:val="FirstParagraph"/>
      </w:pPr>
      <w:r>
        <w:t xml:space="preserve">The rollout of this pricing strategy should be phased to maximize market penetration and allow for data-driven optimization.</w:t>
      </w:r>
    </w:p>
    <w:p>
      <w:pPr>
        <w:numPr>
          <w:ilvl w:val="0"/>
          <w:numId w:val="1009"/>
        </w:numPr>
        <w:pStyle w:val="Compact"/>
      </w:pPr>
      <w:r>
        <w:rPr>
          <w:bCs/>
          <w:b/>
        </w:rPr>
        <w:t xml:space="preserve">Phase 1: Launch Pro and Business Tiers (Months 1-3):</w:t>
      </w:r>
      <w:r>
        <w:t xml:space="preserve"> </w:t>
      </w:r>
      <w:r>
        <w:t xml:space="preserve">Focus on capturing the individual and SMB markets with clear, transparent pricing. Gather data on usage patterns, conversion rates, and customer feedback.</w:t>
      </w:r>
    </w:p>
    <w:p>
      <w:pPr>
        <w:numPr>
          <w:ilvl w:val="0"/>
          <w:numId w:val="1009"/>
        </w:numPr>
        <w:pStyle w:val="Compact"/>
      </w:pPr>
      <w:r>
        <w:rPr>
          <w:bCs/>
          <w:b/>
        </w:rPr>
        <w:t xml:space="preserve">Phase 2: Introduce Enterprise Tier (Months 4-6):</w:t>
      </w:r>
      <w:r>
        <w:t xml:space="preserve"> </w:t>
      </w:r>
      <w:r>
        <w:t xml:space="preserve">Begin targeted outreach to enterprise customers, using the data from Phase 1 to build a strong business case for the value of the AI Secretary at scale.</w:t>
      </w:r>
    </w:p>
    <w:p>
      <w:pPr>
        <w:numPr>
          <w:ilvl w:val="0"/>
          <w:numId w:val="1009"/>
        </w:numPr>
        <w:pStyle w:val="Compact"/>
      </w:pPr>
      <w:r>
        <w:rPr>
          <w:bCs/>
          <w:b/>
        </w:rPr>
        <w:t xml:space="preserve">Phase 3: Ongoing Optimization (Month 7+):</w:t>
      </w:r>
      <w:r>
        <w:t xml:space="preserve"> </w:t>
      </w:r>
      <w:r>
        <w:t xml:space="preserve">Continuously monitor key pricing metrics, including customer lifetime value (LTV), customer acquisition cost (CAC), and churn. Conduct A/B testing of pricing points and feature bundles to fine-tune the model.</w:t>
      </w:r>
    </w:p>
    <w:bookmarkEnd w:id="28"/>
    <w:bookmarkStart w:id="29" w:name="risk-assessment-and-contingency-planning"/>
    <w:p>
      <w:pPr>
        <w:pStyle w:val="Heading2"/>
      </w:pPr>
      <w:r>
        <w:t xml:space="preserve">6. Risk Assessment and Contingency Planning</w:t>
      </w:r>
    </w:p>
    <w:p>
      <w:pPr>
        <w:pStyle w:val="FirstParagraph"/>
      </w:pPr>
      <w:r>
        <w:rPr>
          <w:bCs/>
          <w:b/>
        </w:rPr>
        <w:t xml:space="preserve">Risk: Market Pushback on Premium Pricing</w:t>
      </w:r>
      <w:r>
        <w:t xml:space="preserve"> </w:t>
      </w:r>
      <w:r>
        <w:t xml:space="preserve">*</w:t>
      </w:r>
      <w:r>
        <w:t xml:space="preserve"> </w:t>
      </w:r>
      <w:r>
        <w:rPr>
          <w:bCs/>
          <w:b/>
        </w:rPr>
        <w:t xml:space="preserve">Mitigation:</w:t>
      </w:r>
      <w:r>
        <w:t xml:space="preserve"> </w:t>
      </w:r>
      <w:r>
        <w:t xml:space="preserve">The marketing and sales messaging must be laser-focused on the exceptional ROI and value proposition. A robust library of case studies and customer testimonials will be critical to substantiating the pricing.</w:t>
      </w:r>
    </w:p>
    <w:p>
      <w:pPr>
        <w:pStyle w:val="BodyText"/>
      </w:pPr>
      <w:r>
        <w:rPr>
          <w:bCs/>
          <w:b/>
        </w:rPr>
        <w:t xml:space="preserve">Risk: Competitive Response</w:t>
      </w:r>
      <w:r>
        <w:t xml:space="preserve"> </w:t>
      </w:r>
      <w:r>
        <w:t xml:space="preserve">*</w:t>
      </w:r>
      <w:r>
        <w:t xml:space="preserve"> </w:t>
      </w:r>
      <w:r>
        <w:rPr>
          <w:bCs/>
          <w:b/>
        </w:rPr>
        <w:t xml:space="preserve">Mitigation:</w:t>
      </w:r>
      <w:r>
        <w:t xml:space="preserve"> </w:t>
      </w:r>
      <w:r>
        <w:t xml:space="preserve">Continuously innovate and enhance the AI Secretary’s feature set to maintain a competitive advantage. The deep integration and workflow automation capabilities will be key differentiators that are difficult for competitors to replicate quickly.</w:t>
      </w:r>
    </w:p>
    <w:p>
      <w:pPr>
        <w:pStyle w:val="BodyText"/>
      </w:pPr>
      <w:r>
        <w:rPr>
          <w:bCs/>
          <w:b/>
        </w:rPr>
        <w:t xml:space="preserve">Risk: Slower than Expected Adoption</w:t>
      </w:r>
      <w:r>
        <w:t xml:space="preserve"> </w:t>
      </w:r>
      <w:r>
        <w:t xml:space="preserve">*</w:t>
      </w:r>
      <w:r>
        <w:t xml:space="preserve"> </w:t>
      </w:r>
      <w:r>
        <w:rPr>
          <w:bCs/>
          <w:b/>
        </w:rPr>
        <w:t xml:space="preserve">Mitigation:</w:t>
      </w:r>
      <w:r>
        <w:t xml:space="preserve"> </w:t>
      </w:r>
      <w:r>
        <w:t xml:space="preserve">A freemium or trial offering can be used to lower the barrier to entry and allow users to experience the value of the AI Secretary firsthand before committing to a paid plan.</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2025-09-15T07:01:55Z</dcterms:created>
  <dcterms:modified xsi:type="dcterms:W3CDTF">2025-09-15T07:01:55Z</dcterms:modified>
</cp:coreProperties>
</file>

<file path=docProps/custom.xml><?xml version="1.0" encoding="utf-8"?>
<Properties xmlns="http://schemas.openxmlformats.org/officeDocument/2006/custom-properties" xmlns:vt="http://schemas.openxmlformats.org/officeDocument/2006/docPropsVTypes"/>
</file>