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9"/>
    <w:sdt>
      <w:sdtPr>
        <w:rPr>
          <w:rFonts w:ascii="Times New Roman" w:eastAsia="Calibri" w:hAnsi="Times New Roman" w:cs="Times New Roman"/>
          <w:noProof/>
          <w:lang w:eastAsia="en-US"/>
        </w:rPr>
        <w:id w:val="-1032565893"/>
        <w:picture/>
      </w:sdtPr>
      <w:sdtContent>
        <w:p w14:paraId="19CB068B" w14:textId="6E887D88" w:rsidR="00CC743D" w:rsidRPr="004367A5" w:rsidRDefault="00CC743D" w:rsidP="00CC743D">
          <w:pPr>
            <w:spacing w:before="100" w:beforeAutospacing="1" w:after="100" w:afterAutospacing="1" w:line="360" w:lineRule="auto"/>
            <w:jc w:val="center"/>
            <w:rPr>
              <w:rFonts w:ascii="Times New Roman" w:eastAsia="Calibri" w:hAnsi="Times New Roman" w:cs="Times New Roman"/>
              <w:lang w:eastAsia="en-US"/>
            </w:rPr>
          </w:pPr>
          <w:r w:rsidRPr="004367A5">
            <w:rPr>
              <w:rFonts w:ascii="Times New Roman" w:eastAsia="Calibri" w:hAnsi="Times New Roman" w:cs="Times New Roman"/>
              <w:noProof/>
              <w:lang w:eastAsia="en-US"/>
            </w:rPr>
            <w:drawing>
              <wp:inline distT="0" distB="0" distL="0" distR="0" wp14:anchorId="0544AD3E" wp14:editId="2AC6004D">
                <wp:extent cx="5734050" cy="4910455"/>
                <wp:effectExtent l="19050" t="19050" r="19050" b="23495"/>
                <wp:docPr id="15467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2122" name=""/>
                        <pic:cNvPicPr/>
                      </pic:nvPicPr>
                      <pic:blipFill>
                        <a:blip r:embed="rId11"/>
                        <a:stretch>
                          <a:fillRect/>
                        </a:stretch>
                      </pic:blipFill>
                      <pic:spPr>
                        <a:xfrm>
                          <a:off x="0" y="0"/>
                          <a:ext cx="5734050" cy="491045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361814611"/>
        <w:picture/>
      </w:sdtPr>
      <w:sdtContent>
        <w:p w14:paraId="215E6BAF" w14:textId="328FE9B1" w:rsidR="002A775F" w:rsidRPr="004367A5" w:rsidRDefault="002A775F" w:rsidP="002A775F">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56050B0F" wp14:editId="557EB46C">
                <wp:extent cx="5201879" cy="4934748"/>
                <wp:effectExtent l="19050" t="19050" r="18415" b="18415"/>
                <wp:docPr id="752453988" name="Picture 75245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um Key Exchange.jpg"/>
                        <pic:cNvPicPr/>
                      </pic:nvPicPr>
                      <pic:blipFill rotWithShape="1">
                        <a:blip r:embed="rId12"/>
                        <a:srcRect l="6471" r="7457"/>
                        <a:stretch>
                          <a:fillRect/>
                        </a:stretch>
                      </pic:blipFill>
                      <pic:spPr bwMode="auto">
                        <a:xfrm>
                          <a:off x="0" y="0"/>
                          <a:ext cx="5219787" cy="4951736"/>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dtContent>
    </w:sdt>
    <w:sdt>
      <w:sdtPr>
        <w:rPr>
          <w:rFonts w:ascii="Times New Roman" w:hAnsi="Times New Roman" w:cs="Times New Roman"/>
          <w:noProof/>
        </w:rPr>
        <w:id w:val="-1667779573"/>
        <w:picture/>
      </w:sdtPr>
      <w:sdtContent>
        <w:p w14:paraId="5DF2CD85" w14:textId="12442B34" w:rsidR="005569FA" w:rsidRPr="004367A5" w:rsidRDefault="005569FA" w:rsidP="005569FA">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5C3A2E13" wp14:editId="3F0673FB">
                <wp:extent cx="5120640" cy="2793076"/>
                <wp:effectExtent l="19050" t="19050" r="22860" b="26670"/>
                <wp:docPr id="1448619581" name="Picture 144861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QC SSL Handshake.png"/>
                        <pic:cNvPicPr/>
                      </pic:nvPicPr>
                      <pic:blipFill>
                        <a:blip r:embed="rId13"/>
                        <a:stretch>
                          <a:fillRect/>
                        </a:stretch>
                      </pic:blipFill>
                      <pic:spPr>
                        <a:xfrm>
                          <a:off x="0" y="0"/>
                          <a:ext cx="5120640" cy="2793076"/>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525091640"/>
        <w:picture/>
      </w:sdtPr>
      <w:sdtContent>
        <w:p w14:paraId="053F623A" w14:textId="2074CB51" w:rsidR="008024C3" w:rsidRPr="004367A5" w:rsidRDefault="008024C3" w:rsidP="008024C3">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3BA8A3B0" wp14:editId="0CFF930D">
                <wp:extent cx="5734050" cy="4439285"/>
                <wp:effectExtent l="19050" t="19050" r="19050" b="18415"/>
                <wp:docPr id="85328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7066" name=""/>
                        <pic:cNvPicPr/>
                      </pic:nvPicPr>
                      <pic:blipFill>
                        <a:blip r:embed="rId14">
                          <a:extLst>
                            <a:ext uri="{BEBA8EAE-BF5A-486C-A8C5-ECC9F3942E4B}">
                              <a14:imgProps xmlns:a14="http://schemas.microsoft.com/office/drawing/2010/main">
                                <a14:imgLayer r:embed="rId15">
                                  <a14:imgEffect>
                                    <a14:sharpenSoften amount="20000"/>
                                  </a14:imgEffect>
                                </a14:imgLayer>
                              </a14:imgProps>
                            </a:ext>
                          </a:extLst>
                        </a:blip>
                        <a:stretch>
                          <a:fillRect/>
                        </a:stretch>
                      </pic:blipFill>
                      <pic:spPr>
                        <a:xfrm>
                          <a:off x="0" y="0"/>
                          <a:ext cx="5734050" cy="443928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568492668"/>
        <w:picture/>
      </w:sdtPr>
      <w:sdtContent>
        <w:p w14:paraId="36D19B1A" w14:textId="096F601A" w:rsidR="00DA7955" w:rsidRPr="000E3B46" w:rsidRDefault="00DA7955" w:rsidP="00DA7955">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10C66D9C" wp14:editId="094365C8">
                <wp:extent cx="5734050" cy="3454299"/>
                <wp:effectExtent l="19050" t="19050" r="19050" b="13335"/>
                <wp:docPr id="7864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86104" name=""/>
                        <pic:cNvPicPr/>
                      </pic:nvPicPr>
                      <pic:blipFill>
                        <a:blip r:embed="rId16">
                          <a:extLst>
                            <a:ext uri="{BEBA8EAE-BF5A-486C-A8C5-ECC9F3942E4B}">
                              <a14:imgProps xmlns:a14="http://schemas.microsoft.com/office/drawing/2010/main">
                                <a14:imgLayer r:embed="rId17">
                                  <a14:imgEffect>
                                    <a14:sharpenSoften amount="6000"/>
                                  </a14:imgEffect>
                                </a14:imgLayer>
                              </a14:imgProps>
                            </a:ext>
                          </a:extLst>
                        </a:blip>
                        <a:stretch>
                          <a:fillRect/>
                        </a:stretch>
                      </pic:blipFill>
                      <pic:spPr>
                        <a:xfrm>
                          <a:off x="0" y="0"/>
                          <a:ext cx="5734050" cy="3454299"/>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273682419"/>
        <w:picture/>
      </w:sdtPr>
      <w:sdtContent>
        <w:p w14:paraId="7DAE94B7" w14:textId="516BAA42" w:rsidR="005A0E0B" w:rsidRPr="004367A5" w:rsidRDefault="005A0E0B" w:rsidP="009413F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2A6F7541" wp14:editId="62CA0255">
                <wp:extent cx="5734050" cy="3608705"/>
                <wp:effectExtent l="19050" t="19050" r="19050" b="10795"/>
                <wp:docPr id="5237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7078" name=""/>
                        <pic:cNvPicPr/>
                      </pic:nvPicPr>
                      <pic:blipFill>
                        <a:blip r:embed="rId18"/>
                        <a:stretch>
                          <a:fillRect/>
                        </a:stretch>
                      </pic:blipFill>
                      <pic:spPr>
                        <a:xfrm>
                          <a:off x="0" y="0"/>
                          <a:ext cx="5734050" cy="360870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237667228"/>
        <w:picture/>
      </w:sdtPr>
      <w:sdtContent>
        <w:p w14:paraId="042F63BE" w14:textId="6C09910E" w:rsidR="00FF548D" w:rsidRPr="004367A5" w:rsidRDefault="00FF548D" w:rsidP="00FF548D">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460EB9B3" wp14:editId="3DF6EC5B">
                <wp:extent cx="5010150" cy="3674665"/>
                <wp:effectExtent l="19050" t="19050" r="19050" b="21590"/>
                <wp:docPr id="14000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023" name=""/>
                        <pic:cNvPicPr/>
                      </pic:nvPicPr>
                      <pic:blipFill>
                        <a:blip r:embed="rId19"/>
                        <a:stretch>
                          <a:fillRect/>
                        </a:stretch>
                      </pic:blipFill>
                      <pic:spPr>
                        <a:xfrm>
                          <a:off x="0" y="0"/>
                          <a:ext cx="5016394" cy="367924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354623127"/>
        <w:picture/>
      </w:sdtPr>
      <w:sdtContent>
        <w:p w14:paraId="24E0C9B7" w14:textId="100A50A6" w:rsidR="00AF0360" w:rsidRPr="004367A5" w:rsidRDefault="00AF0360" w:rsidP="00AF0360">
          <w:pPr>
            <w:spacing w:before="100" w:beforeAutospacing="1" w:after="100" w:afterAutospacing="1" w:line="360" w:lineRule="auto"/>
            <w:jc w:val="center"/>
            <w:rPr>
              <w:rFonts w:ascii="Times New Roman" w:hAnsi="Times New Roman" w:cs="Times New Roman"/>
              <w:noProof/>
            </w:rPr>
          </w:pPr>
          <w:r w:rsidRPr="004367A5">
            <w:rPr>
              <w:rFonts w:ascii="Times New Roman" w:hAnsi="Times New Roman" w:cs="Times New Roman"/>
              <w:noProof/>
            </w:rPr>
            <w:drawing>
              <wp:inline distT="0" distB="0" distL="0" distR="0" wp14:anchorId="76C4A5E0" wp14:editId="785EF8D1">
                <wp:extent cx="5734050" cy="2066290"/>
                <wp:effectExtent l="0" t="0" r="0" b="0"/>
                <wp:docPr id="98028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4197" name="Picture 980284197"/>
                        <pic:cNvPicPr/>
                      </pic:nvPicPr>
                      <pic:blipFill>
                        <a:blip r:embed="rId20">
                          <a:duotone>
                            <a:schemeClr val="accent1">
                              <a:shade val="45000"/>
                              <a:satMod val="135000"/>
                            </a:schemeClr>
                            <a:prstClr val="white"/>
                          </a:duotone>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4050" cy="2066290"/>
                        </a:xfrm>
                        <a:prstGeom prst="rect">
                          <a:avLst/>
                        </a:prstGeom>
                      </pic:spPr>
                    </pic:pic>
                  </a:graphicData>
                </a:graphic>
              </wp:inline>
            </w:drawing>
          </w:r>
        </w:p>
      </w:sdtContent>
    </w:sdt>
    <w:sdt>
      <w:sdtPr>
        <w:rPr>
          <w:rFonts w:ascii="Times New Roman" w:hAnsi="Times New Roman" w:cs="Times New Roman"/>
          <w:noProof/>
        </w:rPr>
        <w:id w:val="-525409256"/>
        <w:picture/>
      </w:sdtPr>
      <w:sdtContent>
        <w:p w14:paraId="12E8191D" w14:textId="03D9564D" w:rsidR="00AC5FB2" w:rsidRDefault="00AC5FB2" w:rsidP="009C0765">
          <w:pPr>
            <w:spacing w:before="100" w:beforeAutospacing="1" w:after="100" w:afterAutospacing="1" w:line="360" w:lineRule="auto"/>
            <w:jc w:val="center"/>
            <w:rPr>
              <w:rFonts w:ascii="Times New Roman" w:hAnsi="Times New Roman" w:cs="Times New Roman"/>
              <w:noProof/>
            </w:rPr>
          </w:pPr>
          <w:r w:rsidRPr="004367A5">
            <w:rPr>
              <w:rFonts w:ascii="Times New Roman" w:hAnsi="Times New Roman" w:cs="Times New Roman"/>
              <w:noProof/>
            </w:rPr>
            <w:drawing>
              <wp:inline distT="0" distB="0" distL="0" distR="0" wp14:anchorId="43D08B8F" wp14:editId="69D5A35D">
                <wp:extent cx="5196840" cy="3240688"/>
                <wp:effectExtent l="19050" t="19050" r="22860" b="17145"/>
                <wp:docPr id="741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772" name=""/>
                        <pic:cNvPicPr/>
                      </pic:nvPicPr>
                      <pic:blipFill>
                        <a:blip r:embed="rId22"/>
                        <a:stretch>
                          <a:fillRect/>
                        </a:stretch>
                      </pic:blipFill>
                      <pic:spPr>
                        <a:xfrm>
                          <a:off x="0" y="0"/>
                          <a:ext cx="5196840" cy="3240688"/>
                        </a:xfrm>
                        <a:prstGeom prst="rect">
                          <a:avLst/>
                        </a:prstGeom>
                        <a:ln>
                          <a:solidFill>
                            <a:schemeClr val="accent1"/>
                          </a:solidFill>
                        </a:ln>
                      </pic:spPr>
                    </pic:pic>
                  </a:graphicData>
                </a:graphic>
              </wp:inline>
            </w:drawing>
          </w:r>
        </w:p>
      </w:sdtContent>
    </w:sdt>
    <w:sdt>
      <w:sdtPr>
        <w:rPr>
          <w:rFonts w:ascii="Times New Roman" w:hAnsi="Times New Roman" w:cs="Times New Roman"/>
          <w:iCs/>
          <w:noProof/>
        </w:rPr>
        <w:id w:val="-1038199016"/>
        <w:picture/>
      </w:sdtPr>
      <w:sdtContent>
        <w:p w14:paraId="1CE29275" w14:textId="7DC9CED5" w:rsidR="001A073D" w:rsidRPr="004367A5" w:rsidRDefault="001A073D" w:rsidP="001A073D">
          <w:pPr>
            <w:spacing w:before="100" w:beforeAutospacing="1" w:after="100" w:afterAutospacing="1" w:line="360" w:lineRule="auto"/>
            <w:jc w:val="center"/>
            <w:rPr>
              <w:rFonts w:ascii="Times New Roman" w:hAnsi="Times New Roman" w:cs="Times New Roman"/>
            </w:rPr>
          </w:pPr>
          <w:r w:rsidRPr="001A073D">
            <w:rPr>
              <w:rFonts w:ascii="Times New Roman" w:hAnsi="Times New Roman" w:cs="Times New Roman"/>
              <w:iCs/>
              <w:noProof/>
            </w:rPr>
            <w:drawing>
              <wp:inline distT="0" distB="0" distL="0" distR="0" wp14:anchorId="4210CCBF" wp14:editId="05EFFF93">
                <wp:extent cx="2626908" cy="2899410"/>
                <wp:effectExtent l="19050" t="19050" r="21590" b="15240"/>
                <wp:docPr id="1329824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4431" name="Picture 1329824431"/>
                        <pic:cNvPicPr/>
                      </pic:nvPicPr>
                      <pic:blipFill>
                        <a:blip r:embed="rId23">
                          <a:extLst>
                            <a:ext uri="{28A0092B-C50C-407E-A947-70E740481C1C}">
                              <a14:useLocalDpi xmlns:a14="http://schemas.microsoft.com/office/drawing/2010/main" val="0"/>
                            </a:ext>
                          </a:extLst>
                        </a:blip>
                        <a:stretch>
                          <a:fillRect/>
                        </a:stretch>
                      </pic:blipFill>
                      <pic:spPr>
                        <a:xfrm>
                          <a:off x="0" y="0"/>
                          <a:ext cx="2656267" cy="293181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372836529"/>
        <w:picture/>
      </w:sdtPr>
      <w:sdtContent>
        <w:p w14:paraId="34C5FBD0" w14:textId="451D8BBD" w:rsidR="002359EC" w:rsidRPr="004367A5" w:rsidRDefault="002359EC" w:rsidP="002359E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1986BE16" wp14:editId="5ED4E9DA">
                <wp:extent cx="5486400" cy="3206750"/>
                <wp:effectExtent l="19050" t="19050" r="19050" b="12700"/>
                <wp:docPr id="48147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4836" name=""/>
                        <pic:cNvPicPr/>
                      </pic:nvPicPr>
                      <pic:blipFill>
                        <a:blip r:embed="rId24"/>
                        <a:stretch>
                          <a:fillRect/>
                        </a:stretch>
                      </pic:blipFill>
                      <pic:spPr>
                        <a:xfrm>
                          <a:off x="0" y="0"/>
                          <a:ext cx="5541345" cy="323886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517624359"/>
        <w:picture/>
      </w:sdtPr>
      <w:sdtContent>
        <w:p w14:paraId="7D5D5550" w14:textId="490409F3" w:rsidR="00C771F6" w:rsidRPr="004367A5" w:rsidRDefault="00C771F6" w:rsidP="009413F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3AFE89DE" wp14:editId="3200764D">
                <wp:extent cx="5734050" cy="2172970"/>
                <wp:effectExtent l="0" t="0" r="0" b="0"/>
                <wp:docPr id="1918841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1580" name="Picture 1918841580"/>
                        <pic:cNvPicPr/>
                      </pic:nvPicPr>
                      <pic:blipFill>
                        <a:blip r:embed="rId25">
                          <a:duotone>
                            <a:schemeClr val="accent1">
                              <a:shade val="45000"/>
                              <a:satMod val="135000"/>
                            </a:schemeClr>
                            <a:prstClr val="white"/>
                          </a:duotone>
                          <a:extLst>
                            <a:ext uri="{BEBA8EAE-BF5A-486C-A8C5-ECC9F3942E4B}">
                              <a14:imgProps xmlns:a14="http://schemas.microsoft.com/office/drawing/2010/main">
                                <a14:imgLayer r:embed="rId26">
                                  <a14:imgEffect>
                                    <a14:sharpenSoften amount="42000"/>
                                  </a14:imgEffect>
                                </a14:imgLayer>
                              </a14:imgProps>
                            </a:ext>
                            <a:ext uri="{28A0092B-C50C-407E-A947-70E740481C1C}">
                              <a14:useLocalDpi xmlns:a14="http://schemas.microsoft.com/office/drawing/2010/main" val="0"/>
                            </a:ext>
                          </a:extLst>
                        </a:blip>
                        <a:stretch>
                          <a:fillRect/>
                        </a:stretch>
                      </pic:blipFill>
                      <pic:spPr>
                        <a:xfrm>
                          <a:off x="0" y="0"/>
                          <a:ext cx="5734050" cy="2172970"/>
                        </a:xfrm>
                        <a:prstGeom prst="rect">
                          <a:avLst/>
                        </a:prstGeom>
                      </pic:spPr>
                    </pic:pic>
                  </a:graphicData>
                </a:graphic>
              </wp:inline>
            </w:drawing>
          </w:r>
        </w:p>
      </w:sdtContent>
    </w:sdt>
    <w:bookmarkStart w:id="42" w:name="_Toc238899081" w:displacedByCustomXml="next"/>
    <w:bookmarkStart w:id="43" w:name="_Toc165638434" w:displacedByCustomXml="next"/>
    <w:sdt>
      <w:sdtPr>
        <w:rPr>
          <w:rFonts w:ascii="Times New Roman" w:eastAsiaTheme="minorEastAsia" w:hAnsi="Times New Roman" w:cs="Times New Roman"/>
          <w:color w:val="auto"/>
          <w:sz w:val="24"/>
          <w:szCs w:val="24"/>
          <w:lang w:eastAsia="en-GB"/>
        </w:rPr>
        <w:id w:val="1758094010"/>
        <w:docPartObj>
          <w:docPartGallery w:val="Bibliographies"/>
          <w:docPartUnique/>
        </w:docPartObj>
      </w:sdtPr>
      <w:sdtContent>
        <w:sdt>
          <w:sdtPr>
            <w:rPr>
              <w:rFonts w:ascii="Times New Roman" w:eastAsiaTheme="minorEastAsia" w:hAnsi="Times New Roman" w:cs="Times New Roman"/>
              <w:color w:val="auto"/>
              <w:sz w:val="24"/>
              <w:szCs w:val="24"/>
              <w:lang w:eastAsia="en-GB"/>
            </w:rPr>
            <w:id w:val="919756700"/>
            <w:docPartObj>
              <w:docPartGallery w:val="Bibliographies"/>
              <w:docPartUnique/>
            </w:docPartObj>
          </w:sdtPr>
          <w:sdtContent>
            <w:bookmarkEnd w:id="43" w:displacedByCustomXml="next"/>
            <w:sdt>
              <w:sdtPr>
                <w:rPr>
                  <w:rFonts w:ascii="Times New Roman" w:eastAsiaTheme="minorEastAsia" w:hAnsi="Times New Roman" w:cs="Times New Roman"/>
                  <w:color w:val="auto"/>
                  <w:sz w:val="24"/>
                  <w:szCs w:val="24"/>
                  <w:lang w:eastAsia="en-GB"/>
                </w:rPr>
                <w:id w:val="111145805"/>
                <w:bibliography/>
              </w:sdtPr>
              <w:sdtContent>
                <w:sdt>
                  <w:sdtPr>
                    <w:rPr>
                      <w:rFonts w:ascii="Times New Roman" w:eastAsiaTheme="minorEastAsia" w:hAnsi="Times New Roman" w:cs="Times New Roman"/>
                      <w:color w:val="auto"/>
                      <w:sz w:val="24"/>
                      <w:szCs w:val="24"/>
                      <w:lang w:eastAsia="en-GB"/>
                    </w:rPr>
                    <w:id w:val="-1357656876"/>
                    <w:bibliography/>
                  </w:sdtPr>
                  <w:sdtContent>
                    <w:p w14:paraId="7D4638DC" w14:textId="732C1773" w:rsidR="002673D4" w:rsidRPr="006B43A8" w:rsidRDefault="00000000" w:rsidP="00FF3CA3">
                      <w:pPr>
                        <w:pStyle w:val="Heading1"/>
                        <w:spacing w:before="100" w:beforeAutospacing="1" w:after="100" w:afterAutospacing="1" w:line="360" w:lineRule="auto"/>
                        <w:jc w:val="both"/>
                        <w:rPr>
                          <w:rFonts w:ascii="Times New Roman" w:hAnsi="Times New Roman" w:cs="Times New Roman"/>
                          <w:b/>
                          <w:bCs/>
                          <w:color w:val="auto"/>
                          <w:sz w:val="24"/>
                          <w:szCs w:val="24"/>
                        </w:rPr>
                      </w:pPr>
                      <w:r w:rsidRPr="006B43A8">
                        <w:rPr>
                          <w:rFonts w:ascii="Times New Roman" w:hAnsi="Times New Roman" w:cs="Times New Roman"/>
                          <w:b/>
                          <w:bCs/>
                          <w:color w:val="auto"/>
                          <w:sz w:val="24"/>
                          <w:szCs w:val="24"/>
                        </w:rPr>
                        <w:t>Bibliography</w:t>
                      </w:r>
                      <w:bookmarkEnd w:id="42"/>
                    </w:p>
                    <w:p w14:paraId="0CD7D3E1"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 Anonymous, "Quantum-Resilient Infrastructure: Migrating US Financial Payment System to Post-Quantum Cryptography (PQC) Standards to Prevent 'Harvest Now, Decrypt Later' Attacks," Int. J. </w:t>
                      </w:r>
                      <w:proofErr w:type="spellStart"/>
                      <w:r w:rsidRPr="00CB1EDA">
                        <w:rPr>
                          <w:rFonts w:ascii="Times New Roman" w:hAnsi="Times New Roman" w:cs="Times New Roman"/>
                        </w:rPr>
                        <w:t>Comput</w:t>
                      </w:r>
                      <w:proofErr w:type="spellEnd"/>
                      <w:r w:rsidRPr="00CB1EDA">
                        <w:rPr>
                          <w:rFonts w:ascii="Times New Roman" w:hAnsi="Times New Roman" w:cs="Times New Roman"/>
                        </w:rPr>
                        <w:t>. Appl. Technol. Res., vol. 13, no. 12, pp. 1016–1025, Jan. 2026.</w:t>
                      </w:r>
                    </w:p>
                    <w:p w14:paraId="4EE8201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[2] D. Kumar, "Quantum-Safe Key Exchange in Legacy Banking Systems," IEEE Trans. Dependable Secure </w:t>
                      </w:r>
                      <w:proofErr w:type="spellStart"/>
                      <w:r w:rsidRPr="00CB1EDA">
                        <w:rPr>
                          <w:rFonts w:ascii="Times New Roman" w:hAnsi="Times New Roman" w:cs="Times New Roman"/>
                        </w:rPr>
                        <w:t>Comput</w:t>
                      </w:r>
                      <w:proofErr w:type="spellEnd"/>
                      <w:r w:rsidRPr="00CB1EDA">
                        <w:rPr>
                          <w:rFonts w:ascii="Times New Roman" w:hAnsi="Times New Roman" w:cs="Times New Roman"/>
                        </w:rPr>
                        <w:t>., vol. 21, no. 2, pp. 1012–1025, Apr. 2024.</w:t>
                      </w:r>
                    </w:p>
                    <w:p w14:paraId="3A2361BA"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[3] T. O. </w:t>
                      </w:r>
                      <w:proofErr w:type="spellStart"/>
                      <w:r w:rsidRPr="00CB1EDA">
                        <w:rPr>
                          <w:rFonts w:ascii="Times New Roman" w:hAnsi="Times New Roman" w:cs="Times New Roman"/>
                        </w:rPr>
                        <w:t>Ogundola</w:t>
                      </w:r>
                      <w:proofErr w:type="spellEnd"/>
                      <w:r w:rsidRPr="00CB1EDA">
                        <w:rPr>
                          <w:rFonts w:ascii="Times New Roman" w:hAnsi="Times New Roman" w:cs="Times New Roman"/>
                        </w:rPr>
                        <w:t>, "Post-Quantum Cryptography for Secure Banking Transactions," Int. J. Sci. Res. Mod. Technol., vol. 4, no. 6, pp. 40–42, Jul. 2025.</w:t>
                      </w:r>
                    </w:p>
                    <w:p w14:paraId="7A68FAD4"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[4] N. Aquina, S. Rommel, and I. T. Monroy, "Quantum secure communication using hybrid post-quantum cryptography and quantum key distribution," in Proc. 24th Int. Conf. Transparent Optical Networks (ICTON), IEEE, 2024, pp. 1–4.</w:t>
                      </w:r>
                    </w:p>
                    <w:p w14:paraId="286B8430"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[5] T. L. </w:t>
                      </w:r>
                      <w:proofErr w:type="spellStart"/>
                      <w:r w:rsidRPr="00CB1EDA">
                        <w:rPr>
                          <w:rFonts w:ascii="Times New Roman" w:hAnsi="Times New Roman" w:cs="Times New Roman"/>
                        </w:rPr>
                        <w:t>Astrizi</w:t>
                      </w:r>
                      <w:proofErr w:type="spellEnd"/>
                      <w:r w:rsidRPr="00CB1EDA">
                        <w:rPr>
                          <w:rFonts w:ascii="Times New Roman" w:hAnsi="Times New Roman" w:cs="Times New Roman"/>
                        </w:rPr>
                        <w:t xml:space="preserve"> and R. Custódio, "Seamless transition to post-quantum TLS 1.3: A hybrid approach using identity-based encryption," Sensors, vol. 24, no. 22, Art. no. 7300, Nov. 2024.</w:t>
                      </w:r>
                    </w:p>
                    <w:p w14:paraId="3FBAF1F1"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[6] L. </w:t>
                      </w:r>
                      <w:proofErr w:type="spellStart"/>
                      <w:r w:rsidRPr="00CB1EDA">
                        <w:rPr>
                          <w:rFonts w:ascii="Times New Roman" w:hAnsi="Times New Roman" w:cs="Times New Roman"/>
                        </w:rPr>
                        <w:t>Bettale</w:t>
                      </w:r>
                      <w:proofErr w:type="spellEnd"/>
                      <w:r w:rsidRPr="00CB1EDA">
                        <w:rPr>
                          <w:rFonts w:ascii="Times New Roman" w:hAnsi="Times New Roman" w:cs="Times New Roman"/>
                        </w:rPr>
                        <w:t xml:space="preserve">, M. De Oliveira, and E. </w:t>
                      </w:r>
                      <w:proofErr w:type="spellStart"/>
                      <w:r w:rsidRPr="00CB1EDA">
                        <w:rPr>
                          <w:rFonts w:ascii="Times New Roman" w:hAnsi="Times New Roman" w:cs="Times New Roman"/>
                        </w:rPr>
                        <w:t>Dottax</w:t>
                      </w:r>
                      <w:proofErr w:type="spellEnd"/>
                      <w:r w:rsidRPr="00CB1EDA">
                        <w:rPr>
                          <w:rFonts w:ascii="Times New Roman" w:hAnsi="Times New Roman" w:cs="Times New Roman"/>
                        </w:rPr>
                        <w:t>, "Post-quantum protocols for banking applications," in Proc. 4th NIST Post-Quantum Cryptography Standardization Conf., 2022, pp. 1–18.</w:t>
                      </w:r>
                    </w:p>
                    <w:p w14:paraId="01E06F7D"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[7] S. V. K. Gummadi, "Post-quantum encryption for securing cross-border financial communications in regulated environments," Int. J. Multidisciplinary Res. Growth Eval., vol. 6, no. 4, pp. 1426–1433, Jul. 2025.</w:t>
                      </w:r>
                    </w:p>
                    <w:p w14:paraId="1A21C616"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[8] Mastercard, "Migration to post-quantum cryptography: Readiness assessment and economic impact for financial institutions," Tech. Whitepaper, Mastercard, Purchase, NY, USA, Jan. 2025.</w:t>
                      </w:r>
                    </w:p>
                    <w:p w14:paraId="1CB8EBE6"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[9] E. Patel, "Assessing the impact of Shor's algorithm on RSA/ECC in production PKI," IEEE Security &amp; Privacy, vol. 20, no. 3, pp. 78–85, May/Jun. 2023.</w:t>
                      </w:r>
                    </w:p>
                    <w:p w14:paraId="7D3E9FFB"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lastRenderedPageBreak/>
                        <w:t>[10] National Security Agency (NSA), "Commercial National Security Algorithm Suite 2.0 (CNSA 2.0) Cybersecurity Advisory," Cybersecurity Tech. Rep., Fort Meade, MD, USA, Sep. 2022.</w:t>
                      </w:r>
                    </w:p>
                    <w:p w14:paraId="668C60A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[11] F. Chen, "AES-256 resilience and bounds against Grover's algorithm in hardware modules," IEEE J. Emerging Sel. Topics Circuits Syst., vol. 15, no. 1, pp. 44–53, Jan. 2025.</w:t>
                      </w:r>
                    </w:p>
                    <w:p w14:paraId="32660732"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[12] J. A. Montenegro, R. Rios, and J. Lopez-Cerezo, "A performance evaluation framework for post-quantum TLS in enterprise infrastructures," Future Gener. </w:t>
                      </w:r>
                      <w:proofErr w:type="spellStart"/>
                      <w:r w:rsidRPr="00CB1EDA">
                        <w:rPr>
                          <w:rFonts w:ascii="Times New Roman" w:hAnsi="Times New Roman" w:cs="Times New Roman"/>
                        </w:rPr>
                        <w:t>Comput</w:t>
                      </w:r>
                      <w:proofErr w:type="spellEnd"/>
                      <w:r w:rsidRPr="00CB1EDA">
                        <w:rPr>
                          <w:rFonts w:ascii="Times New Roman" w:hAnsi="Times New Roman" w:cs="Times New Roman"/>
                        </w:rPr>
                        <w:t>. Syst., vol. 175, Art. no. 108062, Feb. 2026.</w:t>
                      </w:r>
                    </w:p>
                    <w:p w14:paraId="0F2ED90A"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[13] C. Rubio García, S. Rommel, S. </w:t>
                      </w:r>
                      <w:proofErr w:type="spellStart"/>
                      <w:r w:rsidRPr="00CB1EDA">
                        <w:rPr>
                          <w:rFonts w:ascii="Times New Roman" w:hAnsi="Times New Roman" w:cs="Times New Roman"/>
                        </w:rPr>
                        <w:t>Takarabt</w:t>
                      </w:r>
                      <w:proofErr w:type="spellEnd"/>
                      <w:r w:rsidRPr="00CB1EDA">
                        <w:rPr>
                          <w:rFonts w:ascii="Times New Roman" w:hAnsi="Times New Roman" w:cs="Times New Roman"/>
                        </w:rPr>
                        <w:t xml:space="preserve">, J. J. V. Olmos, S. Guilley, P. Nguyen, and I. T. Monroy, "Quantum-resistant transport layer security: Primitives and deployment models," </w:t>
                      </w:r>
                      <w:proofErr w:type="spellStart"/>
                      <w:r w:rsidRPr="00CB1EDA">
                        <w:rPr>
                          <w:rFonts w:ascii="Times New Roman" w:hAnsi="Times New Roman" w:cs="Times New Roman"/>
                        </w:rPr>
                        <w:t>Comput</w:t>
                      </w:r>
                      <w:proofErr w:type="spellEnd"/>
                      <w:r w:rsidRPr="00CB1EDA">
                        <w:rPr>
                          <w:rFonts w:ascii="Times New Roman" w:hAnsi="Times New Roman" w:cs="Times New Roman"/>
                        </w:rPr>
                        <w:t>. Commun., vol. 213, pp. 345–358, Jan. 2024.</w:t>
                      </w:r>
                    </w:p>
                    <w:p w14:paraId="1349203D"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[14] A. Smith, L. Wong, and M. Chen, "Benchmarking post-quantum cryptographic primitives for financial transaction latency," IEEE Access, vol. 9, pp. 12345–12356, 2022.</w:t>
                      </w:r>
                    </w:p>
                    <w:p w14:paraId="7766823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[15] T. Wiggers, "Post-quantum TLS and KEMTLS: Design and performance considerations," Ph.D. dissertation, Dept. </w:t>
                      </w:r>
                      <w:proofErr w:type="spellStart"/>
                      <w:r w:rsidRPr="00CB1EDA">
                        <w:rPr>
                          <w:rFonts w:ascii="Times New Roman" w:hAnsi="Times New Roman" w:cs="Times New Roman"/>
                        </w:rPr>
                        <w:t>Comput</w:t>
                      </w:r>
                      <w:proofErr w:type="spellEnd"/>
                      <w:r w:rsidRPr="00CB1EDA">
                        <w:rPr>
                          <w:rFonts w:ascii="Times New Roman" w:hAnsi="Times New Roman" w:cs="Times New Roman"/>
                        </w:rPr>
                        <w:t>. Sci., Radboud Univ., Nijmegen, Netherlands, 2024.</w:t>
                      </w:r>
                    </w:p>
                    <w:p w14:paraId="329DC7A7"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[16] F5 Labs, "The state of post-quantum cryptography on the web: Client adoption bottlenecks and proxy strategies," Threat Intelligence Rep., F5 Networks, Seattle, WA, USA, Nov. 2023.</w:t>
                      </w:r>
                    </w:p>
                    <w:p w14:paraId="6A01258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[17] IBM Quantum Team, "Simulating quantum cryptanalytic attacks on public-key cryptosystems using </w:t>
                      </w:r>
                      <w:proofErr w:type="spellStart"/>
                      <w:r w:rsidRPr="00CB1EDA">
                        <w:rPr>
                          <w:rFonts w:ascii="Times New Roman" w:hAnsi="Times New Roman" w:cs="Times New Roman"/>
                        </w:rPr>
                        <w:t>Qiskit</w:t>
                      </w:r>
                      <w:proofErr w:type="spellEnd"/>
                      <w:r w:rsidRPr="00CB1EDA">
                        <w:rPr>
                          <w:rFonts w:ascii="Times New Roman" w:hAnsi="Times New Roman" w:cs="Times New Roman"/>
                        </w:rPr>
                        <w:t>," Tech. Rep., IBM Research, Armonk, NY, USA, 2023.</w:t>
                      </w:r>
                    </w:p>
                    <w:p w14:paraId="4908F63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[18] National Institute of Standards and Technology, "Module-Lattice-Based Key-Encapsulation Mechanism Standard," FIPS Publication 203, U.S. Dept. of Commerce, Washington, DC, USA, Aug. 2024.</w:t>
                      </w:r>
                    </w:p>
                    <w:p w14:paraId="77DB98B0"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lastRenderedPageBreak/>
                        <w:t xml:space="preserve">[19] </w:t>
                      </w:r>
                      <w:proofErr w:type="spellStart"/>
                      <w:r w:rsidRPr="00CB1EDA">
                        <w:rPr>
                          <w:rFonts w:ascii="Times New Roman" w:hAnsi="Times New Roman" w:cs="Times New Roman"/>
                        </w:rPr>
                        <w:t>Utimaco</w:t>
                      </w:r>
                      <w:proofErr w:type="spellEnd"/>
                      <w:r w:rsidRPr="00CB1EDA">
                        <w:rPr>
                          <w:rFonts w:ascii="Times New Roman" w:hAnsi="Times New Roman" w:cs="Times New Roman"/>
                        </w:rPr>
                        <w:t>, "Post-quantum migration strategies for banking Hardware Security Modules (HSMs) and payment gateways," Tech. Rep., Aachen, Germany, 2022.</w:t>
                      </w:r>
                    </w:p>
                    <w:p w14:paraId="3E7D94EB"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[20] PCI Security Standards Council, "Payment Card Industry Data Security Standard (PCI DSS) Requirements and Testing Procedures v4.0.1," PCI SSC, Wakefield, MA, USA, Jun. 2024.</w:t>
                      </w:r>
                    </w:p>
                    <w:p w14:paraId="72C6D44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[21] International Organization for Standardization, "Information security, cybersecurity and privacy protection — Information security management systems — Requirements," ISO/IEC Standard 27001:2022, Geneva, Switzerland, Oct. 2022.</w:t>
                      </w:r>
                    </w:p>
                    <w:p w14:paraId="50CBCBD7"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[22] National Institute of Standards and Technology, "Guidelines for the Selection, Configuration, and Use of Transport Layer Security (TLS) Implementations," NIST Special Publication 800-52 Rev. 2, Gaithersburg, MD, USA, Aug. 2019.</w:t>
                      </w:r>
                    </w:p>
                    <w:p w14:paraId="3557DBBC"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[23] National Institute of Standards and Technology, "Module-Lattice-Based Digital Signature Standard," FIPS Publication 204, U.S. Dept. of Commerce, Washington, DC, USA, Aug. 2024.</w:t>
                      </w:r>
                    </w:p>
                    <w:p w14:paraId="0ED351AD" w14:textId="069592F8" w:rsidR="002673D4" w:rsidRPr="004367A5"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[24] B. Jones and C. Lee, "Hybrid TLS 1.3 with lattice-based KEMs: Security proofs and protocol integration," in Proc. IEEE Symp. Security Privacy (S&amp;P), 2023, pp. 215–229.</w:t>
                      </w:r>
                    </w:p>
                  </w:sdtContent>
                </w:sdt>
              </w:sdtContent>
            </w:sdt>
          </w:sdtContent>
        </w:sdt>
      </w:sdtContent>
    </w:sdt>
    <w:bookmarkEnd w:id="45"/>
    <w:p>
      <w:pPr>
        <w:jc w:val="center"/>
      </w:pPr>
      <w:r>
        <w:rPr>
          <w:rFonts w:ascii="Times New Roman" w:hAnsi="Times New Roman"/>
          <w:b/>
          <w:color w:val="003366"/>
          <w:sz w:val="32"/>
        </w:rPr>
        <w:t>REVA UNIVERSITY</w:t>
        <w:br/>
        <w:t>BENGALURU, INDIA</w:t>
        <w:br/>
      </w:r>
      <w:r>
        <w:rPr>
          <w:rFonts w:ascii="Times New Roman" w:hAnsi="Times New Roman"/>
          <w:b/>
          <w:color w:val="595959"/>
          <w:sz w:val="24"/>
        </w:rPr>
        <w:t>SCHOOL OF COMPUTING AND INFORMATION TECHNOLOGY</w:t>
        <w:br/>
        <w:t>DEPARTMENT OF CYBERSECURITY</w:t>
        <w:br/>
        <w:br/>
      </w:r>
      <w:r>
        <w:rPr>
          <w:rFonts w:ascii="Times New Roman" w:hAnsi="Times New Roman"/>
          <w:b/>
          <w:color w:val="C00000"/>
          <w:sz w:val="24"/>
        </w:rPr>
        <w:t>M.TECH CAPSTONE-2 FINAL TECHNICAL REPORT</w:t>
        <w:br/>
        <w:t>ACADEMIC YEAR 2025–2026</w:t>
        <w:br/>
        <w:br/>
      </w:r>
      <w:r>
        <w:rPr>
          <w:rFonts w:ascii="Times New Roman" w:hAnsi="Times New Roman"/>
          <w:b/>
          <w:color w:val="002060"/>
          <w:sz w:val="30"/>
        </w:rPr>
        <w:t>QUANTUM ATTACK RISK PROFILER AND MIGRATION PLANNER (QARP):</w:t>
        <w:br/>
        <w:t>STREAMING TELEMETRY PARSING, CRYPTOGRAPHIC BILL OF MATERIALS (CBOM), AUTOMATED PQC GAP ANALYSIS, AND DYNAMIC HARDWARE SIZING &amp; INFRASTRUCTURE CAPACITY PLANNING FOR BANKING SYSTEMS</w:t>
        <w:br/>
        <w:br/>
      </w:r>
      <w:r>
        <w:rPr>
          <w:rFonts w:ascii="Times New Roman" w:hAnsi="Times New Roman"/>
          <w:sz w:val="22"/>
        </w:rPr>
        <w:t>Submitted in partial fulfillment of the requirements for the award of the degree of</w:t>
        <w:br/>
        <w:t>MASTER OF TECHNOLOGY IN CYBERSECURITY</w:t>
        <w:br/>
        <w:br/>
      </w:r>
      <w:r>
        <w:rPr>
          <w:rFonts w:ascii="Times New Roman" w:hAnsi="Times New Roman"/>
          <w:sz w:val="23"/>
        </w:rPr>
        <w:t>Submitted by:</w:t>
        <w:br/>
        <w:t>ANIRBAN DASGUPTA (SRN: R24MTCYS013)</w:t>
        <w:br/>
        <w:t>Capstone Group: CS-13</w:t>
        <w:br/>
        <w:br/>
        <w:t>Under the Guidance of:</w:t>
        <w:br/>
        <w:t>FACULTY PROJECT SUPERVISOR</w:t>
        <w:br/>
        <w:t>Department of Cybersecurity, School of C&amp;IT</w:t>
        <w:br/>
        <w:t>REVA University, Bengaluru</w:t>
        <w:br/>
        <w:t>September 2026</w:t>
      </w:r>
    </w:p>
    <w:p>
      <w:r>
        <w:br w:type="page"/>
      </w:r>
    </w:p>
    <w:p>
      <w:pPr>
        <w:keepNext/>
        <w:spacing w:before="440" w:after="200"/>
        <w:jc w:val="center"/>
      </w:pPr>
      <w:r>
        <w:rPr>
          <w:rFonts w:ascii="Times New Roman" w:hAnsi="Times New Roman"/>
          <w:b/>
          <w:color w:val="002060"/>
          <w:sz w:val="28"/>
        </w:rPr>
        <w:t>Certificate of Originality</w:t>
      </w:r>
    </w:p>
    <w:p>
      <w:pPr>
        <w:spacing w:line="360" w:lineRule="auto" w:after="120"/>
        <w:jc w:val="both"/>
      </w:pPr>
      <w:r>
        <w:rPr>
          <w:rFonts w:ascii="Times New Roman" w:hAnsi="Times New Roman"/>
          <w:color w:val="202020"/>
          <w:sz w:val="24"/>
        </w:rPr>
        <w:t>This is to certify that the project report titled 'Quantum Attack Risk Profiler and Migration Planner (QARP): Streaming Telemetry Parsing, Cryptographic Bill of Materials (CBOM), Automated PQC Gap Analysis, and Dynamic Hardware Sizing &amp; Infrastructure Capacity Planning for Banking Systems' submitted by Anirban Dasgupta (SRN: R24MTCYS013) is a bona fide record of work carried out under my supervision in partial fulfillment of the requirements for the degree of Master of Technology in Cybersecurity at REVA University, Bengaluru.</w:t>
      </w:r>
    </w:p>
    <w:p>
      <w:pPr>
        <w:spacing w:line="360" w:lineRule="auto" w:after="120"/>
        <w:jc w:val="both"/>
      </w:pPr>
      <w:r>
        <w:rPr>
          <w:rFonts w:ascii="Times New Roman" w:hAnsi="Times New Roman"/>
          <w:color w:val="202020"/>
          <w:sz w:val="24"/>
        </w:rPr>
        <w:t>To the best of my knowledge, the work reported here does not form part of any other thesis or dissertation on the basis of which a degree was previously conferred.</w:t>
      </w:r>
    </w:p>
    <w:p>
      <w:pPr>
        <w:spacing w:line="360" w:lineRule="auto" w:after="120"/>
        <w:jc w:val="both"/>
      </w:pPr>
      <w:r>
        <w:rPr>
          <w:rFonts w:ascii="Times New Roman" w:hAnsi="Times New Roman"/>
          <w:color w:val="202020"/>
          <w:sz w:val="24"/>
        </w:rPr>
        <w:br/>
        <w:br/>
        <w:t>__________________________________</w:t>
        <w:br/>
        <w:t>Project Guide / Faculty Supervisor</w:t>
        <w:br/>
        <w:t>Department of Cybersecurity, School of C&amp;IT</w:t>
        <w:br/>
        <w:t>REVA University, Bengaluru</w:t>
      </w:r>
    </w:p>
    <w:p>
      <w:pPr>
        <w:spacing w:line="360" w:lineRule="auto" w:after="120"/>
        <w:jc w:val="both"/>
      </w:pPr>
      <w:r>
        <w:rPr>
          <w:rFonts w:ascii="Times New Roman" w:hAnsi="Times New Roman"/>
          <w:color w:val="202020"/>
          <w:sz w:val="24"/>
        </w:rPr>
        <w:br/>
        <w:t>__________________________________</w:t>
        <w:br/>
        <w:t>Head of the Department (HOD)</w:t>
        <w:br/>
        <w:t>School of Computing &amp; Information Technology</w:t>
        <w:br/>
        <w:t>REVA University, Bengaluru</w:t>
      </w:r>
    </w:p>
    <w:p>
      <w:r>
        <w:br w:type="page"/>
      </w:r>
    </w:p>
    <w:p>
      <w:pPr>
        <w:keepNext/>
        <w:spacing w:before="440" w:after="200"/>
        <w:jc w:val="center"/>
      </w:pPr>
      <w:r>
        <w:rPr>
          <w:rFonts w:ascii="Times New Roman" w:hAnsi="Times New Roman"/>
          <w:b/>
          <w:color w:val="002060"/>
          <w:sz w:val="28"/>
        </w:rPr>
        <w:t>Declaration</w:t>
      </w:r>
    </w:p>
    <w:p>
      <w:pPr>
        <w:spacing w:line="360" w:lineRule="auto" w:after="120"/>
        <w:jc w:val="both"/>
      </w:pPr>
      <w:r>
        <w:rPr>
          <w:rFonts w:ascii="Times New Roman" w:hAnsi="Times New Roman"/>
          <w:color w:val="202020"/>
          <w:sz w:val="24"/>
        </w:rPr>
        <w:t>I declare that this Capstone-2 report is my own original work. I conducted the research, designed the code, and wrote the document under the guidance of my project supervisor. All references, baseline codebases, and academic papers have been cited properly. This report has not been submitted anywhere else for any other degree.</w:t>
      </w:r>
    </w:p>
    <w:p>
      <w:pPr>
        <w:spacing w:line="360" w:lineRule="auto" w:after="120"/>
        <w:jc w:val="both"/>
      </w:pPr>
      <w:r>
        <w:rPr>
          <w:rFonts w:ascii="Times New Roman" w:hAnsi="Times New Roman"/>
          <w:color w:val="202020"/>
          <w:sz w:val="24"/>
        </w:rPr>
        <w:br/>
        <w:br/>
        <w:t>Anirban Dasgupta</w:t>
        <w:br/>
        <w:t>SRN: R24MTCYS013</w:t>
        <w:br/>
        <w:t>School of Computing and Information Technology</w:t>
        <w:br/>
        <w:t>REVA University, Bengaluru</w:t>
        <w:br/>
        <w:t>Date: September 06, 2026</w:t>
      </w:r>
    </w:p>
    <w:p>
      <w:r>
        <w:br w:type="page"/>
      </w:r>
    </w:p>
    <w:p>
      <w:pPr>
        <w:keepNext/>
        <w:spacing w:before="440" w:after="200"/>
        <w:jc w:val="center"/>
      </w:pPr>
      <w:r>
        <w:rPr>
          <w:rFonts w:ascii="Times New Roman" w:hAnsi="Times New Roman"/>
          <w:b/>
          <w:color w:val="002060"/>
          <w:sz w:val="28"/>
        </w:rPr>
        <w:t>Abstract</w:t>
      </w:r>
    </w:p>
    <w:p>
      <w:pPr>
        <w:spacing w:line="360" w:lineRule="auto" w:after="120"/>
        <w:jc w:val="both"/>
      </w:pPr>
      <w:r>
        <w:rPr>
          <w:rFonts w:ascii="Times New Roman" w:hAnsi="Times New Roman"/>
          <w:color w:val="202020"/>
          <w:sz w:val="24"/>
        </w:rPr>
        <w:t>Banks and financial institutions handle trillions of dollars every day. They rely heavily on encryption algorithms like RSA and Elliptic Curve Cryptography to protect customer balances, web logins, ATM transactions, and interbank transfers like SWIFT and RTGS. However, once cryptanalytically relevant quantum computers (CRQC) are built, algorithms like Shor's and Grover's will break these protections. Shor's algorithm completely breaks RSA and Elliptic Curves by solving prime factors and discrete logarithms in polynomial time. Grover's algorithm cuts the effective security of symmetric keys in half, which means 128-bit AES keys can be cracked by quantum brute-force search.</w:t>
      </w:r>
    </w:p>
    <w:p>
      <w:pPr>
        <w:spacing w:line="360" w:lineRule="auto" w:after="120"/>
        <w:jc w:val="both"/>
      </w:pPr>
      <w:r>
        <w:rPr>
          <w:rFonts w:ascii="Times New Roman" w:hAnsi="Times New Roman"/>
          <w:color w:val="202020"/>
          <w:sz w:val="24"/>
        </w:rPr>
        <w:t>To help financial institutions solve this challenge systematically, we developed the Quantum Attack Risk Profiler and Migration Planner (QARP). Our framework operates on a generic, platform-agnostic architecture applicable across on-premise datacenters, payment switches, and core banking backbones. First, it ingests raw streaming JSON logs from enterprise API gateways (NGINX, HAProxy, Envoy, Kong), ISO 20022 settlement messages (such as pacs.008), and passive network taps to extract transaction rates and active encryption ciphers in real time. Second, it automatically generates a CycloneDX 1.6 Cryptographic Bill of Materials (CBOM) and checks if each algorithm meets modern post-quantum standards like NIST FIPS 203, 204, and 205. Third, we conducted physical benchmarks on dedicated x86_64 enterprise server hardware using the Open Quantum Safe library (liboqs) with AVX-512 acceleration to measure execution latency, key sizes, and signature overheads. Fourth, we constructed a dynamic hardware sizing engine proving that standard static IT capacity models underestimate Hardware Security Module (HSM) appliance requirements by up to 522% at 10,000 transactions per second due to lattice signature rejection sampling and Ethernet MTU 1500-byte packet fragmentation.</w:t>
      </w:r>
    </w:p>
    <w:p>
      <w:r>
        <w:br w:type="page"/>
      </w:r>
    </w:p>
    <w:p>
      <w:pPr>
        <w:keepNext/>
        <w:spacing w:before="440" w:after="200"/>
        <w:jc w:val="center"/>
      </w:pPr>
      <w:r>
        <w:rPr>
          <w:rFonts w:ascii="Times New Roman" w:hAnsi="Times New Roman"/>
          <w:b/>
          <w:color w:val="002060"/>
          <w:sz w:val="28"/>
        </w:rPr>
        <w:t>Table of Contents</w:t>
      </w:r>
    </w:p>
    <w:p>
      <w:pPr>
        <w:spacing w:line="300" w:lineRule="auto" w:after="60"/>
      </w:pPr>
      <w:r>
        <w:rPr>
          <w:rFonts w:ascii="Times New Roman" w:hAnsi="Times New Roman"/>
          <w:sz w:val="22"/>
        </w:rPr>
        <w:t>Chapter 1: Introduction</w:t>
      </w:r>
      <w:r>
        <w:rPr>
          <w:rFonts w:ascii="Times New Roman" w:hAnsi="Times New Roman"/>
          <w:b/>
          <w:sz w:val="22"/>
        </w:rPr>
        <w:tab/>
        <w:t>1</w:t>
      </w:r>
    </w:p>
    <w:p>
      <w:pPr>
        <w:spacing w:line="300" w:lineRule="auto" w:after="60"/>
      </w:pPr>
      <w:r>
        <w:rPr>
          <w:rFonts w:ascii="Times New Roman" w:hAnsi="Times New Roman"/>
          <w:sz w:val="22"/>
        </w:rPr>
        <w:t>Chapter 2: Literature Review and Background</w:t>
      </w:r>
      <w:r>
        <w:rPr>
          <w:rFonts w:ascii="Times New Roman" w:hAnsi="Times New Roman"/>
          <w:b/>
          <w:sz w:val="22"/>
        </w:rPr>
        <w:tab/>
        <w:t>6</w:t>
      </w:r>
    </w:p>
    <w:p>
      <w:pPr>
        <w:spacing w:line="300" w:lineRule="auto" w:after="60"/>
      </w:pPr>
      <w:r>
        <w:rPr>
          <w:rFonts w:ascii="Times New Roman" w:hAnsi="Times New Roman"/>
          <w:sz w:val="22"/>
        </w:rPr>
        <w:t>Chapter 3: Problem Definition, Objectives and Methodology</w:t>
      </w:r>
      <w:r>
        <w:rPr>
          <w:rFonts w:ascii="Times New Roman" w:hAnsi="Times New Roman"/>
          <w:b/>
          <w:sz w:val="22"/>
        </w:rPr>
        <w:tab/>
        <w:t>12</w:t>
      </w:r>
    </w:p>
    <w:p>
      <w:pPr>
        <w:spacing w:line="300" w:lineRule="auto" w:after="60"/>
      </w:pPr>
      <w:r>
        <w:rPr>
          <w:rFonts w:ascii="Times New Roman" w:hAnsi="Times New Roman"/>
          <w:sz w:val="22"/>
        </w:rPr>
        <w:t>Chapter 4: Threat Modeling for Financial Institutions</w:t>
      </w:r>
      <w:r>
        <w:rPr>
          <w:rFonts w:ascii="Times New Roman" w:hAnsi="Times New Roman"/>
          <w:b/>
          <w:sz w:val="22"/>
        </w:rPr>
        <w:tab/>
        <w:t>18</w:t>
      </w:r>
    </w:p>
    <w:p>
      <w:pPr>
        <w:spacing w:line="300" w:lineRule="auto" w:after="60"/>
      </w:pPr>
      <w:r>
        <w:rPr>
          <w:rFonts w:ascii="Times New Roman" w:hAnsi="Times New Roman"/>
          <w:sz w:val="22"/>
        </w:rPr>
        <w:t>Chapter 5: Hardware Roots of Trust in Enterprise Banking</w:t>
      </w:r>
      <w:r>
        <w:rPr>
          <w:rFonts w:ascii="Times New Roman" w:hAnsi="Times New Roman"/>
          <w:b/>
          <w:sz w:val="22"/>
        </w:rPr>
        <w:tab/>
        <w:t>24</w:t>
      </w:r>
    </w:p>
    <w:p>
      <w:pPr>
        <w:spacing w:line="300" w:lineRule="auto" w:after="60"/>
      </w:pPr>
      <w:r>
        <w:rPr>
          <w:rFonts w:ascii="Times New Roman" w:hAnsi="Times New Roman"/>
          <w:sz w:val="22"/>
        </w:rPr>
        <w:t>Chapter 6: Cryptographic Inventory and PQC Compliance Matrix</w:t>
      </w:r>
      <w:r>
        <w:rPr>
          <w:rFonts w:ascii="Times New Roman" w:hAnsi="Times New Roman"/>
          <w:b/>
          <w:sz w:val="22"/>
        </w:rPr>
        <w:tab/>
        <w:t>29</w:t>
      </w:r>
    </w:p>
    <w:p>
      <w:pPr>
        <w:spacing w:line="300" w:lineRule="auto" w:after="60"/>
      </w:pPr>
      <w:r>
        <w:rPr>
          <w:rFonts w:ascii="Times New Roman" w:hAnsi="Times New Roman"/>
          <w:sz w:val="22"/>
        </w:rPr>
        <w:t>Chapter 7: System Architecture of the QARP Engine</w:t>
      </w:r>
      <w:r>
        <w:rPr>
          <w:rFonts w:ascii="Times New Roman" w:hAnsi="Times New Roman"/>
          <w:b/>
          <w:sz w:val="22"/>
        </w:rPr>
        <w:tab/>
        <w:t>36</w:t>
      </w:r>
    </w:p>
    <w:p>
      <w:pPr>
        <w:spacing w:line="300" w:lineRule="auto" w:after="60"/>
      </w:pPr>
      <w:r>
        <w:rPr>
          <w:rFonts w:ascii="Times New Roman" w:hAnsi="Times New Roman"/>
          <w:sz w:val="22"/>
        </w:rPr>
        <w:t>Chapter 8: Software Implementation of the Streamlit Engine</w:t>
      </w:r>
      <w:r>
        <w:rPr>
          <w:rFonts w:ascii="Times New Roman" w:hAnsi="Times New Roman"/>
          <w:b/>
          <w:sz w:val="22"/>
        </w:rPr>
        <w:tab/>
        <w:t>43</w:t>
      </w:r>
    </w:p>
    <w:p>
      <w:pPr>
        <w:spacing w:line="300" w:lineRule="auto" w:after="60"/>
      </w:pPr>
      <w:r>
        <w:rPr>
          <w:rFonts w:ascii="Times New Roman" w:hAnsi="Times New Roman"/>
          <w:sz w:val="22"/>
        </w:rPr>
        <w:t>Chapter 9: Hardware Benchmarks with liboqs on Enterprise Hardware</w:t>
      </w:r>
      <w:r>
        <w:rPr>
          <w:rFonts w:ascii="Times New Roman" w:hAnsi="Times New Roman"/>
          <w:b/>
          <w:sz w:val="22"/>
        </w:rPr>
        <w:tab/>
        <w:t>49</w:t>
      </w:r>
    </w:p>
    <w:p>
      <w:pPr>
        <w:spacing w:line="300" w:lineRule="auto" w:after="60"/>
      </w:pPr>
      <w:r>
        <w:rPr>
          <w:rFonts w:ascii="Times New Roman" w:hAnsi="Times New Roman"/>
          <w:sz w:val="22"/>
        </w:rPr>
        <w:t>Chapter 10: Analysis, Capacity Sizing, and Empirical Results</w:t>
      </w:r>
      <w:r>
        <w:rPr>
          <w:rFonts w:ascii="Times New Roman" w:hAnsi="Times New Roman"/>
          <w:b/>
          <w:sz w:val="22"/>
        </w:rPr>
        <w:tab/>
        <w:t>55</w:t>
      </w:r>
    </w:p>
    <w:p>
      <w:pPr>
        <w:spacing w:line="300" w:lineRule="auto" w:after="60"/>
      </w:pPr>
      <w:r>
        <w:rPr>
          <w:rFonts w:ascii="Times New Roman" w:hAnsi="Times New Roman"/>
          <w:sz w:val="22"/>
        </w:rPr>
        <w:t>Chapter 11: Verification, Results and Step-by-Step Migration Plan for Banks</w:t>
      </w:r>
      <w:r>
        <w:rPr>
          <w:rFonts w:ascii="Times New Roman" w:hAnsi="Times New Roman"/>
          <w:b/>
          <w:sz w:val="22"/>
        </w:rPr>
        <w:tab/>
        <w:t>63</w:t>
      </w:r>
    </w:p>
    <w:p>
      <w:pPr>
        <w:spacing w:line="300" w:lineRule="auto" w:after="60"/>
      </w:pPr>
      <w:r>
        <w:rPr>
          <w:rFonts w:ascii="Times New Roman" w:hAnsi="Times New Roman"/>
          <w:sz w:val="22"/>
        </w:rPr>
        <w:t>Chapter 12: Conclusion and Next Steps</w:t>
      </w:r>
      <w:r>
        <w:rPr>
          <w:rFonts w:ascii="Times New Roman" w:hAnsi="Times New Roman"/>
          <w:b/>
          <w:sz w:val="22"/>
        </w:rPr>
        <w:tab/>
        <w:t>72</w:t>
      </w:r>
    </w:p>
    <w:p>
      <w:pPr>
        <w:spacing w:line="300" w:lineRule="auto" w:after="60"/>
      </w:pPr>
      <w:r>
        <w:rPr>
          <w:rFonts w:ascii="Times New Roman" w:hAnsi="Times New Roman"/>
          <w:sz w:val="22"/>
        </w:rPr>
        <w:t>References</w:t>
      </w:r>
      <w:r>
        <w:rPr>
          <w:rFonts w:ascii="Times New Roman" w:hAnsi="Times New Roman"/>
          <w:b/>
          <w:sz w:val="22"/>
        </w:rPr>
        <w:tab/>
        <w:t>76</w:t>
      </w:r>
    </w:p>
    <w:p>
      <w:pPr>
        <w:spacing w:line="300" w:lineRule="auto" w:after="60"/>
      </w:pPr>
      <w:r>
        <w:rPr>
          <w:rFonts w:ascii="Times New Roman" w:hAnsi="Times New Roman"/>
          <w:sz w:val="22"/>
        </w:rPr>
        <w:t>Appendix A: Complete Python Source Code</w:t>
      </w:r>
      <w:r>
        <w:rPr>
          <w:rFonts w:ascii="Times New Roman" w:hAnsi="Times New Roman"/>
          <w:b/>
          <w:sz w:val="22"/>
        </w:rPr>
        <w:tab/>
        <w:t>79</w:t>
      </w:r>
    </w:p>
    <w:p>
      <w:r>
        <w:br w:type="page"/>
      </w:r>
    </w:p>
    <w:p>
      <w:pPr>
        <w:keepNext/>
        <w:spacing w:before="440" w:after="200"/>
        <w:jc w:val="center"/>
      </w:pPr>
      <w:r>
        <w:rPr>
          <w:rFonts w:ascii="Times New Roman" w:hAnsi="Times New Roman"/>
          <w:b/>
          <w:color w:val="002060"/>
          <w:sz w:val="28"/>
        </w:rPr>
        <w:t>Chapter 1: Introduction</w:t>
      </w:r>
    </w:p>
    <w:p>
      <w:pPr>
        <w:keepNext/>
        <w:spacing w:before="280" w:after="80"/>
        <w:jc w:val="left"/>
      </w:pPr>
      <w:r>
        <w:rPr>
          <w:rFonts w:ascii="Times New Roman" w:hAnsi="Times New Roman"/>
          <w:b/>
          <w:color w:val="003366"/>
          <w:sz w:val="24"/>
        </w:rPr>
        <w:t>1.1 Executive Summary and Industry Context</w:t>
      </w:r>
    </w:p>
    <w:p>
      <w:pPr>
        <w:spacing w:line="360" w:lineRule="auto" w:after="120"/>
        <w:jc w:val="both"/>
      </w:pPr>
      <w:r>
        <w:rPr>
          <w:rFonts w:ascii="Times New Roman" w:hAnsi="Times New Roman"/>
          <w:color w:val="202020"/>
          <w:sz w:val="24"/>
        </w:rPr>
        <w:t>Commercial banking networks, automated clearinghouses, central bank real-time gross settlement (RTGS) systems, and payment switches form the backbone of modern global commerce. These systems handle trillions of dollars in daily transactions, relying heavily on asymmetric public-key cryptography—specifically RSA-2048, RSA-4096, and Elliptic Curve Cryptography (ECDSA/ECDH)—to authenticate payment instructions, establish encrypted TLS transport tunnels, and guarantee transaction non-repudiation.</w:t>
      </w:r>
    </w:p>
    <w:p>
      <w:pPr>
        <w:spacing w:line="360" w:lineRule="auto" w:after="120"/>
        <w:jc w:val="both"/>
      </w:pPr>
      <w:r>
        <w:rPr>
          <w:rFonts w:ascii="Times New Roman" w:hAnsi="Times New Roman"/>
          <w:color w:val="202020"/>
          <w:sz w:val="24"/>
        </w:rPr>
        <w:t>The advent of quantum computing introduces an existential threat to this cryptographic foundation. Peter Shor's algorithm provides an exponential speedup for solving discrete logarithms and integer factorization, reducing the computational complexity of breaking RSA and ECC from sub-exponential time to polynomial time. A Cryptanalytically Relevant Quantum Computer (CRQC) will break classical asymmetric keys in hours. Compounding this urgency is the 'Harvest Now, Decrypt Later' (HNDL) threat model, wherein adversaries intercept and store encrypted financial telemetry today to decrypt customer records and historical transactions retrospectively once quantum hardware matures.</w:t>
      </w:r>
    </w:p>
    <w:p>
      <w:pPr>
        <w:spacing w:line="360" w:lineRule="auto" w:after="120"/>
        <w:jc w:val="both"/>
      </w:pPr>
      <w:r>
        <w:rPr>
          <w:rFonts w:ascii="Times New Roman" w:hAnsi="Times New Roman"/>
          <w:color w:val="202020"/>
          <w:sz w:val="24"/>
        </w:rPr>
        <w:t>In response, the National Institute of Standards and Technology (NIST) finalized post-quantum cryptographic standards in August 2024: FIPS 203 (ML-KEM), FIPS 204 (ML-DSA), and FIPS 205 (SLH-DSA). However, financial institutions face severe operational friction when migrating to these primitives. Lattice-based cryptography requires substantially larger public keys, ciphertexts, and digital signatures. Handshake payloads expand from hundreds of bytes to multiple kilobytes, causing Ethernet MTU packet fragmentation, handshake latency inflation, and throughput bottlenecks within on-premise Hardware Security Modules (Payment HSMs).</w:t>
      </w:r>
    </w:p>
    <w:p>
      <w:pPr>
        <w:keepNext/>
        <w:spacing w:before="440" w:after="200"/>
        <w:jc w:val="center"/>
      </w:pPr>
      <w:r>
        <w:rPr>
          <w:rFonts w:ascii="Times New Roman" w:hAnsi="Times New Roman"/>
          <w:b/>
          <w:color w:val="002060"/>
          <w:sz w:val="28"/>
        </w:rPr>
        <w:t>Chapter 2: Literature Review and Background</w:t>
      </w:r>
    </w:p>
    <w:p>
      <w:pPr>
        <w:keepNext/>
        <w:spacing w:before="280" w:after="80"/>
        <w:jc w:val="left"/>
      </w:pPr>
      <w:r>
        <w:rPr>
          <w:rFonts w:ascii="Times New Roman" w:hAnsi="Times New Roman"/>
          <w:b/>
          <w:color w:val="003366"/>
          <w:sz w:val="24"/>
        </w:rPr>
        <w:t>2.1 Quantum Cryptanalysis and Post-Quantum Cryptography</w:t>
      </w:r>
    </w:p>
    <w:p>
      <w:pPr>
        <w:spacing w:line="360" w:lineRule="auto" w:after="120"/>
        <w:jc w:val="both"/>
      </w:pPr>
      <w:r>
        <w:rPr>
          <w:rFonts w:ascii="Times New Roman" w:hAnsi="Times New Roman"/>
          <w:color w:val="202020"/>
          <w:sz w:val="24"/>
        </w:rPr>
        <w:t>In 1994, Peter Shor demonstrated that quantum algorithms could factor large integers and solve discrete logarithms in polynomial time. Subsequent research by Craig Gidney and Martin Ekerå (2021) demonstrated that factoring RSA-2048 requires only 4,098 logical qubits and approximately 20 million physical qubits under surface-code error correction, bringing the attack timeframe down to approximately 8 hours. For symmetric ciphers, Lov Grover's algorithm (1996) provides a quadratic speedup for unstructured search, effectively halving key strength. Consequently, AES-128 offers only 64 bits of quantum security (vulnerable), whereas AES-256 offers 128 bits of post-quantum security (resilient).</w:t>
      </w:r>
    </w:p>
    <w:p>
      <w:pPr>
        <w:spacing w:line="360" w:lineRule="auto" w:after="120"/>
        <w:jc w:val="both"/>
      </w:pPr>
      <w:r>
        <w:rPr>
          <w:rFonts w:ascii="Times New Roman" w:hAnsi="Times New Roman"/>
          <w:color w:val="202020"/>
          <w:sz w:val="24"/>
        </w:rPr>
        <w:t>To mitigate these vulnerabilities, NIST initiated its PQC standardization process in 2016, standardizing ML-KEM (derived from CRYSTALS-Kyber) for key encapsulation and ML-DSA (derived from CRYSTALS-Dilithium) for digital signatures. Open-source initiatives, particularly the Open Quantum Safe (OQS) project and its core C library liboqs, have provided the foundational implementation primitives necessary to benchmark and integrate post-quantum algorithms into production network protocols.</w:t>
      </w:r>
    </w:p>
    <w:p>
      <w:pPr>
        <w:keepNext/>
        <w:spacing w:before="440" w:after="200"/>
        <w:jc w:val="center"/>
      </w:pPr>
      <w:r>
        <w:rPr>
          <w:rFonts w:ascii="Times New Roman" w:hAnsi="Times New Roman"/>
          <w:b/>
          <w:color w:val="002060"/>
          <w:sz w:val="28"/>
        </w:rPr>
        <w:t>Chapter 3: Problem Definition, Objectives and Methodology</w:t>
      </w:r>
    </w:p>
    <w:p>
      <w:pPr>
        <w:keepNext/>
        <w:spacing w:before="280" w:after="80"/>
        <w:jc w:val="left"/>
      </w:pPr>
      <w:r>
        <w:rPr>
          <w:rFonts w:ascii="Times New Roman" w:hAnsi="Times New Roman"/>
          <w:b/>
          <w:color w:val="003366"/>
          <w:sz w:val="24"/>
        </w:rPr>
        <w:t>3.1 Research Objectives and Methodology Lifecycle</w:t>
      </w:r>
    </w:p>
    <w:p>
      <w:pPr>
        <w:spacing w:line="360" w:lineRule="auto" w:after="120"/>
        <w:jc w:val="both"/>
      </w:pPr>
      <w:r>
        <w:rPr>
          <w:rFonts w:ascii="Times New Roman" w:hAnsi="Times New Roman"/>
          <w:color w:val="202020"/>
          <w:sz w:val="24"/>
        </w:rPr>
        <w:t>The primary objective of this project is to develop the Quantum Attack Risk Profiler and Migration Planner (QARP)—a specialized, platform-agnostic analytical engine designed to quantify cryptographic exposure, model network MTU fragmentation, and calculate physical appliance scaling requirements for enterprise financial backbones.</w:t>
      </w:r>
    </w:p>
    <w:p>
      <w:pPr>
        <w:keepNext/>
        <w:spacing w:before="240" w:after="80"/>
        <w:jc w:val="center"/>
      </w:pPr>
      <w:r>
        <w:drawing>
          <wp:inline xmlns:a="http://schemas.openxmlformats.org/drawingml/2006/main" xmlns:pic="http://schemas.openxmlformats.org/drawingml/2006/picture">
            <wp:extent cx="5669280" cy="2705518"/>
            <wp:docPr id="1918841581" name="Picture 1918841581"/>
            <wp:cNvGraphicFramePr>
              <a:graphicFrameLocks noChangeAspect="1"/>
            </wp:cNvGraphicFramePr>
            <a:graphic>
              <a:graphicData uri="http://schemas.openxmlformats.org/drawingml/2006/picture">
                <pic:pic>
                  <pic:nvPicPr>
                    <pic:cNvPr id="0" name="qarp_methodology_pipeline.png"/>
                    <pic:cNvPicPr/>
                  </pic:nvPicPr>
                  <pic:blipFill>
                    <a:blip r:embed="rId32"/>
                    <a:stretch>
                      <a:fillRect/>
                    </a:stretch>
                  </pic:blipFill>
                  <pic:spPr>
                    <a:xfrm>
                      <a:off x="0" y="0"/>
                      <a:ext cx="5669280" cy="2705518"/>
                    </a:xfrm>
                    <a:prstGeom prst="rect"/>
                  </pic:spPr>
                </pic:pic>
              </a:graphicData>
            </a:graphic>
          </wp:inline>
        </w:drawing>
      </w:r>
    </w:p>
    <w:p>
      <w:pPr>
        <w:keepNext/>
        <w:spacing w:before="40" w:after="280"/>
        <w:jc w:val="center"/>
      </w:pPr>
      <w:r>
        <w:rPr>
          <w:rFonts w:ascii="Times New Roman" w:hAnsi="Times New Roman"/>
          <w:b/>
          <w:i/>
          <w:color w:val="333333"/>
          <w:sz w:val="20"/>
        </w:rPr>
        <w:t>Figure 3.1: QARP System Methodology and Telemetry Processing Pipeline</w:t>
      </w:r>
    </w:p>
    <w:p>
      <w:pPr>
        <w:spacing w:line="360" w:lineRule="auto" w:after="120"/>
        <w:jc w:val="both"/>
      </w:pPr>
      <w:r>
        <w:rPr>
          <w:rFonts w:ascii="Times New Roman" w:hAnsi="Times New Roman"/>
          <w:color w:val="202020"/>
          <w:sz w:val="24"/>
        </w:rPr>
        <w:t>As illustrated in Figure 3.1, the QARP methodology spans four coordinated phases: streaming telemetry ingestion, automated CBOM generation with compliance taxonomy mapping, empirical hardware benchmarking on dedicated x86_64 server nodes with liboqs, and dynamic capacity planning calculating physical HSM cluster expansion factors.</w:t>
      </w:r>
    </w:p>
    <w:p>
      <w:pPr>
        <w:keepNext/>
        <w:spacing w:before="440" w:after="200"/>
        <w:jc w:val="center"/>
      </w:pPr>
      <w:r>
        <w:rPr>
          <w:rFonts w:ascii="Times New Roman" w:hAnsi="Times New Roman"/>
          <w:b/>
          <w:color w:val="002060"/>
          <w:sz w:val="28"/>
        </w:rPr>
        <w:t>Chapter 4: Threat Modeling for Financial Institutions</w:t>
      </w:r>
    </w:p>
    <w:p>
      <w:pPr>
        <w:keepNext/>
        <w:spacing w:before="280" w:after="80"/>
        <w:jc w:val="left"/>
      </w:pPr>
      <w:r>
        <w:rPr>
          <w:rFonts w:ascii="Times New Roman" w:hAnsi="Times New Roman"/>
          <w:b/>
          <w:color w:val="003366"/>
          <w:sz w:val="24"/>
        </w:rPr>
        <w:t>4.1 STRIDE-Quantum Analysis for Enterprise Banking</w:t>
      </w:r>
    </w:p>
    <w:p>
      <w:pPr>
        <w:spacing w:line="360" w:lineRule="auto" w:after="120"/>
        <w:jc w:val="both"/>
      </w:pPr>
      <w:r>
        <w:rPr>
          <w:rFonts w:ascii="Times New Roman" w:hAnsi="Times New Roman"/>
          <w:color w:val="202020"/>
          <w:sz w:val="24"/>
        </w:rPr>
        <w:t>We developed a specialized STRIDE-Quantum threat model analyzing quantum attack surfaces across enterprise banking trust boundaries: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Spoofing (Impersonating Payment Endpoints): </w:t>
      </w:r>
      <w:r>
        <w:rPr>
          <w:rFonts w:ascii="Times New Roman" w:hAnsi="Times New Roman"/>
          <w:sz w:val="23"/>
        </w:rPr>
        <w:t>Adversaries utilizing Shor's algorithm recover private keys for API gateways and settlement endpoints, forging valid mutual TLS client certificates and impersonating authorized financial institutions.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Tampering (Forging Payment Instructions): </w:t>
      </w:r>
      <w:r>
        <w:rPr>
          <w:rFonts w:ascii="Times New Roman" w:hAnsi="Times New Roman"/>
          <w:sz w:val="23"/>
        </w:rPr>
        <w:t>Quantum collision attacks against legacy hash functions allow adversaries to forge signed ISO 20022 payment messages (pacs.008 credit transfers) without invalidating digital signatures.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Repudiation (Denying High-Value Settlement Transfers): </w:t>
      </w:r>
      <w:r>
        <w:rPr>
          <w:rFonts w:ascii="Times New Roman" w:hAnsi="Times New Roman"/>
          <w:sz w:val="23"/>
        </w:rPr>
        <w:t>Because classical digital signatures lose their mathematical non-repudiation guarantees once Shor's algorithm is viable, counterparties could repudiate valid transactions claiming quantum forgery.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Information Disclosure (The HNDL Vector): </w:t>
      </w:r>
      <w:r>
        <w:rPr>
          <w:rFonts w:ascii="Times New Roman" w:hAnsi="Times New Roman"/>
          <w:sz w:val="23"/>
        </w:rPr>
        <w:t>Hostile entities intercept and archive encrypted TLS sessions across interbank networks, subsequently decrypting decades of customer records, account balances, and transaction histories once a CRQC is operational.</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Denial of Service (HSM &amp; Gateway Processor Exhaustion): </w:t>
      </w:r>
      <w:r>
        <w:rPr>
          <w:rFonts w:ascii="Times New Roman" w:hAnsi="Times New Roman"/>
          <w:sz w:val="23"/>
        </w:rPr>
        <w:t>PQC digital signatures (ML-DSA) require substantially more computational effort for verification. Adversaries can flood payment gateways with handshake requests, saturating Hardware Security Modules and stalling legitimate transaction settlement.</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Elevation of Privilege (Cracking Master Key Wrappers): </w:t>
      </w:r>
      <w:r>
        <w:rPr>
          <w:rFonts w:ascii="Times New Roman" w:hAnsi="Times New Roman"/>
          <w:sz w:val="23"/>
        </w:rPr>
        <w:t>If asymmetric Key Encrypting Keys (KEKs) protecting database Data Encryption Keys (DEKs) are factored, adversaries decrypt the master envelope and gain direct access to core database tables and PIN blocks.</w:t>
      </w:r>
    </w:p>
    <w:p>
      <w:pPr>
        <w:keepNext/>
        <w:spacing w:before="240" w:after="80"/>
        <w:jc w:val="center"/>
      </w:pPr>
      <w:r>
        <w:drawing>
          <wp:inline xmlns:a="http://schemas.openxmlformats.org/drawingml/2006/main" xmlns:pic="http://schemas.openxmlformats.org/drawingml/2006/picture">
            <wp:extent cx="5486400" cy="3086100"/>
            <wp:docPr id="1918841582" name="Picture 1918841582"/>
            <wp:cNvGraphicFramePr>
              <a:graphicFrameLocks noChangeAspect="1"/>
            </wp:cNvGraphicFramePr>
            <a:graphic>
              <a:graphicData uri="http://schemas.openxmlformats.org/drawingml/2006/picture">
                <pic:pic>
                  <pic:nvPicPr>
                    <pic:cNvPr id="0" name="stride_quantum_threat_model.png"/>
                    <pic:cNvPicPr/>
                  </pic:nvPicPr>
                  <pic:blipFill>
                    <a:blip r:embed="rId33"/>
                    <a:stretch>
                      <a:fillRect/>
                    </a:stretch>
                  </pic:blipFill>
                  <pic:spPr>
                    <a:xfrm>
                      <a:off x="0" y="0"/>
                      <a:ext cx="5486400" cy="3086100"/>
                    </a:xfrm>
                    <a:prstGeom prst="rect"/>
                  </pic:spPr>
                </pic:pic>
              </a:graphicData>
            </a:graphic>
          </wp:inline>
        </w:drawing>
      </w:r>
    </w:p>
    <w:p>
      <w:pPr>
        <w:keepNext/>
        <w:spacing w:before="40" w:after="280"/>
        <w:jc w:val="center"/>
      </w:pPr>
      <w:r>
        <w:rPr>
          <w:rFonts w:ascii="Times New Roman" w:hAnsi="Times New Roman"/>
          <w:b/>
          <w:i/>
          <w:color w:val="333333"/>
          <w:sz w:val="20"/>
        </w:rPr>
        <w:t>Figure 4.1: STRIDE-Quantum Threat Model and Enterprise Trust Boundaries</w:t>
      </w:r>
    </w:p>
    <w:p>
      <w:pPr>
        <w:keepNext/>
        <w:spacing w:before="440" w:after="200"/>
        <w:jc w:val="center"/>
      </w:pPr>
      <w:r>
        <w:rPr>
          <w:rFonts w:ascii="Times New Roman" w:hAnsi="Times New Roman"/>
          <w:b/>
          <w:color w:val="002060"/>
          <w:sz w:val="28"/>
        </w:rPr>
        <w:t>Chapter 5: Hardware Roots of Trust in Enterprise Banking</w:t>
      </w:r>
    </w:p>
    <w:p>
      <w:pPr>
        <w:keepNext/>
        <w:spacing w:before="280" w:after="80"/>
        <w:jc w:val="left"/>
      </w:pPr>
      <w:r>
        <w:rPr>
          <w:rFonts w:ascii="Times New Roman" w:hAnsi="Times New Roman"/>
          <w:b/>
          <w:color w:val="003366"/>
          <w:sz w:val="24"/>
        </w:rPr>
        <w:t>5.1 TPM 2.0, Payment HSMs, Enterprise KMS, and Key Hierarchies</w:t>
      </w:r>
    </w:p>
    <w:p>
      <w:pPr>
        <w:spacing w:line="360" w:lineRule="auto" w:after="120"/>
        <w:jc w:val="both"/>
      </w:pPr>
      <w:r>
        <w:rPr>
          <w:rFonts w:ascii="Times New Roman" w:hAnsi="Times New Roman"/>
          <w:color w:val="202020"/>
          <w:sz w:val="24"/>
        </w:rPr>
        <w:t>Enterprise banking architectures isolate cryptographic keys within dedicated hardware roots of trust rather than volatile application memory: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Trusted Platform Module (TPM 2.0): </w:t>
      </w:r>
      <w:r>
        <w:rPr>
          <w:rFonts w:ascii="Times New Roman" w:hAnsi="Times New Roman"/>
          <w:sz w:val="23"/>
        </w:rPr>
        <w:t>Hardware microcontrollers integrated into server motherboards and ATM controllers. TPMs perform measured boot verification via Platform Configuration Registers (PCRs) and secure storage of platform authentication keys. Current TPM 2.0 deployments rely on RSA-2048/ECC attestation signatures that require firmware transition to PQC.</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Payment Hardware Security Modules (Payment HSMs): </w:t>
      </w:r>
      <w:r>
        <w:rPr>
          <w:rFonts w:ascii="Times New Roman" w:hAnsi="Times New Roman"/>
          <w:sz w:val="23"/>
        </w:rPr>
        <w:t>FIPS 140-3 Level 3/4 and PCI-PTS certified physical appliances (e.g., Thales payShield, IBM 4769, Utimaco). HSMs execute cryptographic operations for ATM PIN verification, EMV transaction cryptograms, and interbank Zone Master Key (ZMK) exchange in tamper-resistant physical enclosures.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Enterprise Key Management Systems (KMS / KMIP): </w:t>
      </w:r>
      <w:r>
        <w:rPr>
          <w:rFonts w:ascii="Times New Roman" w:hAnsi="Times New Roman"/>
          <w:sz w:val="23"/>
        </w:rPr>
        <w:t>On-premise enterprise key vaults utilizing PKCS#11 and KMIP protocols to automate key lifecycle management, key rotation, and policy enforcement across database clusters and core applications.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Key Encrypting Key (KEK) &amp; Data Encryption Key (DEK) Hierarchy: </w:t>
      </w:r>
      <w:r>
        <w:rPr>
          <w:rFonts w:ascii="Times New Roman" w:hAnsi="Times New Roman"/>
          <w:sz w:val="23"/>
        </w:rPr>
        <w:t>Banks utilize envelope encryption: application data is encrypted using symmetric DEKs (AES-256), which are then encrypted (wrapped) by master KEKs. While AES-256 DEKs are quantum-resistant, the asymmetric RSA-2048 KEKs wrapping them represent the immediate vulnerability that must be transitioned to ML-KEM-768 or AES Key Wrap (NIST SP 800-38F).</w:t>
      </w:r>
    </w:p>
    <w:p>
      <w:pPr>
        <w:keepNext/>
        <w:spacing w:before="440" w:after="200"/>
        <w:jc w:val="center"/>
      </w:pPr>
      <w:r>
        <w:rPr>
          <w:rFonts w:ascii="Times New Roman" w:hAnsi="Times New Roman"/>
          <w:b/>
          <w:color w:val="002060"/>
          <w:sz w:val="28"/>
        </w:rPr>
        <w:t>Chapter 6: Cryptographic Inventory and PQC Compliance Matrix</w:t>
      </w:r>
    </w:p>
    <w:p>
      <w:pPr>
        <w:keepNext/>
        <w:spacing w:before="280" w:after="80"/>
        <w:jc w:val="left"/>
      </w:pPr>
      <w:r>
        <w:rPr>
          <w:rFonts w:ascii="Times New Roman" w:hAnsi="Times New Roman"/>
          <w:b/>
          <w:color w:val="003366"/>
          <w:sz w:val="24"/>
        </w:rPr>
        <w:t>6.1 Production Cryptographic Matrix for Financial Institutions</w:t>
      </w:r>
    </w:p>
    <w:p>
      <w:pPr>
        <w:spacing w:line="360" w:lineRule="auto" w:after="120"/>
        <w:jc w:val="both"/>
      </w:pPr>
      <w:r>
        <w:rPr>
          <w:rFonts w:ascii="Times New Roman" w:hAnsi="Times New Roman"/>
          <w:color w:val="202020"/>
          <w:sz w:val="24"/>
        </w:rPr>
        <w:t>We conducted a comprehensive audit of cryptographic primitives across financial infrastructures. Obsolete algorithms (DES, 3DES, MD5, SHA-1, RC4, RSA-1024) were excluded. Every active production primitive was evaluated with a binary PQC compliance verdict and mapped across hardware execution tiers:</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584"/>
            <w:shd w:fill="002060"/>
            <w:tcMar>
              <w:top w:w="120" w:type="dxa"/>
              <w:bottom w:w="120" w:type="dxa"/>
              <w:left w:w="100" w:type="dxa"/>
              <w:right w:w="100" w:type="dxa"/>
            </w:tcMar>
          </w:tcPr>
          <w:p>
            <w:pPr>
              <w:jc w:val="center"/>
            </w:pPr>
            <w:r>
              <w:rPr>
                <w:rFonts w:ascii="Times New Roman" w:hAnsi="Times New Roman"/>
                <w:b/>
                <w:color w:val="FFFFFF"/>
                <w:sz w:val="19"/>
              </w:rPr>
              <w:t>Algorithm</w:t>
            </w:r>
          </w:p>
        </w:tc>
        <w:tc>
          <w:tcPr>
            <w:tcW w:type="dxa" w:w="1296"/>
            <w:shd w:fill="002060"/>
            <w:tcMar>
              <w:top w:w="120" w:type="dxa"/>
              <w:bottom w:w="120" w:type="dxa"/>
              <w:left w:w="100" w:type="dxa"/>
              <w:right w:w="100" w:type="dxa"/>
            </w:tcMar>
          </w:tcPr>
          <w:p>
            <w:pPr>
              <w:jc w:val="center"/>
            </w:pPr>
            <w:r>
              <w:rPr>
                <w:rFonts w:ascii="Times New Roman" w:hAnsi="Times New Roman"/>
                <w:b/>
                <w:color w:val="FFFFFF"/>
                <w:sz w:val="19"/>
              </w:rPr>
              <w:t>Key / Output Size</w:t>
            </w:r>
          </w:p>
        </w:tc>
        <w:tc>
          <w:tcPr>
            <w:tcW w:type="dxa" w:w="1008"/>
            <w:shd w:fill="002060"/>
            <w:tcMar>
              <w:top w:w="120" w:type="dxa"/>
              <w:bottom w:w="120" w:type="dxa"/>
              <w:left w:w="100" w:type="dxa"/>
              <w:right w:w="100" w:type="dxa"/>
            </w:tcMar>
          </w:tcPr>
          <w:p>
            <w:pPr>
              <w:jc w:val="center"/>
            </w:pPr>
            <w:r>
              <w:rPr>
                <w:rFonts w:ascii="Times New Roman" w:hAnsi="Times New Roman"/>
                <w:b/>
                <w:color w:val="FFFFFF"/>
                <w:sz w:val="19"/>
              </w:rPr>
              <w:t>PQC Compliant</w:t>
            </w:r>
          </w:p>
        </w:tc>
        <w:tc>
          <w:tcPr>
            <w:tcW w:type="dxa" w:w="3168"/>
            <w:shd w:fill="002060"/>
            <w:tcMar>
              <w:top w:w="120" w:type="dxa"/>
              <w:bottom w:w="120" w:type="dxa"/>
              <w:left w:w="100" w:type="dxa"/>
              <w:right w:w="100" w:type="dxa"/>
            </w:tcMar>
          </w:tcPr>
          <w:p>
            <w:pPr>
              <w:jc w:val="center"/>
            </w:pPr>
            <w:r>
              <w:rPr>
                <w:rFonts w:ascii="Times New Roman" w:hAnsi="Times New Roman"/>
                <w:b/>
                <w:color w:val="FFFFFF"/>
                <w:sz w:val="19"/>
              </w:rPr>
              <w:t>Banking Function &amp; Hardware Context (TPM / HSM / KMS / KEK)</w:t>
            </w:r>
          </w:p>
        </w:tc>
        <w:tc>
          <w:tcPr>
            <w:tcW w:type="dxa" w:w="2304"/>
            <w:shd w:fill="002060"/>
            <w:tcMar>
              <w:top w:w="120" w:type="dxa"/>
              <w:bottom w:w="120" w:type="dxa"/>
              <w:left w:w="100" w:type="dxa"/>
              <w:right w:w="100" w:type="dxa"/>
            </w:tcMar>
          </w:tcPr>
          <w:p>
            <w:pPr>
              <w:jc w:val="center"/>
            </w:pPr>
            <w:r>
              <w:rPr>
                <w:rFonts w:ascii="Times New Roman" w:hAnsi="Times New Roman"/>
                <w:b/>
                <w:color w:val="FFFFFF"/>
                <w:sz w:val="19"/>
              </w:rPr>
              <w:t>Mitigation &amp; Quantum Justification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RSA-2048</w:t>
            </w:r>
          </w:p>
        </w:tc>
        <w:tc>
          <w:tcPr>
            <w:tcW w:type="dxa" w:w="1296"/>
            <w:shd w:fill="FFFFFF"/>
            <w:tcMar>
              <w:top w:w="80" w:type="dxa"/>
              <w:bottom w:w="80" w:type="dxa"/>
              <w:left w:w="100" w:type="dxa"/>
              <w:right w:w="100" w:type="dxa"/>
            </w:tcMar>
          </w:tcPr>
          <w:p>
            <w:pPr>
              <w:jc w:val="center"/>
            </w:pPr>
            <w:r>
              <w:rPr>
                <w:rFonts w:ascii="Times New Roman" w:hAnsi="Times New Roman"/>
                <w:sz w:val="17"/>
              </w:rPr>
              <w:t>256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Web/mobile banking TLS; EMV DDA chip card auth.</w:t>
              <w:br/>
              <w:t>• Hardware: TPM 2.0 (EK/AIK signing); HSM (inter-bank ZMK transport); KMS/KEK (asymmetric KEK wrapping database DEKs).</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(2n+2 logical qubits); migrate to ML-KEM-768/1024.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RSA-4096</w:t>
            </w:r>
          </w:p>
        </w:tc>
        <w:tc>
          <w:tcPr>
            <w:tcW w:type="dxa" w:w="1296"/>
            <w:shd w:fill="F2F5F9"/>
            <w:tcMar>
              <w:top w:w="80" w:type="dxa"/>
              <w:bottom w:w="80" w:type="dxa"/>
              <w:left w:w="100" w:type="dxa"/>
              <w:right w:w="100" w:type="dxa"/>
            </w:tcMar>
          </w:tcPr>
          <w:p>
            <w:pPr>
              <w:jc w:val="center"/>
            </w:pPr>
            <w:r>
              <w:rPr>
                <w:rFonts w:ascii="Times New Roman" w:hAnsi="Times New Roman"/>
                <w:sz w:val="17"/>
              </w:rPr>
              <w:t>512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 Root CAs; syndicated loan and audit signing.</w:t>
              <w:br/>
              <w:t>• Hardware: HSM (Root CA key storage in FIPS 140-3 Level 3/4); KMS/KEK (asymmetric master KEK for cold backups).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ML-DSA-87 or SLH-DSA for root signing.</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ECC / ECDSA P-256</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biometrics, FedNow &amp; Apple Pay rails.</w:t>
              <w:br/>
              <w:t>• Hardware: TPM 2.0 (ECC attestation); HSM (Payment HSM client mTLS); KMS/KEK (API token signing &amp; KEK key agreement).</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(O(n^3) group operations); replace with ML-DSA-44.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ECC / ECDSA P-384</w:t>
            </w:r>
          </w:p>
        </w:tc>
        <w:tc>
          <w:tcPr>
            <w:tcW w:type="dxa" w:w="1296"/>
            <w:shd w:fill="F2F5F9"/>
            <w:tcMar>
              <w:top w:w="80" w:type="dxa"/>
              <w:bottom w:w="80" w:type="dxa"/>
              <w:left w:w="100" w:type="dxa"/>
              <w:right w:w="100" w:type="dxa"/>
            </w:tcMar>
          </w:tcPr>
          <w:p>
            <w:pPr>
              <w:jc w:val="center"/>
            </w:pPr>
            <w:r>
              <w:rPr>
                <w:rFonts w:ascii="Times New Roman" w:hAnsi="Times New Roman"/>
                <w:sz w:val="17"/>
              </w:rPr>
              <w:t>48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Central bank settlement rails &amp; national switch signing.</w:t>
              <w:br/>
              <w:t>• Hardware: HSM (Payment switch HSM-to-HSM signing); KMS (institutional KMS master root keys).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ML-DSA-65 or SLH-DSA.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ECDH / X25519</w:t>
            </w:r>
          </w:p>
        </w:tc>
        <w:tc>
          <w:tcPr>
            <w:tcW w:type="dxa" w:w="1296"/>
            <w:shd w:fill="FFFFFF"/>
            <w:tcMar>
              <w:top w:w="80" w:type="dxa"/>
              <w:bottom w:w="80" w:type="dxa"/>
              <w:left w:w="100" w:type="dxa"/>
              <w:right w:w="100" w:type="dxa"/>
            </w:tcMar>
          </w:tcPr>
          <w:p>
            <w:pPr>
              <w:jc w:val="center"/>
            </w:pPr>
            <w:r>
              <w:rPr>
                <w:rFonts w:ascii="Times New Roman" w:hAnsi="Times New Roman"/>
                <w:sz w:val="17"/>
              </w:rPr>
              <w:t>32 B (secret)</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TLS 1.3 key agreement for banking portals &amp; microservices.</w:t>
              <w:br/>
              <w:t>• Hardware: KMS/HSM (ephemeral session key exchange for client-to-KMS REST APIs and remote HSM administration).</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pair with ML-KEM-768 in hybrid mode.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ECDH / X448</w:t>
            </w:r>
          </w:p>
        </w:tc>
        <w:tc>
          <w:tcPr>
            <w:tcW w:type="dxa" w:w="1296"/>
            <w:shd w:fill="F2F5F9"/>
            <w:tcMar>
              <w:top w:w="80" w:type="dxa"/>
              <w:bottom w:w="80" w:type="dxa"/>
              <w:left w:w="100" w:type="dxa"/>
              <w:right w:w="100" w:type="dxa"/>
            </w:tcMar>
          </w:tcPr>
          <w:p>
            <w:pPr>
              <w:jc w:val="center"/>
            </w:pPr>
            <w:r>
              <w:rPr>
                <w:rFonts w:ascii="Times New Roman" w:hAnsi="Times New Roman"/>
                <w:sz w:val="17"/>
              </w:rPr>
              <w:t>56 B (secret)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CBDC pilot rails; inter-datacenter links.</w:t>
              <w:br/>
              <w:t>• Hardware: HSM/KEK (inter-HSM cluster replication tunnels and cross-HSM master KEK establishment).</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combine with ML-KEM-1024 in hybrid scheme.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AES-128</w:t>
            </w:r>
          </w:p>
        </w:tc>
        <w:tc>
          <w:tcPr>
            <w:tcW w:type="dxa" w:w="1296"/>
            <w:shd w:fill="FFFFFF"/>
            <w:tcMar>
              <w:top w:w="80" w:type="dxa"/>
              <w:bottom w:w="80" w:type="dxa"/>
              <w:left w:w="100" w:type="dxa"/>
              <w:right w:w="100" w:type="dxa"/>
            </w:tcMar>
          </w:tcPr>
          <w:p>
            <w:pPr>
              <w:jc w:val="center"/>
            </w:pPr>
            <w:r>
              <w:rPr>
                <w:rFonts w:ascii="Times New Roman" w:hAnsi="Times New Roman"/>
                <w:sz w:val="17"/>
              </w:rPr>
              <w:t>16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Contactless EMV cryptograms (AC); ATM/POS DUKPT keys.</w:t>
              <w:br/>
              <w:t>• Hardware: TPM (parameter encryption &amp; PCR sealing); HSM (transaction key derivation); KEK (transient session key wrapping).</w:t>
            </w:r>
          </w:p>
        </w:tc>
        <w:tc>
          <w:tcPr>
            <w:tcW w:type="dxa" w:w="2304"/>
            <w:shd w:fill="FFFFFF"/>
            <w:tcMar>
              <w:top w:w="80" w:type="dxa"/>
              <w:bottom w:w="80" w:type="dxa"/>
              <w:left w:w="100" w:type="dxa"/>
              <w:right w:w="100" w:type="dxa"/>
            </w:tcMar>
          </w:tcPr>
          <w:p>
            <w:pPr>
              <w:jc w:val="left"/>
            </w:pPr>
            <w:r>
              <w:rPr>
                <w:rFonts w:ascii="Times New Roman" w:hAnsi="Times New Roman"/>
                <w:sz w:val="17"/>
              </w:rPr>
              <w:t>No; Grover's algorithm reduces security to ~64 bits (quantum breakable); upgrade to AES-256 KEK.</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AES-256</w:t>
            </w:r>
          </w:p>
        </w:tc>
        <w:tc>
          <w:tcPr>
            <w:tcW w:type="dxa" w:w="1296"/>
            <w:shd w:fill="F2F5F9"/>
            <w:tcMar>
              <w:top w:w="80" w:type="dxa"/>
              <w:bottom w:w="80" w:type="dxa"/>
              <w:left w:w="100" w:type="dxa"/>
              <w:right w:w="100" w:type="dxa"/>
            </w:tcMar>
          </w:tcPr>
          <w:p>
            <w:pPr>
              <w:jc w:val="center"/>
            </w:pPr>
            <w:r>
              <w:rPr>
                <w:rFonts w:ascii="Times New Roman" w:hAnsi="Times New Roman"/>
                <w:sz w:val="17"/>
              </w:rPr>
              <w:t>32 B (key)</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PCI-DSS database TDE; Fedwire &amp; SWIFT payload encryption.</w:t>
              <w:br/>
              <w:t>• Hardware: TPM (BitLocker sealing); HSM (LMK / ZMK master keys); KMS/KEK (Gold-standard symmetric KEK via SP 800-38F Key Wrap).</w:t>
            </w:r>
          </w:p>
        </w:tc>
        <w:tc>
          <w:tcPr>
            <w:tcW w:type="dxa" w:w="2304"/>
            <w:shd w:fill="F2F5F9"/>
            <w:tcMar>
              <w:top w:w="80" w:type="dxa"/>
              <w:bottom w:w="80" w:type="dxa"/>
              <w:left w:w="100" w:type="dxa"/>
              <w:right w:w="100" w:type="dxa"/>
            </w:tcMar>
          </w:tcPr>
          <w:p>
            <w:pPr>
              <w:jc w:val="left"/>
            </w:pPr>
            <w:r>
              <w:rPr>
                <w:rFonts w:ascii="Times New Roman" w:hAnsi="Times New Roman"/>
                <w:sz w:val="17"/>
              </w:rPr>
              <w:t>Retains ~128-bit quantum security under Grover; remains fully quantum-resistant.</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ChaCha20-Poly1305</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TLS for devices lacking hardware AES-NI.</w:t>
              <w:br/>
              <w:t>• Hardware: KMS/KEK (authenticated envelope encryption for edge POS terminals communicating with KMS).</w:t>
            </w:r>
          </w:p>
        </w:tc>
        <w:tc>
          <w:tcPr>
            <w:tcW w:type="dxa" w:w="2304"/>
            <w:shd w:fill="FFFFFF"/>
            <w:tcMar>
              <w:top w:w="80" w:type="dxa"/>
              <w:bottom w:w="80" w:type="dxa"/>
              <w:left w:w="100" w:type="dxa"/>
              <w:right w:w="100" w:type="dxa"/>
            </w:tcMar>
          </w:tcPr>
          <w:p>
            <w:pPr>
              <w:jc w:val="left"/>
            </w:pPr>
            <w:r>
              <w:rPr>
                <w:rFonts w:ascii="Times New Roman" w:hAnsi="Times New Roman"/>
                <w:sz w:val="17"/>
              </w:rPr>
              <w:t>256-bit key retains ~128-bit quantum security; must pair with a PQC KEM.</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SHA-256</w:t>
            </w:r>
          </w:p>
        </w:tc>
        <w:tc>
          <w:tcPr>
            <w:tcW w:type="dxa" w:w="1296"/>
            <w:shd w:fill="F2F5F9"/>
            <w:tcMar>
              <w:top w:w="80" w:type="dxa"/>
              <w:bottom w:w="80" w:type="dxa"/>
              <w:left w:w="100" w:type="dxa"/>
              <w:right w:w="100" w:type="dxa"/>
            </w:tcMar>
          </w:tcPr>
          <w:p>
            <w:pPr>
              <w:jc w:val="center"/>
            </w:pPr>
            <w:r>
              <w:rPr>
                <w:rFonts w:ascii="Times New Roman" w:hAnsi="Times New Roman"/>
                <w:sz w:val="17"/>
              </w:rPr>
              <w:t>32 B (digest)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Banking TLS cert hashing; financial audit logging.</w:t>
              <w:br/>
              <w:t>• Hardware: TPM 2.0 (primary measured boot PCRs); HSM/KMS (key fingerprinting, versioning &amp; KEK derivation [KDF]).</w:t>
            </w:r>
          </w:p>
        </w:tc>
        <w:tc>
          <w:tcPr>
            <w:tcW w:type="dxa" w:w="2304"/>
            <w:shd w:fill="F2F5F9"/>
            <w:tcMar>
              <w:top w:w="80" w:type="dxa"/>
              <w:bottom w:w="80" w:type="dxa"/>
              <w:left w:w="100" w:type="dxa"/>
              <w:right w:w="100" w:type="dxa"/>
            </w:tcMar>
          </w:tcPr>
          <w:p>
            <w:pPr>
              <w:jc w:val="left"/>
            </w:pPr>
            <w:r>
              <w:rPr>
                <w:rFonts w:ascii="Times New Roman" w:hAnsi="Times New Roman"/>
                <w:sz w:val="17"/>
              </w:rPr>
              <w:t>Quantum collision attacks reduce security to ~85–128 bits; upgrade to SHA-384/512 for CNSA 2.0 compliance.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SHA-384</w:t>
            </w:r>
          </w:p>
        </w:tc>
        <w:tc>
          <w:tcPr>
            <w:tcW w:type="dxa" w:w="1296"/>
            <w:shd w:fill="FFFFFF"/>
            <w:tcMar>
              <w:top w:w="80" w:type="dxa"/>
              <w:bottom w:w="80" w:type="dxa"/>
              <w:left w:w="100" w:type="dxa"/>
              <w:right w:w="100" w:type="dxa"/>
            </w:tcMar>
          </w:tcPr>
          <w:p>
            <w:pPr>
              <w:jc w:val="center"/>
            </w:pPr>
            <w:r>
              <w:rPr>
                <w:rFonts w:ascii="Times New Roman" w:hAnsi="Times New Roman"/>
                <w:sz w:val="17"/>
              </w:rPr>
              <w:t>48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High-security central bank TLS; financial compliance signing.</w:t>
              <w:br/>
              <w:t>• Hardware: HSM/KMS (enterprise KMS HKDF key derivation; CNSA-compliant tamper-evident HSM audit log hashing).</w:t>
            </w:r>
          </w:p>
        </w:tc>
        <w:tc>
          <w:tcPr>
            <w:tcW w:type="dxa" w:w="2304"/>
            <w:shd w:fill="FFFFFF"/>
            <w:tcMar>
              <w:top w:w="80" w:type="dxa"/>
              <w:bottom w:w="80" w:type="dxa"/>
              <w:left w:w="100" w:type="dxa"/>
              <w:right w:w="100" w:type="dxa"/>
            </w:tcMar>
          </w:tcPr>
          <w:p>
            <w:pPr>
              <w:jc w:val="left"/>
            </w:pPr>
            <w:r>
              <w:rPr>
                <w:rFonts w:ascii="Times New Roman" w:hAnsi="Times New Roman"/>
                <w:sz w:val="17"/>
              </w:rPr>
              <w:t>Provides ~192-bit quantum preimage &amp; ~128-bit collision resistance; CNSA 2.0 compliant.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Immutable ledger timestamping; credential hashing.</w:t>
              <w:br/>
              <w:t>• Hardware: HSM/KMS (master KEK seed hashing &amp; hardware root-of-trust audit vaults).</w:t>
            </w:r>
          </w:p>
        </w:tc>
        <w:tc>
          <w:tcPr>
            <w:tcW w:type="dxa" w:w="2304"/>
            <w:shd w:fill="F2F5F9"/>
            <w:tcMar>
              <w:top w:w="80" w:type="dxa"/>
              <w:bottom w:w="80" w:type="dxa"/>
              <w:left w:w="100" w:type="dxa"/>
              <w:right w:w="100" w:type="dxa"/>
            </w:tcMar>
          </w:tcPr>
          <w:p>
            <w:pPr>
              <w:jc w:val="left"/>
            </w:pPr>
            <w:r>
              <w:rPr>
                <w:rFonts w:ascii="Times New Roman" w:hAnsi="Times New Roman"/>
                <w:sz w:val="17"/>
              </w:rPr>
              <w:t>Provides ~256-bit quantum security; recommended for long-term audit trail integrity.</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SHA-3-256</w:t>
            </w:r>
          </w:p>
        </w:tc>
        <w:tc>
          <w:tcPr>
            <w:tcW w:type="dxa" w:w="1296"/>
            <w:shd w:fill="FFFFFF"/>
            <w:tcMar>
              <w:top w:w="80" w:type="dxa"/>
              <w:bottom w:w="80" w:type="dxa"/>
              <w:left w:w="100" w:type="dxa"/>
              <w:right w:w="100" w:type="dxa"/>
            </w:tcMar>
          </w:tcPr>
          <w:p>
            <w:pPr>
              <w:jc w:val="center"/>
            </w:pPr>
            <w:r>
              <w:rPr>
                <w:rFonts w:ascii="Times New Roman" w:hAnsi="Times New Roman"/>
                <w:sz w:val="17"/>
              </w:rPr>
              <w:t>32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Core banking DLT/blockchain database integrity.</w:t>
              <w:br/>
              <w:t>• Hardware: HSM/KMS (sponge-based KDF key derivation inside modern HSMs; tamper-proof ledger audit records).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202 sponge construction; provides 128-bit quantum security.</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SHA-3-512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sovereign bond and reserve archives.</w:t>
              <w:br/>
              <w:t>• Hardware: HSM (highest-assurance root hash engine for multi-decade master key archive integrity).</w:t>
            </w:r>
          </w:p>
        </w:tc>
        <w:tc>
          <w:tcPr>
            <w:tcW w:type="dxa" w:w="2304"/>
            <w:shd w:fill="F2F5F9"/>
            <w:tcMar>
              <w:top w:w="80" w:type="dxa"/>
              <w:bottom w:w="80" w:type="dxa"/>
              <w:left w:w="100" w:type="dxa"/>
              <w:right w:w="100" w:type="dxa"/>
            </w:tcMar>
          </w:tcPr>
          <w:p>
            <w:pPr>
              <w:jc w:val="left"/>
            </w:pPr>
            <w:r>
              <w:rPr>
                <w:rFonts w:ascii="Times New Roman" w:hAnsi="Times New Roman"/>
                <w:sz w:val="17"/>
              </w:rPr>
              <w:t>High-assurance quantum preimage and collision resistance; future-proof.</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HMAC-SHA256</w:t>
            </w:r>
          </w:p>
        </w:tc>
        <w:tc>
          <w:tcPr>
            <w:tcW w:type="dxa" w:w="1296"/>
            <w:shd w:fill="FFFFFF"/>
            <w:tcMar>
              <w:top w:w="80" w:type="dxa"/>
              <w:bottom w:w="80" w:type="dxa"/>
              <w:left w:w="100" w:type="dxa"/>
              <w:right w:w="100" w:type="dxa"/>
            </w:tcMar>
          </w:tcPr>
          <w:p>
            <w:pPr>
              <w:jc w:val="center"/>
            </w:pPr>
            <w:r>
              <w:rPr>
                <w:rFonts w:ascii="Times New Roman" w:hAnsi="Times New Roman"/>
                <w:sz w:val="17"/>
              </w:rPr>
              <w:t>32 B (MAC)</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Payment gateway webhook validation; OAuth2 tokens.</w:t>
              <w:br/>
              <w:t>• Hardware: TPM 2.0 (AuthValue sessions); KMS/KEK (PRF in SP 800-108 to derive sub-keys from a master KEK).</w:t>
            </w:r>
          </w:p>
        </w:tc>
        <w:tc>
          <w:tcPr>
            <w:tcW w:type="dxa" w:w="2304"/>
            <w:shd w:fill="FFFFFF"/>
            <w:tcMar>
              <w:top w:w="80" w:type="dxa"/>
              <w:bottom w:w="80" w:type="dxa"/>
              <w:left w:w="100" w:type="dxa"/>
              <w:right w:w="100" w:type="dxa"/>
            </w:tcMar>
          </w:tcPr>
          <w:p>
            <w:pPr>
              <w:jc w:val="left"/>
            </w:pPr>
            <w:r>
              <w:rPr>
                <w:rFonts w:ascii="Times New Roman" w:hAnsi="Times New Roman"/>
                <w:sz w:val="17"/>
              </w:rPr>
              <w:t>Falls below post-quantum high-assurance threshold; upgrade to HMAC-SHA384/512.</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HMAC-SHA512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(MAC)</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SWIFT ISO 20022 message authentication; crypto custody.</w:t>
              <w:br/>
              <w:t>• Hardware: HSM/KMS (master key derivation for BIP-32 HD wallet trees; HSM sub-key derivation).</w:t>
            </w:r>
          </w:p>
        </w:tc>
        <w:tc>
          <w:tcPr>
            <w:tcW w:type="dxa" w:w="2304"/>
            <w:shd w:fill="F2F5F9"/>
            <w:tcMar>
              <w:top w:w="80" w:type="dxa"/>
              <w:bottom w:w="80" w:type="dxa"/>
              <w:left w:w="100" w:type="dxa"/>
              <w:right w:w="100" w:type="dxa"/>
            </w:tcMar>
          </w:tcPr>
          <w:p>
            <w:pPr>
              <w:jc w:val="left"/>
            </w:pPr>
            <w:r>
              <w:rPr>
                <w:rFonts w:ascii="Times New Roman" w:hAnsi="Times New Roman"/>
                <w:sz w:val="17"/>
              </w:rPr>
              <w:t>Retains ~256-bit quantum PRF security; preferred for PQC-safe authentication.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ML-KEM-512</w:t>
            </w:r>
          </w:p>
        </w:tc>
        <w:tc>
          <w:tcPr>
            <w:tcW w:type="dxa" w:w="1296"/>
            <w:shd w:fill="FFFFFF"/>
            <w:tcMar>
              <w:top w:w="80" w:type="dxa"/>
              <w:bottom w:w="80" w:type="dxa"/>
              <w:left w:w="100" w:type="dxa"/>
              <w:right w:w="100" w:type="dxa"/>
            </w:tcMar>
          </w:tcPr>
          <w:p>
            <w:pPr>
              <w:jc w:val="center"/>
            </w:pPr>
            <w:r>
              <w:rPr>
                <w:rFonts w:ascii="Times New Roman" w:hAnsi="Times New Roman"/>
                <w:sz w:val="17"/>
              </w:rPr>
              <w:t>800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Next-gen PQC EMV contactless chip cards &amp; wearables.</w:t>
              <w:br/>
              <w:t>• Hardware: TPM (low-power micro-TPMs); KEK (lightweight asymmetric KEK encapsulating DEKs on constrained terminals).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1); designed for constrained hardware.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ML-KEM-768</w:t>
            </w:r>
          </w:p>
        </w:tc>
        <w:tc>
          <w:tcPr>
            <w:tcW w:type="dxa" w:w="1296"/>
            <w:shd w:fill="F2F5F9"/>
            <w:tcMar>
              <w:top w:w="80" w:type="dxa"/>
              <w:bottom w:w="80" w:type="dxa"/>
              <w:left w:w="100" w:type="dxa"/>
              <w:right w:w="100" w:type="dxa"/>
            </w:tcMar>
          </w:tcPr>
          <w:p>
            <w:pPr>
              <w:jc w:val="center"/>
            </w:pPr>
            <w:r>
              <w:rPr>
                <w:rFonts w:ascii="Times New Roman" w:hAnsi="Times New Roman"/>
                <w:sz w:val="17"/>
              </w:rPr>
              <w:t>1184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Production TLS 1.3 for banking portals &amp; Open Banking APIs.</w:t>
              <w:br/>
              <w:t>• Hardware: HSM (PQC inter-bank ZMK transport); KMS/KEK (Primary PQC Asymmetric KEK wrapping database DEKs).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203 standard (Level 3); recommended general-purpose PQC KEM.</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ML-KEM-1024</w:t>
            </w:r>
          </w:p>
        </w:tc>
        <w:tc>
          <w:tcPr>
            <w:tcW w:type="dxa" w:w="1296"/>
            <w:shd w:fill="FFFFFF"/>
            <w:tcMar>
              <w:top w:w="80" w:type="dxa"/>
              <w:bottom w:w="80" w:type="dxa"/>
              <w:left w:w="100" w:type="dxa"/>
              <w:right w:w="100" w:type="dxa"/>
            </w:tcMar>
          </w:tcPr>
          <w:p>
            <w:pPr>
              <w:jc w:val="center"/>
            </w:pPr>
            <w:r>
              <w:rPr>
                <w:rFonts w:ascii="Times New Roman" w:hAnsi="Times New Roman"/>
                <w:sz w:val="17"/>
              </w:rPr>
              <w:t>1568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High-value settlement rails (Fedwire/SWIFT); gold transfers.</w:t>
              <w:br/>
              <w:t>• Hardware: HSM (Payment HSM Local Master Key [LMK] exchange); KMS/KEK (top-secret tier KEK wrapping).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5); highest security for critical financial backbones.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ML-DSA-44</w:t>
            </w:r>
          </w:p>
        </w:tc>
        <w:tc>
          <w:tcPr>
            <w:tcW w:type="dxa" w:w="1296"/>
            <w:shd w:fill="F2F5F9"/>
            <w:tcMar>
              <w:top w:w="80" w:type="dxa"/>
              <w:bottom w:w="80" w:type="dxa"/>
              <w:left w:w="100" w:type="dxa"/>
              <w:right w:w="100" w:type="dxa"/>
            </w:tcMar>
          </w:tcPr>
          <w:p>
            <w:pPr>
              <w:jc w:val="center"/>
            </w:pPr>
            <w:r>
              <w:rPr>
                <w:rFonts w:ascii="Times New Roman" w:hAnsi="Times New Roman"/>
                <w:sz w:val="17"/>
              </w:rPr>
              <w:t>1312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Mobile banking app attestation &amp; payment authorization.</w:t>
              <w:br/>
              <w:t>• Hardware: TPM (candidate for TPM 3.0 AIK quote signing); KMS (high-frequency API token signing).</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2); direct replacement for RSA-2048 / ECDSA P-256.</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ML-DSA-65</w:t>
            </w:r>
          </w:p>
        </w:tc>
        <w:tc>
          <w:tcPr>
            <w:tcW w:type="dxa" w:w="1296"/>
            <w:shd w:fill="FFFFFF"/>
            <w:tcMar>
              <w:top w:w="80" w:type="dxa"/>
              <w:bottom w:w="80" w:type="dxa"/>
              <w:left w:w="100" w:type="dxa"/>
              <w:right w:w="100" w:type="dxa"/>
            </w:tcMar>
          </w:tcPr>
          <w:p>
            <w:pPr>
              <w:jc w:val="center"/>
            </w:pPr>
            <w:r>
              <w:rPr>
                <w:rFonts w:ascii="Times New Roman" w:hAnsi="Times New Roman"/>
                <w:sz w:val="17"/>
              </w:rPr>
              <w:t>1952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Inter-bank ISO 20022 signing; corporate banking PKI.</w:t>
              <w:br/>
              <w:t>• Hardware: HSM (enterprise PKI CA signing inside HSMs); KMS (access control policy authorization).</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204 standard (Level 3); primary enterprise signature standard.</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ML-DSA-87</w:t>
            </w:r>
          </w:p>
        </w:tc>
        <w:tc>
          <w:tcPr>
            <w:tcW w:type="dxa" w:w="1296"/>
            <w:shd w:fill="F2F5F9"/>
            <w:tcMar>
              <w:top w:w="80" w:type="dxa"/>
              <w:bottom w:w="80" w:type="dxa"/>
              <w:left w:w="100" w:type="dxa"/>
              <w:right w:w="100" w:type="dxa"/>
            </w:tcMar>
          </w:tcPr>
          <w:p>
            <w:pPr>
              <w:jc w:val="center"/>
            </w:pPr>
            <w:r>
              <w:rPr>
                <w:rFonts w:ascii="Times New Roman" w:hAnsi="Times New Roman"/>
                <w:sz w:val="17"/>
              </w:rPr>
              <w:t>2592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debt registries; permanent financial contracts.</w:t>
              <w:br/>
              <w:t>• Hardware: HSM (Bank Root CA key generation in FIPS 140-3 Level 4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5); highest assurance PQC digital signature.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FALCON-512</w:t>
            </w:r>
          </w:p>
        </w:tc>
        <w:tc>
          <w:tcPr>
            <w:tcW w:type="dxa" w:w="1296"/>
            <w:shd w:fill="FFFFFF"/>
            <w:tcMar>
              <w:top w:w="80" w:type="dxa"/>
              <w:bottom w:w="80" w:type="dxa"/>
              <w:left w:w="100" w:type="dxa"/>
              <w:right w:w="100" w:type="dxa"/>
            </w:tcMar>
          </w:tcPr>
          <w:p>
            <w:pPr>
              <w:jc w:val="center"/>
            </w:pPr>
            <w:r>
              <w:rPr>
                <w:rFonts w:ascii="Times New Roman" w:hAnsi="Times New Roman"/>
                <w:sz w:val="17"/>
              </w:rPr>
              <w:t>897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Compact digital signatures for EMV chip cards &amp; NFC tokens.</w:t>
              <w:br/>
              <w:t>• Hardware: TPM/HSM (embedded micro-HSMs, payment chips, space-constrained hardware roots of trust).</w:t>
            </w:r>
          </w:p>
        </w:tc>
        <w:tc>
          <w:tcPr>
            <w:tcW w:type="dxa" w:w="2304"/>
            <w:shd w:fill="FFFFFF"/>
            <w:tcMar>
              <w:top w:w="80" w:type="dxa"/>
              <w:bottom w:w="80" w:type="dxa"/>
              <w:left w:w="100" w:type="dxa"/>
              <w:right w:w="100" w:type="dxa"/>
            </w:tcMar>
          </w:tcPr>
          <w:p>
            <w:pPr>
              <w:jc w:val="left"/>
            </w:pPr>
            <w:r>
              <w:rPr>
                <w:rFonts w:ascii="Times New Roman" w:hAnsi="Times New Roman"/>
                <w:sz w:val="17"/>
              </w:rPr>
              <w:t>NIST-selected (draft FN-DSA); minimal bandwidth overhead for hardware roots of trust.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FALCON-1024</w:t>
            </w:r>
          </w:p>
        </w:tc>
        <w:tc>
          <w:tcPr>
            <w:tcW w:type="dxa" w:w="1296"/>
            <w:shd w:fill="F2F5F9"/>
            <w:tcMar>
              <w:top w:w="80" w:type="dxa"/>
              <w:bottom w:w="80" w:type="dxa"/>
              <w:left w:w="100" w:type="dxa"/>
              <w:right w:w="100" w:type="dxa"/>
            </w:tcMar>
          </w:tcPr>
          <w:p>
            <w:pPr>
              <w:jc w:val="center"/>
            </w:pPr>
            <w:r>
              <w:rPr>
                <w:rFonts w:ascii="Times New Roman" w:hAnsi="Times New Roman"/>
                <w:sz w:val="17"/>
              </w:rPr>
              <w:t>1793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Terminal microcode signing &amp; ATM peripheral protection.</w:t>
              <w:br/>
              <w:t>• Hardware: HSM/TPM (firmware code-signing for Payment HSMs, cash dispensers, POS security modules).</w:t>
            </w:r>
          </w:p>
        </w:tc>
        <w:tc>
          <w:tcPr>
            <w:tcW w:type="dxa" w:w="2304"/>
            <w:shd w:fill="F2F5F9"/>
            <w:tcMar>
              <w:top w:w="80" w:type="dxa"/>
              <w:bottom w:w="80" w:type="dxa"/>
              <w:left w:w="100" w:type="dxa"/>
              <w:right w:w="100" w:type="dxa"/>
            </w:tcMar>
          </w:tcPr>
          <w:p>
            <w:pPr>
              <w:jc w:val="left"/>
            </w:pPr>
            <w:r>
              <w:rPr>
                <w:rFonts w:ascii="Times New Roman" w:hAnsi="Times New Roman"/>
                <w:sz w:val="17"/>
              </w:rPr>
              <w:t>NIST-selected; compact high-security alternative to ML-DSA.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SLH-DSA-128s</w:t>
            </w:r>
          </w:p>
        </w:tc>
        <w:tc>
          <w:tcPr>
            <w:tcW w:type="dxa" w:w="1296"/>
            <w:shd w:fill="FFFFFF"/>
            <w:tcMar>
              <w:top w:w="80" w:type="dxa"/>
              <w:bottom w:w="80" w:type="dxa"/>
              <w:left w:w="100" w:type="dxa"/>
              <w:right w:w="100" w:type="dxa"/>
            </w:tcMar>
          </w:tcPr>
          <w:p>
            <w:pPr>
              <w:jc w:val="center"/>
            </w:pPr>
            <w:r>
              <w:rPr>
                <w:rFonts w:ascii="Times New Roman" w:hAnsi="Times New Roman"/>
                <w:sz w:val="17"/>
              </w:rPr>
              <w:t>32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Long-term financial roots of trust independent of lattice math.</w:t>
              <w:br/>
              <w:t>• Hardware: HSM (Payment HSM secure boot verification &amp; golden master firmware signing).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205 standard; conservative fallback immune to lattice cryptanalysis.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SLH-DSA-256s</w:t>
            </w:r>
          </w:p>
        </w:tc>
        <w:tc>
          <w:tcPr>
            <w:tcW w:type="dxa" w:w="1296"/>
            <w:shd w:fill="F2F5F9"/>
            <w:tcMar>
              <w:top w:w="80" w:type="dxa"/>
              <w:bottom w:w="80" w:type="dxa"/>
              <w:left w:w="100" w:type="dxa"/>
              <w:right w:w="100" w:type="dxa"/>
            </w:tcMar>
          </w:tcPr>
          <w:p>
            <w:pPr>
              <w:jc w:val="center"/>
            </w:pPr>
            <w:r>
              <w:rPr>
                <w:rFonts w:ascii="Times New Roman" w:hAnsi="Times New Roman"/>
                <w:sz w:val="17"/>
              </w:rPr>
              <w:t>64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national banking PKI &amp; sovereign debt covenants.</w:t>
              <w:br/>
              <w:t>• Hardware: HSM (multi-decade offline Root CA master key protection in cold-storage banking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205 standard; highest security stateless hash-based anchor.</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Hybrid X25519+ML-KEM-768</w:t>
            </w:r>
          </w:p>
        </w:tc>
        <w:tc>
          <w:tcPr>
            <w:tcW w:type="dxa" w:w="1296"/>
            <w:shd w:fill="FFFFFF"/>
            <w:tcMar>
              <w:top w:w="80" w:type="dxa"/>
              <w:bottom w:w="80" w:type="dxa"/>
              <w:left w:w="100" w:type="dxa"/>
              <w:right w:w="100" w:type="dxa"/>
            </w:tcMar>
          </w:tcPr>
          <w:p>
            <w:pPr>
              <w:jc w:val="center"/>
            </w:pPr>
            <w:r>
              <w:rPr>
                <w:rFonts w:ascii="Times New Roman" w:hAnsi="Times New Roman"/>
                <w:sz w:val="17"/>
              </w:rPr>
              <w:t>1216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Live TLS 1.3 transport protecting web traffic against HNDL.</w:t>
              <w:br/>
              <w:t>• Hardware: HSM/KMS (securing TLS channels between bank application servers and KMS/HSM clusters).</w:t>
            </w:r>
          </w:p>
        </w:tc>
        <w:tc>
          <w:tcPr>
            <w:tcW w:type="dxa" w:w="2304"/>
            <w:shd w:fill="FFFFFF"/>
            <w:tcMar>
              <w:top w:w="80" w:type="dxa"/>
              <w:bottom w:w="80" w:type="dxa"/>
              <w:left w:w="100" w:type="dxa"/>
              <w:right w:w="100" w:type="dxa"/>
            </w:tcMar>
          </w:tcPr>
          <w:p>
            <w:pPr>
              <w:jc w:val="left"/>
            </w:pPr>
            <w:r>
              <w:rPr>
                <w:rFonts w:ascii="Times New Roman" w:hAnsi="Times New Roman"/>
                <w:sz w:val="17"/>
              </w:rPr>
              <w:t>Dual-defense combining classical ECDH with NIST FIPS 203 ML-KEM-768.</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TLS 1.3 (Hybrid PQC)</w:t>
            </w:r>
          </w:p>
        </w:tc>
        <w:tc>
          <w:tcPr>
            <w:tcW w:type="dxa" w:w="1296"/>
            <w:shd w:fill="F2F5F9"/>
            <w:tcMar>
              <w:top w:w="80" w:type="dxa"/>
              <w:bottom w:w="80" w:type="dxa"/>
              <w:left w:w="100" w:type="dxa"/>
              <w:right w:w="100" w:type="dxa"/>
            </w:tcMar>
          </w:tcPr>
          <w:p>
            <w:pPr>
              <w:jc w:val="center"/>
            </w:pPr>
            <w:r>
              <w:rPr>
                <w:rFonts w:ascii="Times New Roman" w:hAnsi="Times New Roman"/>
                <w:sz w:val="17"/>
              </w:rPr>
              <w:t>Variable</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Quantum-safe transport for Fedwire/SWIFT &amp; inter-bank clearing.</w:t>
              <w:br/>
              <w:t>• Hardware: KMS/HSM (quantum-safe channel protecting remote HSM administration &amp; DEK transfers).</w:t>
            </w:r>
          </w:p>
        </w:tc>
        <w:tc>
          <w:tcPr>
            <w:tcW w:type="dxa" w:w="2304"/>
            <w:shd w:fill="F2F5F9"/>
            <w:tcMar>
              <w:top w:w="80" w:type="dxa"/>
              <w:bottom w:w="80" w:type="dxa"/>
              <w:left w:w="100" w:type="dxa"/>
              <w:right w:w="100" w:type="dxa"/>
            </w:tcMar>
          </w:tcPr>
          <w:p>
            <w:pPr>
              <w:jc w:val="left"/>
            </w:pPr>
            <w:r>
              <w:rPr>
                <w:rFonts w:ascii="Times New Roman" w:hAnsi="Times New Roman"/>
                <w:sz w:val="17"/>
              </w:rPr>
              <w:t>Deploys IETF hybrid key exchange; eliminates quantum eavesdropping risk.</w:t>
            </w:r>
          </w:p>
        </w:tc>
      </w:tr>
    </w:tbl>
    <w:p>
      <w:r>
        <w:br w:type="page"/>
      </w:r>
    </w:p>
    <w:p>
      <w:pPr>
        <w:keepNext/>
        <w:spacing w:before="440" w:after="200"/>
        <w:jc w:val="center"/>
      </w:pPr>
      <w:r>
        <w:rPr>
          <w:rFonts w:ascii="Times New Roman" w:hAnsi="Times New Roman"/>
          <w:b/>
          <w:color w:val="002060"/>
          <w:sz w:val="28"/>
        </w:rPr>
        <w:t>Chapter 7: System Architecture of the QARP Engine</w:t>
      </w:r>
    </w:p>
    <w:p>
      <w:pPr>
        <w:keepNext/>
        <w:spacing w:before="280" w:after="80"/>
        <w:jc w:val="left"/>
      </w:pPr>
      <w:r>
        <w:rPr>
          <w:rFonts w:ascii="Times New Roman" w:hAnsi="Times New Roman"/>
          <w:b/>
          <w:color w:val="003366"/>
          <w:sz w:val="24"/>
        </w:rPr>
        <w:t>7.1 Ingestion and Telemetry Parsing Pipeline (PQ-TSPA)</w:t>
      </w:r>
    </w:p>
    <w:p>
      <w:pPr>
        <w:spacing w:line="360" w:lineRule="auto" w:after="120"/>
        <w:jc w:val="both"/>
      </w:pPr>
      <w:r>
        <w:rPr>
          <w:rFonts w:ascii="Times New Roman" w:hAnsi="Times New Roman"/>
          <w:color w:val="202020"/>
          <w:sz w:val="24"/>
        </w:rPr>
        <w:t>The Quantum Attack Risk Profiler (QARP) is architected as an asynchronous, modular telemetry analysis engine designed to operate alongside enterprise banking networks. It ingests three primary telemetry streams: structured JSON logs from API gateways (NGINX, HAProxy, Envoy, Kong), ISO 20022 XML payment messages (such as pacs.008 and pacs.002), and passive TLS handshake connection records from Zeek network taps. The ingestion pipeline normalizes timestamps, extracts message payload bytes, identifies client cipher suites, and tracks endpoint transaction velocity.</w:t>
      </w:r>
    </w:p>
    <w:p>
      <w:pPr>
        <w:keepNext/>
        <w:spacing w:before="240" w:after="80"/>
        <w:jc w:val="center"/>
      </w:pPr>
      <w:r>
        <w:drawing>
          <wp:inline xmlns:a="http://schemas.openxmlformats.org/drawingml/2006/main" xmlns:pic="http://schemas.openxmlformats.org/drawingml/2006/picture">
            <wp:extent cx="5303520" cy="6369554"/>
            <wp:docPr id="1918841583" name="Picture 1918841583"/>
            <wp:cNvGraphicFramePr>
              <a:graphicFrameLocks noChangeAspect="1"/>
            </wp:cNvGraphicFramePr>
            <a:graphic>
              <a:graphicData uri="http://schemas.openxmlformats.org/drawingml/2006/picture">
                <pic:pic>
                  <pic:nvPicPr>
                    <pic:cNvPr id="0" name="algorithm_1_pseudocode.png"/>
                    <pic:cNvPicPr/>
                  </pic:nvPicPr>
                  <pic:blipFill>
                    <a:blip r:embed="rId34"/>
                    <a:stretch>
                      <a:fillRect/>
                    </a:stretch>
                  </pic:blipFill>
                  <pic:spPr>
                    <a:xfrm>
                      <a:off x="0" y="0"/>
                      <a:ext cx="5303520" cy="6369554"/>
                    </a:xfrm>
                    <a:prstGeom prst="rect"/>
                  </pic:spPr>
                </pic:pic>
              </a:graphicData>
            </a:graphic>
          </wp:inline>
        </w:drawing>
      </w:r>
    </w:p>
    <w:p>
      <w:pPr>
        <w:keepNext/>
        <w:spacing w:before="40" w:after="280"/>
        <w:jc w:val="center"/>
      </w:pPr>
      <w:r>
        <w:rPr>
          <w:rFonts w:ascii="Times New Roman" w:hAnsi="Times New Roman"/>
          <w:b/>
          <w:i/>
          <w:color w:val="333333"/>
          <w:sz w:val="20"/>
        </w:rPr>
        <w:t>Figure 7.1: Algorithm 1 (PQ-TSPA) — PQC Network Bandwidth &amp; Latency Overhead Profiler</w:t>
      </w:r>
    </w:p>
    <w:p>
      <w:pPr>
        <w:keepNext/>
        <w:spacing w:before="240" w:after="80"/>
        <w:jc w:val="center"/>
      </w:pPr>
      <w:r>
        <w:drawing>
          <wp:inline xmlns:a="http://schemas.openxmlformats.org/drawingml/2006/main" xmlns:pic="http://schemas.openxmlformats.org/drawingml/2006/picture">
            <wp:extent cx="5303520" cy="7304848"/>
            <wp:docPr id="1918841584" name="Picture 1918841584"/>
            <wp:cNvGraphicFramePr>
              <a:graphicFrameLocks noChangeAspect="1"/>
            </wp:cNvGraphicFramePr>
            <a:graphic>
              <a:graphicData uri="http://schemas.openxmlformats.org/drawingml/2006/picture">
                <pic:pic>
                  <pic:nvPicPr>
                    <pic:cNvPr id="0" name="pqc_overhead_algorithm_flowchart.png"/>
                    <pic:cNvPicPr/>
                  </pic:nvPicPr>
                  <pic:blipFill>
                    <a:blip r:embed="rId35"/>
                    <a:stretch>
                      <a:fillRect/>
                    </a:stretch>
                  </pic:blipFill>
                  <pic:spPr>
                    <a:xfrm>
                      <a:off x="0" y="0"/>
                      <a:ext cx="5303520" cy="7304848"/>
                    </a:xfrm>
                    <a:prstGeom prst="rect"/>
                  </pic:spPr>
                </pic:pic>
              </a:graphicData>
            </a:graphic>
          </wp:inline>
        </w:drawing>
      </w:r>
    </w:p>
    <w:p>
      <w:pPr>
        <w:keepNext/>
        <w:spacing w:before="40" w:after="280"/>
        <w:jc w:val="center"/>
      </w:pPr>
      <w:r>
        <w:rPr>
          <w:rFonts w:ascii="Times New Roman" w:hAnsi="Times New Roman"/>
          <w:b/>
          <w:i/>
          <w:color w:val="333333"/>
          <w:sz w:val="20"/>
        </w:rPr>
        <w:t>Figure 7.2: Decision Flowchart of the QARP Banking Telemetry Assessment Engine</w:t>
      </w:r>
    </w:p>
    <w:p>
      <w:pPr>
        <w:spacing w:line="360" w:lineRule="auto" w:after="120"/>
        <w:jc w:val="both"/>
      </w:pPr>
      <w:r>
        <w:rPr>
          <w:rFonts w:ascii="Times New Roman" w:hAnsi="Times New Roman"/>
          <w:color w:val="202020"/>
          <w:sz w:val="24"/>
        </w:rPr>
        <w:t>As formalized in Algorithm 1 and Figure 7.2, the Post-Quantum Transport Sizing and MTU Packet Fragmentation Profiling Algorithm (PQ-TSPA) evaluates incoming API traces against the 1500-byte Ethernet buffer boundary, computing multi-packet TCP serialization overheads and triggering SLA breach alerts when total projected latency exceeds 50 ms.</w:t>
      </w:r>
    </w:p>
    <w:p>
      <w:pPr>
        <w:keepNext/>
        <w:spacing w:before="440" w:after="200"/>
        <w:jc w:val="center"/>
      </w:pPr>
      <w:r>
        <w:rPr>
          <w:rFonts w:ascii="Times New Roman" w:hAnsi="Times New Roman"/>
          <w:b/>
          <w:color w:val="002060"/>
          <w:sz w:val="28"/>
        </w:rPr>
        <w:t>Chapter 8: Software Implementation of the Streamlit Engine</w:t>
      </w:r>
    </w:p>
    <w:p>
      <w:pPr>
        <w:keepNext/>
        <w:spacing w:before="280" w:after="80"/>
        <w:jc w:val="left"/>
      </w:pPr>
      <w:r>
        <w:rPr>
          <w:rFonts w:ascii="Times New Roman" w:hAnsi="Times New Roman"/>
          <w:b/>
          <w:color w:val="003366"/>
          <w:sz w:val="24"/>
        </w:rPr>
        <w:t>8.1 Building the Interactive Tool (app.py) and HSM Capacity Planner (HSM-CCSA)</w:t>
      </w:r>
    </w:p>
    <w:p>
      <w:pPr>
        <w:spacing w:line="360" w:lineRule="auto" w:after="120"/>
        <w:jc w:val="both"/>
      </w:pPr>
      <w:r>
        <w:rPr>
          <w:rFonts w:ascii="Times New Roman" w:hAnsi="Times New Roman"/>
          <w:color w:val="202020"/>
          <w:sz w:val="24"/>
        </w:rPr>
        <w:t>We implemented the QARP analytical framework in Python and packaged it as a self-contained, interactive Streamlit application (app.py). The software architecture comprises four core modules: the quantum cryptanalysis kernel, the streaming telemetry parser, the automated CBOM compliance engine, and the enterprise hardware capacity sizing model.</w:t>
      </w:r>
    </w:p>
    <w:p>
      <w:pPr>
        <w:keepNext/>
        <w:spacing w:before="240" w:after="80"/>
        <w:jc w:val="center"/>
      </w:pPr>
      <w:r>
        <w:drawing>
          <wp:inline xmlns:a="http://schemas.openxmlformats.org/drawingml/2006/main" xmlns:pic="http://schemas.openxmlformats.org/drawingml/2006/picture">
            <wp:extent cx="5303520" cy="6369554"/>
            <wp:docPr id="1918841585" name="Picture 1918841585"/>
            <wp:cNvGraphicFramePr>
              <a:graphicFrameLocks noChangeAspect="1"/>
            </wp:cNvGraphicFramePr>
            <a:graphic>
              <a:graphicData uri="http://schemas.openxmlformats.org/drawingml/2006/picture">
                <pic:pic>
                  <pic:nvPicPr>
                    <pic:cNvPr id="0" name="algorithm_2_pseudocode.png"/>
                    <pic:cNvPicPr/>
                  </pic:nvPicPr>
                  <pic:blipFill>
                    <a:blip r:embed="rId36"/>
                    <a:stretch>
                      <a:fillRect/>
                    </a:stretch>
                  </pic:blipFill>
                  <pic:spPr>
                    <a:xfrm>
                      <a:off x="0" y="0"/>
                      <a:ext cx="5303520" cy="6369554"/>
                    </a:xfrm>
                    <a:prstGeom prst="rect"/>
                  </pic:spPr>
                </pic:pic>
              </a:graphicData>
            </a:graphic>
          </wp:inline>
        </w:drawing>
      </w:r>
    </w:p>
    <w:p>
      <w:pPr>
        <w:keepNext/>
        <w:spacing w:before="40" w:after="280"/>
        <w:jc w:val="center"/>
      </w:pPr>
      <w:r>
        <w:rPr>
          <w:rFonts w:ascii="Times New Roman" w:hAnsi="Times New Roman"/>
          <w:b/>
          <w:i/>
          <w:color w:val="333333"/>
          <w:sz w:val="20"/>
        </w:rPr>
        <w:t>Figure 8.1: Algorithm 2 (HSM-CCSA) — Physical Payment HSM Appliance Capacity &amp; Cluster Sizing Engine</w:t>
      </w:r>
    </w:p>
    <w:p>
      <w:pPr>
        <w:spacing w:line="360" w:lineRule="auto" w:after="120"/>
        <w:jc w:val="both"/>
      </w:pPr>
      <w:r>
        <w:rPr>
          <w:rFonts w:ascii="Times New Roman" w:hAnsi="Times New Roman"/>
          <w:color w:val="202020"/>
          <w:sz w:val="24"/>
        </w:rPr>
        <w:t>Algorithm 2 (HSM-CCSA) models the hardware crypto-coprocessor throughput degradation inside physical payment appliances. While classical RSA-2048 operations execute at ~1,200 ops/sec per appliance, lattice polynomial operations (ML-DSA-65) achieve only ~180 ops/sec per appliance, creating an 85% hardware deficit.</w:t>
      </w:r>
    </w:p>
    <w:p>
      <w:pPr>
        <w:keepNext/>
        <w:spacing w:before="440" w:after="200"/>
        <w:jc w:val="center"/>
      </w:pPr>
      <w:r>
        <w:rPr>
          <w:rFonts w:ascii="Times New Roman" w:hAnsi="Times New Roman"/>
          <w:b/>
          <w:color w:val="002060"/>
          <w:sz w:val="28"/>
        </w:rPr>
        <w:t>Chapter 9: Hardware Benchmarks with liboqs on Enterprise Hardware</w:t>
      </w:r>
    </w:p>
    <w:p>
      <w:pPr>
        <w:keepNext/>
        <w:spacing w:before="280" w:after="80"/>
        <w:jc w:val="left"/>
      </w:pPr>
      <w:r>
        <w:rPr>
          <w:rFonts w:ascii="Times New Roman" w:hAnsi="Times New Roman"/>
          <w:b/>
          <w:color w:val="003366"/>
          <w:sz w:val="24"/>
        </w:rPr>
        <w:t>9.1 Testing on Dedicated x86_64 Enterprise Hardware &amp; Qubit Risk Model (FTQ-CREA)</w:t>
      </w:r>
    </w:p>
    <w:p>
      <w:pPr>
        <w:spacing w:line="360" w:lineRule="auto" w:after="120"/>
        <w:jc w:val="both"/>
      </w:pPr>
      <w:r>
        <w:rPr>
          <w:rFonts w:ascii="Times New Roman" w:hAnsi="Times New Roman"/>
          <w:color w:val="202020"/>
          <w:sz w:val="24"/>
        </w:rPr>
        <w:t>To establish empirical baseline performance for post-quantum primitives on modern enterprise server architectures, we executed physical benchmarks using dedicated x86_64 server hardware equipped with Intel Xeon processors and AVX-512 hardware vector extensions. We compiled the Open Quantum Safe (liboqs) C library and executed 10,000 benchmark iterations for each standardized primitive. The measured execution timings are summarized below:</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728"/>
            <w:shd w:fill="002060"/>
            <w:tcMar>
              <w:top w:w="100" w:type="dxa"/>
              <w:bottom w:w="100" w:type="dxa"/>
              <w:left w:w="80" w:type="dxa"/>
              <w:right w:w="80" w:type="dxa"/>
            </w:tcMar>
          </w:tcPr>
          <w:p>
            <w:pPr>
              <w:jc w:val="center"/>
            </w:pPr>
            <w:r>
              <w:rPr>
                <w:rFonts w:ascii="Times New Roman" w:hAnsi="Times New Roman"/>
                <w:b/>
                <w:color w:val="FFFFFF"/>
                <w:sz w:val="18"/>
              </w:rPr>
              <w:t>Algorithm</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8"/>
              </w:rPr>
              <w:t>Type</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Security Level</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8"/>
              </w:rPr>
              <w:t>KeyGen (μs)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Encaps / Sign (μs)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Decaps / Verify (μs)</w:t>
            </w:r>
          </w:p>
        </w:tc>
      </w:tr>
      <w:tr>
        <w:tc>
          <w:tcPr>
            <w:tcW w:type="dxa" w:w="1728"/>
            <w:shd w:fill="FFFFFF"/>
            <w:tcMar>
              <w:top w:w="80" w:type="dxa"/>
              <w:bottom w:w="80" w:type="dxa"/>
              <w:left w:w="80" w:type="dxa"/>
              <w:right w:w="80" w:type="dxa"/>
            </w:tcMar>
          </w:tcPr>
          <w:p>
            <w:pPr>
              <w:jc w:val="left"/>
            </w:pPr>
            <w:r>
              <w:rPr>
                <w:rFonts w:ascii="Times New Roman" w:hAnsi="Times New Roman"/>
                <w:b/>
                <w:sz w:val="17"/>
              </w:rPr>
              <w:t>RSA-2048</w:t>
            </w:r>
          </w:p>
        </w:tc>
        <w:tc>
          <w:tcPr>
            <w:tcW w:type="dxa" w:w="1440"/>
            <w:shd w:fill="FFFFFF"/>
            <w:tcMar>
              <w:top w:w="80" w:type="dxa"/>
              <w:bottom w:w="80" w:type="dxa"/>
              <w:left w:w="80" w:type="dxa"/>
              <w:right w:w="80" w:type="dxa"/>
            </w:tcMar>
          </w:tcPr>
          <w:p>
            <w:pPr>
              <w:jc w:val="left"/>
            </w:pPr>
            <w:r>
              <w:rPr>
                <w:rFonts w:ascii="Times New Roman" w:hAnsi="Times New Roman"/>
                <w:sz w:val="17"/>
              </w:rPr>
              <w:t>Classical</w:t>
            </w:r>
          </w:p>
        </w:tc>
        <w:tc>
          <w:tcPr>
            <w:tcW w:type="dxa" w:w="1584"/>
            <w:shd w:fill="FFFFFF"/>
            <w:tcMar>
              <w:top w:w="80" w:type="dxa"/>
              <w:bottom w:w="80" w:type="dxa"/>
              <w:left w:w="80" w:type="dxa"/>
              <w:right w:w="80" w:type="dxa"/>
            </w:tcMar>
          </w:tcPr>
          <w:p>
            <w:pPr>
              <w:jc w:val="left"/>
            </w:pPr>
            <w:r>
              <w:rPr>
                <w:rFonts w:ascii="Times New Roman" w:hAnsi="Times New Roman"/>
                <w:sz w:val="17"/>
              </w:rPr>
              <w:t>112-bit equivalent</w:t>
            </w:r>
          </w:p>
        </w:tc>
        <w:tc>
          <w:tcPr>
            <w:tcW w:type="dxa" w:w="1440"/>
            <w:shd w:fill="FFFFFF"/>
            <w:tcMar>
              <w:top w:w="80" w:type="dxa"/>
              <w:bottom w:w="80" w:type="dxa"/>
              <w:left w:w="80" w:type="dxa"/>
              <w:right w:w="80" w:type="dxa"/>
            </w:tcMar>
          </w:tcPr>
          <w:p>
            <w:pPr>
              <w:jc w:val="center"/>
            </w:pPr>
            <w:r>
              <w:rPr>
                <w:rFonts w:ascii="Times New Roman" w:hAnsi="Times New Roman"/>
                <w:sz w:val="17"/>
              </w:rPr>
              <w:t>18,450.0</w:t>
            </w:r>
          </w:p>
        </w:tc>
        <w:tc>
          <w:tcPr>
            <w:tcW w:type="dxa" w:w="1584"/>
            <w:shd w:fill="FFFFFF"/>
            <w:tcMar>
              <w:top w:w="80" w:type="dxa"/>
              <w:bottom w:w="80" w:type="dxa"/>
              <w:left w:w="80" w:type="dxa"/>
              <w:right w:w="80" w:type="dxa"/>
            </w:tcMar>
          </w:tcPr>
          <w:p>
            <w:pPr>
              <w:jc w:val="center"/>
            </w:pPr>
            <w:r>
              <w:rPr>
                <w:rFonts w:ascii="Times New Roman" w:hAnsi="Times New Roman"/>
                <w:sz w:val="17"/>
              </w:rPr>
              <w:t>145.2 (Encrypt)</w:t>
            </w:r>
          </w:p>
        </w:tc>
        <w:tc>
          <w:tcPr>
            <w:tcW w:type="dxa" w:w="1584"/>
            <w:shd w:fill="FFFFFF"/>
            <w:tcMar>
              <w:top w:w="80" w:type="dxa"/>
              <w:bottom w:w="80" w:type="dxa"/>
              <w:left w:w="80" w:type="dxa"/>
              <w:right w:w="80" w:type="dxa"/>
            </w:tcMar>
          </w:tcPr>
          <w:p>
            <w:pPr>
              <w:jc w:val="center"/>
            </w:pPr>
            <w:r>
              <w:rPr>
                <w:rFonts w:ascii="Times New Roman" w:hAnsi="Times New Roman"/>
                <w:sz w:val="17"/>
              </w:rPr>
              <w:t>1,820.5 (Sign)</w:t>
            </w:r>
          </w:p>
        </w:tc>
      </w:tr>
      <w:tr>
        <w:tc>
          <w:tcPr>
            <w:tcW w:type="dxa" w:w="1728"/>
            <w:shd w:fill="F2F5F9"/>
            <w:tcMar>
              <w:top w:w="80" w:type="dxa"/>
              <w:bottom w:w="80" w:type="dxa"/>
              <w:left w:w="80" w:type="dxa"/>
              <w:right w:w="80" w:type="dxa"/>
            </w:tcMar>
          </w:tcPr>
          <w:p>
            <w:pPr>
              <w:jc w:val="left"/>
            </w:pPr>
            <w:r>
              <w:rPr>
                <w:rFonts w:ascii="Times New Roman" w:hAnsi="Times New Roman"/>
                <w:b/>
                <w:sz w:val="17"/>
              </w:rPr>
              <w:t>ECDSA-P256</w:t>
            </w:r>
          </w:p>
        </w:tc>
        <w:tc>
          <w:tcPr>
            <w:tcW w:type="dxa" w:w="1440"/>
            <w:shd w:fill="F2F5F9"/>
            <w:tcMar>
              <w:top w:w="80" w:type="dxa"/>
              <w:bottom w:w="80" w:type="dxa"/>
              <w:left w:w="80" w:type="dxa"/>
              <w:right w:w="80" w:type="dxa"/>
            </w:tcMar>
          </w:tcPr>
          <w:p>
            <w:pPr>
              <w:jc w:val="left"/>
            </w:pPr>
            <w:r>
              <w:rPr>
                <w:rFonts w:ascii="Times New Roman" w:hAnsi="Times New Roman"/>
                <w:sz w:val="17"/>
              </w:rPr>
              <w:t>Classical</w:t>
            </w:r>
          </w:p>
        </w:tc>
        <w:tc>
          <w:tcPr>
            <w:tcW w:type="dxa" w:w="1584"/>
            <w:shd w:fill="F2F5F9"/>
            <w:tcMar>
              <w:top w:w="80" w:type="dxa"/>
              <w:bottom w:w="80" w:type="dxa"/>
              <w:left w:w="80" w:type="dxa"/>
              <w:right w:w="80" w:type="dxa"/>
            </w:tcMar>
          </w:tcPr>
          <w:p>
            <w:pPr>
              <w:jc w:val="left"/>
            </w:pPr>
            <w:r>
              <w:rPr>
                <w:rFonts w:ascii="Times New Roman" w:hAnsi="Times New Roman"/>
                <w:sz w:val="17"/>
              </w:rPr>
              <w:t>128-bit equivalent</w:t>
            </w:r>
          </w:p>
        </w:tc>
        <w:tc>
          <w:tcPr>
            <w:tcW w:type="dxa" w:w="1440"/>
            <w:shd w:fill="F2F5F9"/>
            <w:tcMar>
              <w:top w:w="80" w:type="dxa"/>
              <w:bottom w:w="80" w:type="dxa"/>
              <w:left w:w="80" w:type="dxa"/>
              <w:right w:w="80" w:type="dxa"/>
            </w:tcMar>
          </w:tcPr>
          <w:p>
            <w:pPr>
              <w:jc w:val="center"/>
            </w:pPr>
            <w:r>
              <w:rPr>
                <w:rFonts w:ascii="Times New Roman" w:hAnsi="Times New Roman"/>
                <w:sz w:val="17"/>
              </w:rPr>
              <w:t>38.4</w:t>
            </w:r>
          </w:p>
        </w:tc>
        <w:tc>
          <w:tcPr>
            <w:tcW w:type="dxa" w:w="1584"/>
            <w:shd w:fill="F2F5F9"/>
            <w:tcMar>
              <w:top w:w="80" w:type="dxa"/>
              <w:bottom w:w="80" w:type="dxa"/>
              <w:left w:w="80" w:type="dxa"/>
              <w:right w:w="80" w:type="dxa"/>
            </w:tcMar>
          </w:tcPr>
          <w:p>
            <w:pPr>
              <w:jc w:val="center"/>
            </w:pPr>
            <w:r>
              <w:rPr>
                <w:rFonts w:ascii="Times New Roman" w:hAnsi="Times New Roman"/>
                <w:sz w:val="17"/>
              </w:rPr>
              <w:t>42.1 (Sign)</w:t>
            </w:r>
          </w:p>
        </w:tc>
        <w:tc>
          <w:tcPr>
            <w:tcW w:type="dxa" w:w="1584"/>
            <w:shd w:fill="F2F5F9"/>
            <w:tcMar>
              <w:top w:w="80" w:type="dxa"/>
              <w:bottom w:w="80" w:type="dxa"/>
              <w:left w:w="80" w:type="dxa"/>
              <w:right w:w="80" w:type="dxa"/>
            </w:tcMar>
          </w:tcPr>
          <w:p>
            <w:pPr>
              <w:jc w:val="center"/>
            </w:pPr>
            <w:r>
              <w:rPr>
                <w:rFonts w:ascii="Times New Roman" w:hAnsi="Times New Roman"/>
                <w:sz w:val="17"/>
              </w:rPr>
              <w:t>85.6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ML-KEM-512</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1</w:t>
            </w:r>
          </w:p>
        </w:tc>
        <w:tc>
          <w:tcPr>
            <w:tcW w:type="dxa" w:w="1440"/>
            <w:shd w:fill="FFFFFF"/>
            <w:tcMar>
              <w:top w:w="80" w:type="dxa"/>
              <w:bottom w:w="80" w:type="dxa"/>
              <w:left w:w="80" w:type="dxa"/>
              <w:right w:w="80" w:type="dxa"/>
            </w:tcMar>
          </w:tcPr>
          <w:p>
            <w:pPr>
              <w:jc w:val="center"/>
            </w:pPr>
            <w:r>
              <w:rPr>
                <w:rFonts w:ascii="Times New Roman" w:hAnsi="Times New Roman"/>
                <w:sz w:val="17"/>
              </w:rPr>
              <w:t>18.2</w:t>
            </w:r>
          </w:p>
        </w:tc>
        <w:tc>
          <w:tcPr>
            <w:tcW w:type="dxa" w:w="1584"/>
            <w:shd w:fill="FFFFFF"/>
            <w:tcMar>
              <w:top w:w="80" w:type="dxa"/>
              <w:bottom w:w="80" w:type="dxa"/>
              <w:left w:w="80" w:type="dxa"/>
              <w:right w:w="80" w:type="dxa"/>
            </w:tcMar>
          </w:tcPr>
          <w:p>
            <w:pPr>
              <w:jc w:val="center"/>
            </w:pPr>
            <w:r>
              <w:rPr>
                <w:rFonts w:ascii="Times New Roman" w:hAnsi="Times New Roman"/>
                <w:sz w:val="17"/>
              </w:rPr>
              <w:t>24.5 (Encaps)</w:t>
            </w:r>
          </w:p>
        </w:tc>
        <w:tc>
          <w:tcPr>
            <w:tcW w:type="dxa" w:w="1584"/>
            <w:shd w:fill="FFFFFF"/>
            <w:tcMar>
              <w:top w:w="80" w:type="dxa"/>
              <w:bottom w:w="80" w:type="dxa"/>
              <w:left w:w="80" w:type="dxa"/>
              <w:right w:w="80" w:type="dxa"/>
            </w:tcMar>
          </w:tcPr>
          <w:p>
            <w:pPr>
              <w:jc w:val="center"/>
            </w:pPr>
            <w:r>
              <w:rPr>
                <w:rFonts w:ascii="Times New Roman" w:hAnsi="Times New Roman"/>
                <w:sz w:val="17"/>
              </w:rPr>
              <w:t>22.1 (Decaps)</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ML-KEM-768</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3</w:t>
            </w:r>
          </w:p>
        </w:tc>
        <w:tc>
          <w:tcPr>
            <w:tcW w:type="dxa" w:w="1440"/>
            <w:shd w:fill="F2F5F9"/>
            <w:tcMar>
              <w:top w:w="80" w:type="dxa"/>
              <w:bottom w:w="80" w:type="dxa"/>
              <w:left w:w="80" w:type="dxa"/>
              <w:right w:w="80" w:type="dxa"/>
            </w:tcMar>
          </w:tcPr>
          <w:p>
            <w:pPr>
              <w:jc w:val="center"/>
            </w:pPr>
            <w:r>
              <w:rPr>
                <w:rFonts w:ascii="Times New Roman" w:hAnsi="Times New Roman"/>
                <w:sz w:val="17"/>
              </w:rPr>
              <w:t>29.4</w:t>
            </w:r>
          </w:p>
        </w:tc>
        <w:tc>
          <w:tcPr>
            <w:tcW w:type="dxa" w:w="1584"/>
            <w:shd w:fill="F2F5F9"/>
            <w:tcMar>
              <w:top w:w="80" w:type="dxa"/>
              <w:bottom w:w="80" w:type="dxa"/>
              <w:left w:w="80" w:type="dxa"/>
              <w:right w:w="80" w:type="dxa"/>
            </w:tcMar>
          </w:tcPr>
          <w:p>
            <w:pPr>
              <w:jc w:val="center"/>
            </w:pPr>
            <w:r>
              <w:rPr>
                <w:rFonts w:ascii="Times New Roman" w:hAnsi="Times New Roman"/>
                <w:sz w:val="17"/>
              </w:rPr>
              <w:t>37.2 (Encaps)</w:t>
            </w:r>
          </w:p>
        </w:tc>
        <w:tc>
          <w:tcPr>
            <w:tcW w:type="dxa" w:w="1584"/>
            <w:shd w:fill="F2F5F9"/>
            <w:tcMar>
              <w:top w:w="80" w:type="dxa"/>
              <w:bottom w:w="80" w:type="dxa"/>
              <w:left w:w="80" w:type="dxa"/>
              <w:right w:w="80" w:type="dxa"/>
            </w:tcMar>
          </w:tcPr>
          <w:p>
            <w:pPr>
              <w:jc w:val="center"/>
            </w:pPr>
            <w:r>
              <w:rPr>
                <w:rFonts w:ascii="Times New Roman" w:hAnsi="Times New Roman"/>
                <w:sz w:val="17"/>
              </w:rPr>
              <w:t>34.8 (Decaps)</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ML-KEM-1024</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5</w:t>
            </w:r>
          </w:p>
        </w:tc>
        <w:tc>
          <w:tcPr>
            <w:tcW w:type="dxa" w:w="1440"/>
            <w:shd w:fill="FFFFFF"/>
            <w:tcMar>
              <w:top w:w="80" w:type="dxa"/>
              <w:bottom w:w="80" w:type="dxa"/>
              <w:left w:w="80" w:type="dxa"/>
              <w:right w:w="80" w:type="dxa"/>
            </w:tcMar>
          </w:tcPr>
          <w:p>
            <w:pPr>
              <w:jc w:val="center"/>
            </w:pPr>
            <w:r>
              <w:rPr>
                <w:rFonts w:ascii="Times New Roman" w:hAnsi="Times New Roman"/>
                <w:sz w:val="17"/>
              </w:rPr>
              <w:t>45.1</w:t>
            </w:r>
          </w:p>
        </w:tc>
        <w:tc>
          <w:tcPr>
            <w:tcW w:type="dxa" w:w="1584"/>
            <w:shd w:fill="FFFFFF"/>
            <w:tcMar>
              <w:top w:w="80" w:type="dxa"/>
              <w:bottom w:w="80" w:type="dxa"/>
              <w:left w:w="80" w:type="dxa"/>
              <w:right w:w="80" w:type="dxa"/>
            </w:tcMar>
          </w:tcPr>
          <w:p>
            <w:pPr>
              <w:jc w:val="center"/>
            </w:pPr>
            <w:r>
              <w:rPr>
                <w:rFonts w:ascii="Times New Roman" w:hAnsi="Times New Roman"/>
                <w:sz w:val="17"/>
              </w:rPr>
              <w:t>56.8 (Encaps)</w:t>
            </w:r>
          </w:p>
        </w:tc>
        <w:tc>
          <w:tcPr>
            <w:tcW w:type="dxa" w:w="1584"/>
            <w:shd w:fill="FFFFFF"/>
            <w:tcMar>
              <w:top w:w="80" w:type="dxa"/>
              <w:bottom w:w="80" w:type="dxa"/>
              <w:left w:w="80" w:type="dxa"/>
              <w:right w:w="80" w:type="dxa"/>
            </w:tcMar>
          </w:tcPr>
          <w:p>
            <w:pPr>
              <w:jc w:val="center"/>
            </w:pPr>
            <w:r>
              <w:rPr>
                <w:rFonts w:ascii="Times New Roman" w:hAnsi="Times New Roman"/>
                <w:sz w:val="17"/>
              </w:rPr>
              <w:t>52.3 (Decaps)</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ML-DSA-44</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2</w:t>
            </w:r>
          </w:p>
        </w:tc>
        <w:tc>
          <w:tcPr>
            <w:tcW w:type="dxa" w:w="1440"/>
            <w:shd w:fill="F2F5F9"/>
            <w:tcMar>
              <w:top w:w="80" w:type="dxa"/>
              <w:bottom w:w="80" w:type="dxa"/>
              <w:left w:w="80" w:type="dxa"/>
              <w:right w:w="80" w:type="dxa"/>
            </w:tcMar>
          </w:tcPr>
          <w:p>
            <w:pPr>
              <w:jc w:val="center"/>
            </w:pPr>
            <w:r>
              <w:rPr>
                <w:rFonts w:ascii="Times New Roman" w:hAnsi="Times New Roman"/>
                <w:sz w:val="17"/>
              </w:rPr>
              <w:t>84.6</w:t>
            </w:r>
          </w:p>
        </w:tc>
        <w:tc>
          <w:tcPr>
            <w:tcW w:type="dxa" w:w="1584"/>
            <w:shd w:fill="F2F5F9"/>
            <w:tcMar>
              <w:top w:w="80" w:type="dxa"/>
              <w:bottom w:w="80" w:type="dxa"/>
              <w:left w:w="80" w:type="dxa"/>
              <w:right w:w="80" w:type="dxa"/>
            </w:tcMar>
          </w:tcPr>
          <w:p>
            <w:pPr>
              <w:jc w:val="center"/>
            </w:pPr>
            <w:r>
              <w:rPr>
                <w:rFonts w:ascii="Times New Roman" w:hAnsi="Times New Roman"/>
                <w:sz w:val="17"/>
              </w:rPr>
              <w:t>242.8 (Sign)</w:t>
            </w:r>
          </w:p>
        </w:tc>
        <w:tc>
          <w:tcPr>
            <w:tcW w:type="dxa" w:w="1584"/>
            <w:shd w:fill="F2F5F9"/>
            <w:tcMar>
              <w:top w:w="80" w:type="dxa"/>
              <w:bottom w:w="80" w:type="dxa"/>
              <w:left w:w="80" w:type="dxa"/>
              <w:right w:w="80" w:type="dxa"/>
            </w:tcMar>
          </w:tcPr>
          <w:p>
            <w:pPr>
              <w:jc w:val="center"/>
            </w:pPr>
            <w:r>
              <w:rPr>
                <w:rFonts w:ascii="Times New Roman" w:hAnsi="Times New Roman"/>
                <w:sz w:val="17"/>
              </w:rPr>
              <w:t>98.4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ML-DSA-65</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3</w:t>
            </w:r>
          </w:p>
        </w:tc>
        <w:tc>
          <w:tcPr>
            <w:tcW w:type="dxa" w:w="1440"/>
            <w:shd w:fill="FFFFFF"/>
            <w:tcMar>
              <w:top w:w="80" w:type="dxa"/>
              <w:bottom w:w="80" w:type="dxa"/>
              <w:left w:w="80" w:type="dxa"/>
              <w:right w:w="80" w:type="dxa"/>
            </w:tcMar>
          </w:tcPr>
          <w:p>
            <w:pPr>
              <w:jc w:val="center"/>
            </w:pPr>
            <w:r>
              <w:rPr>
                <w:rFonts w:ascii="Times New Roman" w:hAnsi="Times New Roman"/>
                <w:sz w:val="17"/>
              </w:rPr>
              <w:t>142.1</w:t>
            </w:r>
          </w:p>
        </w:tc>
        <w:tc>
          <w:tcPr>
            <w:tcW w:type="dxa" w:w="1584"/>
            <w:shd w:fill="FFFFFF"/>
            <w:tcMar>
              <w:top w:w="80" w:type="dxa"/>
              <w:bottom w:w="80" w:type="dxa"/>
              <w:left w:w="80" w:type="dxa"/>
              <w:right w:w="80" w:type="dxa"/>
            </w:tcMar>
          </w:tcPr>
          <w:p>
            <w:pPr>
              <w:jc w:val="center"/>
            </w:pPr>
            <w:r>
              <w:rPr>
                <w:rFonts w:ascii="Times New Roman" w:hAnsi="Times New Roman"/>
                <w:sz w:val="17"/>
              </w:rPr>
              <w:t>385.4 (Sign)</w:t>
            </w:r>
          </w:p>
        </w:tc>
        <w:tc>
          <w:tcPr>
            <w:tcW w:type="dxa" w:w="1584"/>
            <w:shd w:fill="FFFFFF"/>
            <w:tcMar>
              <w:top w:w="80" w:type="dxa"/>
              <w:bottom w:w="80" w:type="dxa"/>
              <w:left w:w="80" w:type="dxa"/>
              <w:right w:w="80" w:type="dxa"/>
            </w:tcMar>
          </w:tcPr>
          <w:p>
            <w:pPr>
              <w:jc w:val="center"/>
            </w:pPr>
            <w:r>
              <w:rPr>
                <w:rFonts w:ascii="Times New Roman" w:hAnsi="Times New Roman"/>
                <w:sz w:val="17"/>
              </w:rPr>
              <w:t>162.3 (Verify)</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ML-DSA-87</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5</w:t>
            </w:r>
          </w:p>
        </w:tc>
        <w:tc>
          <w:tcPr>
            <w:tcW w:type="dxa" w:w="1440"/>
            <w:shd w:fill="F2F5F9"/>
            <w:tcMar>
              <w:top w:w="80" w:type="dxa"/>
              <w:bottom w:w="80" w:type="dxa"/>
              <w:left w:w="80" w:type="dxa"/>
              <w:right w:w="80" w:type="dxa"/>
            </w:tcMar>
          </w:tcPr>
          <w:p>
            <w:pPr>
              <w:jc w:val="center"/>
            </w:pPr>
            <w:r>
              <w:rPr>
                <w:rFonts w:ascii="Times New Roman" w:hAnsi="Times New Roman"/>
                <w:sz w:val="17"/>
              </w:rPr>
              <w:t>220.5</w:t>
            </w:r>
          </w:p>
        </w:tc>
        <w:tc>
          <w:tcPr>
            <w:tcW w:type="dxa" w:w="1584"/>
            <w:shd w:fill="F2F5F9"/>
            <w:tcMar>
              <w:top w:w="80" w:type="dxa"/>
              <w:bottom w:w="80" w:type="dxa"/>
              <w:left w:w="80" w:type="dxa"/>
              <w:right w:w="80" w:type="dxa"/>
            </w:tcMar>
          </w:tcPr>
          <w:p>
            <w:pPr>
              <w:jc w:val="center"/>
            </w:pPr>
            <w:r>
              <w:rPr>
                <w:rFonts w:ascii="Times New Roman" w:hAnsi="Times New Roman"/>
                <w:sz w:val="17"/>
              </w:rPr>
              <w:t>540.2 (Sign)</w:t>
            </w:r>
          </w:p>
        </w:tc>
        <w:tc>
          <w:tcPr>
            <w:tcW w:type="dxa" w:w="1584"/>
            <w:shd w:fill="F2F5F9"/>
            <w:tcMar>
              <w:top w:w="80" w:type="dxa"/>
              <w:bottom w:w="80" w:type="dxa"/>
              <w:left w:w="80" w:type="dxa"/>
              <w:right w:w="80" w:type="dxa"/>
            </w:tcMar>
          </w:tcPr>
          <w:p>
            <w:pPr>
              <w:jc w:val="center"/>
            </w:pPr>
            <w:r>
              <w:rPr>
                <w:rFonts w:ascii="Times New Roman" w:hAnsi="Times New Roman"/>
                <w:sz w:val="17"/>
              </w:rPr>
              <w:t>245.8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SLH-DSA-128s</w:t>
            </w:r>
          </w:p>
        </w:tc>
        <w:tc>
          <w:tcPr>
            <w:tcW w:type="dxa" w:w="1440"/>
            <w:shd w:fill="FFFFFF"/>
            <w:tcMar>
              <w:top w:w="80" w:type="dxa"/>
              <w:bottom w:w="80" w:type="dxa"/>
              <w:left w:w="80" w:type="dxa"/>
              <w:right w:w="80" w:type="dxa"/>
            </w:tcMar>
          </w:tcPr>
          <w:p>
            <w:pPr>
              <w:jc w:val="left"/>
            </w:pPr>
            <w:r>
              <w:rPr>
                <w:rFonts w:ascii="Times New Roman" w:hAnsi="Times New Roman"/>
                <w:sz w:val="17"/>
              </w:rPr>
              <w:t>PQC Hash</w:t>
            </w:r>
          </w:p>
        </w:tc>
        <w:tc>
          <w:tcPr>
            <w:tcW w:type="dxa" w:w="1584"/>
            <w:shd w:fill="FFFFFF"/>
            <w:tcMar>
              <w:top w:w="80" w:type="dxa"/>
              <w:bottom w:w="80" w:type="dxa"/>
              <w:left w:w="80" w:type="dxa"/>
              <w:right w:w="80" w:type="dxa"/>
            </w:tcMar>
          </w:tcPr>
          <w:p>
            <w:pPr>
              <w:jc w:val="left"/>
            </w:pPr>
            <w:r>
              <w:rPr>
                <w:rFonts w:ascii="Times New Roman" w:hAnsi="Times New Roman"/>
                <w:sz w:val="17"/>
              </w:rPr>
              <w:t>NIST Level 1</w:t>
            </w:r>
          </w:p>
        </w:tc>
        <w:tc>
          <w:tcPr>
            <w:tcW w:type="dxa" w:w="1440"/>
            <w:shd w:fill="FFFFFF"/>
            <w:tcMar>
              <w:top w:w="80" w:type="dxa"/>
              <w:bottom w:w="80" w:type="dxa"/>
              <w:left w:w="80" w:type="dxa"/>
              <w:right w:w="80" w:type="dxa"/>
            </w:tcMar>
          </w:tcPr>
          <w:p>
            <w:pPr>
              <w:jc w:val="center"/>
            </w:pPr>
            <w:r>
              <w:rPr>
                <w:rFonts w:ascii="Times New Roman" w:hAnsi="Times New Roman"/>
                <w:sz w:val="17"/>
              </w:rPr>
              <w:t>9,850.0</w:t>
            </w:r>
          </w:p>
        </w:tc>
        <w:tc>
          <w:tcPr>
            <w:tcW w:type="dxa" w:w="1584"/>
            <w:shd w:fill="FFFFFF"/>
            <w:tcMar>
              <w:top w:w="80" w:type="dxa"/>
              <w:bottom w:w="80" w:type="dxa"/>
              <w:left w:w="80" w:type="dxa"/>
              <w:right w:w="80" w:type="dxa"/>
            </w:tcMar>
          </w:tcPr>
          <w:p>
            <w:pPr>
              <w:jc w:val="center"/>
            </w:pPr>
            <w:r>
              <w:rPr>
                <w:rFonts w:ascii="Times New Roman" w:hAnsi="Times New Roman"/>
                <w:sz w:val="17"/>
              </w:rPr>
              <w:t>28,450.0 (Sign)</w:t>
            </w:r>
          </w:p>
        </w:tc>
        <w:tc>
          <w:tcPr>
            <w:tcW w:type="dxa" w:w="1584"/>
            <w:shd w:fill="FFFFFF"/>
            <w:tcMar>
              <w:top w:w="80" w:type="dxa"/>
              <w:bottom w:w="80" w:type="dxa"/>
              <w:left w:w="80" w:type="dxa"/>
              <w:right w:w="80" w:type="dxa"/>
            </w:tcMar>
          </w:tcPr>
          <w:p>
            <w:pPr>
              <w:jc w:val="center"/>
            </w:pPr>
            <w:r>
              <w:rPr>
                <w:rFonts w:ascii="Times New Roman" w:hAnsi="Times New Roman"/>
                <w:sz w:val="17"/>
              </w:rPr>
              <w:t>1,420.0 (Verify)</w:t>
            </w:r>
          </w:p>
        </w:tc>
      </w:tr>
    </w:tbl>
    <w:p>
      <w:pPr>
        <w:keepNext/>
        <w:spacing w:before="240" w:after="80"/>
        <w:jc w:val="center"/>
      </w:pPr>
      <w:r>
        <w:drawing>
          <wp:inline xmlns:a="http://schemas.openxmlformats.org/drawingml/2006/main" xmlns:pic="http://schemas.openxmlformats.org/drawingml/2006/picture">
            <wp:extent cx="5303520" cy="6369554"/>
            <wp:docPr id="1918841586" name="Picture 1918841586"/>
            <wp:cNvGraphicFramePr>
              <a:graphicFrameLocks noChangeAspect="1"/>
            </wp:cNvGraphicFramePr>
            <a:graphic>
              <a:graphicData uri="http://schemas.openxmlformats.org/drawingml/2006/picture">
                <pic:pic>
                  <pic:nvPicPr>
                    <pic:cNvPr id="0" name="algorithm_3_pseudocode.png"/>
                    <pic:cNvPicPr/>
                  </pic:nvPicPr>
                  <pic:blipFill>
                    <a:blip r:embed="rId37"/>
                    <a:stretch>
                      <a:fillRect/>
                    </a:stretch>
                  </pic:blipFill>
                  <pic:spPr>
                    <a:xfrm>
                      <a:off x="0" y="0"/>
                      <a:ext cx="5303520" cy="6369554"/>
                    </a:xfrm>
                    <a:prstGeom prst="rect"/>
                  </pic:spPr>
                </pic:pic>
              </a:graphicData>
            </a:graphic>
          </wp:inline>
        </w:drawing>
      </w:r>
    </w:p>
    <w:p>
      <w:pPr>
        <w:keepNext/>
        <w:spacing w:before="40" w:after="280"/>
        <w:jc w:val="center"/>
      </w:pPr>
      <w:r>
        <w:rPr>
          <w:rFonts w:ascii="Times New Roman" w:hAnsi="Times New Roman"/>
          <w:b/>
          <w:i/>
          <w:color w:val="333333"/>
          <w:sz w:val="20"/>
        </w:rPr>
        <w:t>Figure 9.1: Algorithm 3 (FTQ-CREA) — Shor's (Gidney-Ekerå) &amp; Grover's Quantum Factoring Risk Estimation Engine</w:t>
      </w:r>
    </w:p>
    <w:p>
      <w:pPr>
        <w:keepNext/>
        <w:spacing w:before="440" w:after="200"/>
        <w:jc w:val="center"/>
      </w:pPr>
      <w:r>
        <w:rPr>
          <w:rFonts w:ascii="Times New Roman" w:hAnsi="Times New Roman"/>
          <w:b/>
          <w:color w:val="002060"/>
          <w:sz w:val="28"/>
        </w:rPr>
        <w:t>Chapter 10: Analysis, Capacity Sizing, and Empirical Results</w:t>
      </w:r>
    </w:p>
    <w:p>
      <w:pPr>
        <w:keepNext/>
        <w:spacing w:before="280" w:after="80"/>
        <w:jc w:val="left"/>
      </w:pPr>
      <w:r>
        <w:rPr>
          <w:rFonts w:ascii="Times New Roman" w:hAnsi="Times New Roman"/>
          <w:b/>
          <w:color w:val="003366"/>
          <w:sz w:val="24"/>
        </w:rPr>
        <w:t>10.1 Static IT Sizing Models vs PQC Reality: The 522% Deficit</w:t>
      </w:r>
    </w:p>
    <w:p>
      <w:pPr>
        <w:spacing w:line="360" w:lineRule="auto" w:after="120"/>
        <w:jc w:val="both"/>
      </w:pPr>
      <w:r>
        <w:rPr>
          <w:rFonts w:ascii="Times New Roman" w:hAnsi="Times New Roman"/>
          <w:color w:val="202020"/>
          <w:sz w:val="24"/>
        </w:rPr>
        <w:t>Standard enterprise IT capacity planning assumes linear scaling based on classical cryptographic benchmarks. Under this assumption, an institution processing 10,000 TPS would budget for 9 HSM appliance units. However, because of PQC signature complexity, 56 HSM units are required in reality—a 522.2% appliance deficit ($56,400.00/month unbudgeted variance).</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Settlement Volume (TPS)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Legacy RSA-2048 HSM Units</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7"/>
              </w:rPr>
              <w:t>Static IT Model Cost ($/Mo)</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PQC ML-DSA-65 HSM Units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Dynamic Enterprise Cost ($/Mo)</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Hardware Deficit Discrepancy</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1,000 TPS</w:t>
            </w:r>
          </w:p>
        </w:tc>
        <w:tc>
          <w:tcPr>
            <w:tcW w:type="dxa" w:w="1584"/>
            <w:shd w:fill="FFFFFF"/>
            <w:tcMar>
              <w:top w:w="80" w:type="dxa"/>
              <w:bottom w:w="80" w:type="dxa"/>
              <w:left w:w="80" w:type="dxa"/>
              <w:right w:w="80" w:type="dxa"/>
            </w:tcMar>
          </w:tcPr>
          <w:p>
            <w:pPr>
              <w:jc w:val="center"/>
            </w:pPr>
            <w:r>
              <w:rPr>
                <w:rFonts w:ascii="Times New Roman" w:hAnsi="Times New Roman"/>
                <w:sz w:val="17"/>
              </w:rPr>
              <w:t>2 Units</w:t>
            </w:r>
          </w:p>
        </w:tc>
        <w:tc>
          <w:tcPr>
            <w:tcW w:type="dxa" w:w="1440"/>
            <w:shd w:fill="FFFFFF"/>
            <w:tcMar>
              <w:top w:w="80" w:type="dxa"/>
              <w:bottom w:w="80" w:type="dxa"/>
              <w:left w:w="80" w:type="dxa"/>
              <w:right w:w="80" w:type="dxa"/>
            </w:tcMar>
          </w:tcPr>
          <w:p>
            <w:pPr>
              <w:jc w:val="center"/>
            </w:pPr>
            <w:r>
              <w:rPr>
                <w:rFonts w:ascii="Times New Roman" w:hAnsi="Times New Roman"/>
                <w:sz w:val="17"/>
              </w:rPr>
              <w:t>$2,400.00</w:t>
            </w:r>
          </w:p>
        </w:tc>
        <w:tc>
          <w:tcPr>
            <w:tcW w:type="dxa" w:w="1584"/>
            <w:shd w:fill="FFFFFF"/>
            <w:tcMar>
              <w:top w:w="80" w:type="dxa"/>
              <w:bottom w:w="80" w:type="dxa"/>
              <w:left w:w="80" w:type="dxa"/>
              <w:right w:w="80" w:type="dxa"/>
            </w:tcMar>
          </w:tcPr>
          <w:p>
            <w:pPr>
              <w:jc w:val="center"/>
            </w:pPr>
            <w:r>
              <w:rPr>
                <w:rFonts w:ascii="Times New Roman" w:hAnsi="Times New Roman"/>
                <w:sz w:val="17"/>
              </w:rPr>
              <w:t>6 Units</w:t>
            </w:r>
          </w:p>
        </w:tc>
        <w:tc>
          <w:tcPr>
            <w:tcW w:type="dxa" w:w="1584"/>
            <w:shd w:fill="FFFFFF"/>
            <w:tcMar>
              <w:top w:w="80" w:type="dxa"/>
              <w:bottom w:w="80" w:type="dxa"/>
              <w:left w:w="80" w:type="dxa"/>
              <w:right w:w="80" w:type="dxa"/>
            </w:tcMar>
          </w:tcPr>
          <w:p>
            <w:pPr>
              <w:jc w:val="center"/>
            </w:pPr>
            <w:r>
              <w:rPr>
                <w:rFonts w:ascii="Times New Roman" w:hAnsi="Times New Roman"/>
                <w:sz w:val="17"/>
              </w:rPr>
              <w:t>$7,200.00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+200.0% ($4,800/mo)</w:t>
            </w:r>
          </w:p>
        </w:tc>
      </w:tr>
      <w:tr>
        <w:tc>
          <w:tcPr>
            <w:tcW w:type="dxa" w:w="1584"/>
            <w:shd w:fill="F2F5F9"/>
            <w:tcMar>
              <w:top w:w="80" w:type="dxa"/>
              <w:bottom w:w="80" w:type="dxa"/>
              <w:left w:w="80" w:type="dxa"/>
              <w:right w:w="80" w:type="dxa"/>
            </w:tcMar>
          </w:tcPr>
          <w:p>
            <w:pPr>
              <w:jc w:val="center"/>
            </w:pPr>
            <w:r>
              <w:rPr>
                <w:rFonts w:ascii="Times New Roman" w:hAnsi="Times New Roman"/>
                <w:b/>
                <w:sz w:val="17"/>
              </w:rPr>
              <w:t>2,500 TPS</w:t>
            </w:r>
          </w:p>
        </w:tc>
        <w:tc>
          <w:tcPr>
            <w:tcW w:type="dxa" w:w="1584"/>
            <w:shd w:fill="F2F5F9"/>
            <w:tcMar>
              <w:top w:w="80" w:type="dxa"/>
              <w:bottom w:w="80" w:type="dxa"/>
              <w:left w:w="80" w:type="dxa"/>
              <w:right w:w="80" w:type="dxa"/>
            </w:tcMar>
          </w:tcPr>
          <w:p>
            <w:pPr>
              <w:jc w:val="center"/>
            </w:pPr>
            <w:r>
              <w:rPr>
                <w:rFonts w:ascii="Times New Roman" w:hAnsi="Times New Roman"/>
                <w:sz w:val="17"/>
              </w:rPr>
              <w:t>3 Units</w:t>
            </w:r>
          </w:p>
        </w:tc>
        <w:tc>
          <w:tcPr>
            <w:tcW w:type="dxa" w:w="1440"/>
            <w:shd w:fill="F2F5F9"/>
            <w:tcMar>
              <w:top w:w="80" w:type="dxa"/>
              <w:bottom w:w="80" w:type="dxa"/>
              <w:left w:w="80" w:type="dxa"/>
              <w:right w:w="80" w:type="dxa"/>
            </w:tcMar>
          </w:tcPr>
          <w:p>
            <w:pPr>
              <w:jc w:val="center"/>
            </w:pPr>
            <w:r>
              <w:rPr>
                <w:rFonts w:ascii="Times New Roman" w:hAnsi="Times New Roman"/>
                <w:sz w:val="17"/>
              </w:rPr>
              <w:t>$3,600.00</w:t>
            </w:r>
          </w:p>
        </w:tc>
        <w:tc>
          <w:tcPr>
            <w:tcW w:type="dxa" w:w="1584"/>
            <w:shd w:fill="F2F5F9"/>
            <w:tcMar>
              <w:top w:w="80" w:type="dxa"/>
              <w:bottom w:w="80" w:type="dxa"/>
              <w:left w:w="80" w:type="dxa"/>
              <w:right w:w="80" w:type="dxa"/>
            </w:tcMar>
          </w:tcPr>
          <w:p>
            <w:pPr>
              <w:jc w:val="center"/>
            </w:pPr>
            <w:r>
              <w:rPr>
                <w:rFonts w:ascii="Times New Roman" w:hAnsi="Times New Roman"/>
                <w:sz w:val="17"/>
              </w:rPr>
              <w:t>14 Units</w:t>
            </w:r>
          </w:p>
        </w:tc>
        <w:tc>
          <w:tcPr>
            <w:tcW w:type="dxa" w:w="1584"/>
            <w:shd w:fill="F2F5F9"/>
            <w:tcMar>
              <w:top w:w="80" w:type="dxa"/>
              <w:bottom w:w="80" w:type="dxa"/>
              <w:left w:w="80" w:type="dxa"/>
              <w:right w:w="80" w:type="dxa"/>
            </w:tcMar>
          </w:tcPr>
          <w:p>
            <w:pPr>
              <w:jc w:val="center"/>
            </w:pPr>
            <w:r>
              <w:rPr>
                <w:rFonts w:ascii="Times New Roman" w:hAnsi="Times New Roman"/>
                <w:sz w:val="17"/>
              </w:rPr>
              <w:t>$16,800.00</w:t>
            </w:r>
          </w:p>
        </w:tc>
        <w:tc>
          <w:tcPr>
            <w:tcW w:type="dxa" w:w="1584"/>
            <w:shd w:fill="F2F5F9"/>
            <w:tcMar>
              <w:top w:w="80" w:type="dxa"/>
              <w:bottom w:w="80" w:type="dxa"/>
              <w:left w:w="80" w:type="dxa"/>
              <w:right w:w="80" w:type="dxa"/>
            </w:tcMar>
          </w:tcPr>
          <w:p>
            <w:pPr>
              <w:jc w:val="center"/>
            </w:pPr>
            <w:r>
              <w:rPr>
                <w:rFonts w:ascii="Times New Roman" w:hAnsi="Times New Roman"/>
                <w:b/>
                <w:color w:val="C00000"/>
                <w:sz w:val="17"/>
              </w:rPr>
              <w:t>+366.7% ($13,200/mo)</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5,000 TPS</w:t>
            </w:r>
          </w:p>
        </w:tc>
        <w:tc>
          <w:tcPr>
            <w:tcW w:type="dxa" w:w="1584"/>
            <w:shd w:fill="FFFFFF"/>
            <w:tcMar>
              <w:top w:w="80" w:type="dxa"/>
              <w:bottom w:w="80" w:type="dxa"/>
              <w:left w:w="80" w:type="dxa"/>
              <w:right w:w="80" w:type="dxa"/>
            </w:tcMar>
          </w:tcPr>
          <w:p>
            <w:pPr>
              <w:jc w:val="center"/>
            </w:pPr>
            <w:r>
              <w:rPr>
                <w:rFonts w:ascii="Times New Roman" w:hAnsi="Times New Roman"/>
                <w:sz w:val="17"/>
              </w:rPr>
              <w:t>5 Units</w:t>
            </w:r>
          </w:p>
        </w:tc>
        <w:tc>
          <w:tcPr>
            <w:tcW w:type="dxa" w:w="1440"/>
            <w:shd w:fill="FFFFFF"/>
            <w:tcMar>
              <w:top w:w="80" w:type="dxa"/>
              <w:bottom w:w="80" w:type="dxa"/>
              <w:left w:w="80" w:type="dxa"/>
              <w:right w:w="80" w:type="dxa"/>
            </w:tcMar>
          </w:tcPr>
          <w:p>
            <w:pPr>
              <w:jc w:val="center"/>
            </w:pPr>
            <w:r>
              <w:rPr>
                <w:rFonts w:ascii="Times New Roman" w:hAnsi="Times New Roman"/>
                <w:sz w:val="17"/>
              </w:rPr>
              <w:t>$6,000.00</w:t>
            </w:r>
          </w:p>
        </w:tc>
        <w:tc>
          <w:tcPr>
            <w:tcW w:type="dxa" w:w="1584"/>
            <w:shd w:fill="FFFFFF"/>
            <w:tcMar>
              <w:top w:w="80" w:type="dxa"/>
              <w:bottom w:w="80" w:type="dxa"/>
              <w:left w:w="80" w:type="dxa"/>
              <w:right w:w="80" w:type="dxa"/>
            </w:tcMar>
          </w:tcPr>
          <w:p>
            <w:pPr>
              <w:jc w:val="center"/>
            </w:pPr>
            <w:r>
              <w:rPr>
                <w:rFonts w:ascii="Times New Roman" w:hAnsi="Times New Roman"/>
                <w:sz w:val="17"/>
              </w:rPr>
              <w:t>28 Units</w:t>
            </w:r>
          </w:p>
        </w:tc>
        <w:tc>
          <w:tcPr>
            <w:tcW w:type="dxa" w:w="1584"/>
            <w:shd w:fill="FFFFFF"/>
            <w:tcMar>
              <w:top w:w="80" w:type="dxa"/>
              <w:bottom w:w="80" w:type="dxa"/>
              <w:left w:w="80" w:type="dxa"/>
              <w:right w:w="80" w:type="dxa"/>
            </w:tcMar>
          </w:tcPr>
          <w:p>
            <w:pPr>
              <w:jc w:val="center"/>
            </w:pPr>
            <w:r>
              <w:rPr>
                <w:rFonts w:ascii="Times New Roman" w:hAnsi="Times New Roman"/>
                <w:sz w:val="17"/>
              </w:rPr>
              <w:t>$33,600.00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+460.0% ($27,600/mo)</w:t>
            </w:r>
          </w:p>
        </w:tc>
      </w:tr>
      <w:tr>
        <w:tc>
          <w:tcPr>
            <w:tcW w:type="dxa" w:w="1584"/>
            <w:shd w:fill="F2F5F9"/>
            <w:tcMar>
              <w:top w:w="80" w:type="dxa"/>
              <w:bottom w:w="80" w:type="dxa"/>
              <w:left w:w="80" w:type="dxa"/>
              <w:right w:w="80" w:type="dxa"/>
            </w:tcMar>
          </w:tcPr>
          <w:p>
            <w:pPr>
              <w:jc w:val="center"/>
            </w:pPr>
            <w:r>
              <w:rPr>
                <w:rFonts w:ascii="Times New Roman" w:hAnsi="Times New Roman"/>
                <w:b/>
                <w:sz w:val="17"/>
              </w:rPr>
              <w:t>7,500 TPS</w:t>
            </w:r>
          </w:p>
        </w:tc>
        <w:tc>
          <w:tcPr>
            <w:tcW w:type="dxa" w:w="1584"/>
            <w:shd w:fill="F2F5F9"/>
            <w:tcMar>
              <w:top w:w="80" w:type="dxa"/>
              <w:bottom w:w="80" w:type="dxa"/>
              <w:left w:w="80" w:type="dxa"/>
              <w:right w:w="80" w:type="dxa"/>
            </w:tcMar>
          </w:tcPr>
          <w:p>
            <w:pPr>
              <w:jc w:val="center"/>
            </w:pPr>
            <w:r>
              <w:rPr>
                <w:rFonts w:ascii="Times New Roman" w:hAnsi="Times New Roman"/>
                <w:sz w:val="17"/>
              </w:rPr>
              <w:t>7 Units</w:t>
            </w:r>
          </w:p>
        </w:tc>
        <w:tc>
          <w:tcPr>
            <w:tcW w:type="dxa" w:w="1440"/>
            <w:shd w:fill="F2F5F9"/>
            <w:tcMar>
              <w:top w:w="80" w:type="dxa"/>
              <w:bottom w:w="80" w:type="dxa"/>
              <w:left w:w="80" w:type="dxa"/>
              <w:right w:w="80" w:type="dxa"/>
            </w:tcMar>
          </w:tcPr>
          <w:p>
            <w:pPr>
              <w:jc w:val="center"/>
            </w:pPr>
            <w:r>
              <w:rPr>
                <w:rFonts w:ascii="Times New Roman" w:hAnsi="Times New Roman"/>
                <w:sz w:val="17"/>
              </w:rPr>
              <w:t>$8,400.00</w:t>
            </w:r>
          </w:p>
        </w:tc>
        <w:tc>
          <w:tcPr>
            <w:tcW w:type="dxa" w:w="1584"/>
            <w:shd w:fill="F2F5F9"/>
            <w:tcMar>
              <w:top w:w="80" w:type="dxa"/>
              <w:bottom w:w="80" w:type="dxa"/>
              <w:left w:w="80" w:type="dxa"/>
              <w:right w:w="80" w:type="dxa"/>
            </w:tcMar>
          </w:tcPr>
          <w:p>
            <w:pPr>
              <w:jc w:val="center"/>
            </w:pPr>
            <w:r>
              <w:rPr>
                <w:rFonts w:ascii="Times New Roman" w:hAnsi="Times New Roman"/>
                <w:sz w:val="17"/>
              </w:rPr>
              <w:t>42 Units</w:t>
            </w:r>
          </w:p>
        </w:tc>
        <w:tc>
          <w:tcPr>
            <w:tcW w:type="dxa" w:w="1584"/>
            <w:shd w:fill="F2F5F9"/>
            <w:tcMar>
              <w:top w:w="80" w:type="dxa"/>
              <w:bottom w:w="80" w:type="dxa"/>
              <w:left w:w="80" w:type="dxa"/>
              <w:right w:w="80" w:type="dxa"/>
            </w:tcMar>
          </w:tcPr>
          <w:p>
            <w:pPr>
              <w:jc w:val="center"/>
            </w:pPr>
            <w:r>
              <w:rPr>
                <w:rFonts w:ascii="Times New Roman" w:hAnsi="Times New Roman"/>
                <w:sz w:val="17"/>
              </w:rPr>
              <w:t>$50,400.00</w:t>
            </w:r>
          </w:p>
        </w:tc>
        <w:tc>
          <w:tcPr>
            <w:tcW w:type="dxa" w:w="1584"/>
            <w:shd w:fill="F2F5F9"/>
            <w:tcMar>
              <w:top w:w="80" w:type="dxa"/>
              <w:bottom w:w="80" w:type="dxa"/>
              <w:left w:w="80" w:type="dxa"/>
              <w:right w:w="80" w:type="dxa"/>
            </w:tcMar>
          </w:tcPr>
          <w:p>
            <w:pPr>
              <w:jc w:val="center"/>
            </w:pPr>
            <w:r>
              <w:rPr>
                <w:rFonts w:ascii="Times New Roman" w:hAnsi="Times New Roman"/>
                <w:b/>
                <w:color w:val="C00000"/>
                <w:sz w:val="17"/>
              </w:rPr>
              <w:t>+500.0% ($42,000/mo)</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10,000 TPS</w:t>
            </w:r>
          </w:p>
        </w:tc>
        <w:tc>
          <w:tcPr>
            <w:tcW w:type="dxa" w:w="1584"/>
            <w:shd w:fill="FFFFFF"/>
            <w:tcMar>
              <w:top w:w="80" w:type="dxa"/>
              <w:bottom w:w="80" w:type="dxa"/>
              <w:left w:w="80" w:type="dxa"/>
              <w:right w:w="80" w:type="dxa"/>
            </w:tcMar>
          </w:tcPr>
          <w:p>
            <w:pPr>
              <w:jc w:val="center"/>
            </w:pPr>
            <w:r>
              <w:rPr>
                <w:rFonts w:ascii="Times New Roman" w:hAnsi="Times New Roman"/>
                <w:sz w:val="17"/>
              </w:rPr>
              <w:t>9 Units</w:t>
            </w:r>
          </w:p>
        </w:tc>
        <w:tc>
          <w:tcPr>
            <w:tcW w:type="dxa" w:w="1440"/>
            <w:shd w:fill="FFFFFF"/>
            <w:tcMar>
              <w:top w:w="80" w:type="dxa"/>
              <w:bottom w:w="80" w:type="dxa"/>
              <w:left w:w="80" w:type="dxa"/>
              <w:right w:w="80" w:type="dxa"/>
            </w:tcMar>
          </w:tcPr>
          <w:p>
            <w:pPr>
              <w:jc w:val="center"/>
            </w:pPr>
            <w:r>
              <w:rPr>
                <w:rFonts w:ascii="Times New Roman" w:hAnsi="Times New Roman"/>
                <w:sz w:val="17"/>
              </w:rPr>
              <w:t>$10,800.00</w:t>
            </w:r>
          </w:p>
        </w:tc>
        <w:tc>
          <w:tcPr>
            <w:tcW w:type="dxa" w:w="1584"/>
            <w:shd w:fill="FFFFFF"/>
            <w:tcMar>
              <w:top w:w="80" w:type="dxa"/>
              <w:bottom w:w="80" w:type="dxa"/>
              <w:left w:w="80" w:type="dxa"/>
              <w:right w:w="80" w:type="dxa"/>
            </w:tcMar>
          </w:tcPr>
          <w:p>
            <w:pPr>
              <w:jc w:val="center"/>
            </w:pPr>
            <w:r>
              <w:rPr>
                <w:rFonts w:ascii="Times New Roman" w:hAnsi="Times New Roman"/>
                <w:sz w:val="17"/>
              </w:rPr>
              <w:t>56 Units</w:t>
            </w:r>
          </w:p>
        </w:tc>
        <w:tc>
          <w:tcPr>
            <w:tcW w:type="dxa" w:w="1584"/>
            <w:shd w:fill="FFFFFF"/>
            <w:tcMar>
              <w:top w:w="80" w:type="dxa"/>
              <w:bottom w:w="80" w:type="dxa"/>
              <w:left w:w="80" w:type="dxa"/>
              <w:right w:w="80" w:type="dxa"/>
            </w:tcMar>
          </w:tcPr>
          <w:p>
            <w:pPr>
              <w:jc w:val="center"/>
            </w:pPr>
            <w:r>
              <w:rPr>
                <w:rFonts w:ascii="Times New Roman" w:hAnsi="Times New Roman"/>
                <w:sz w:val="17"/>
              </w:rPr>
              <w:t>$67,200.00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+522.2% ($56,400/mo)</w:t>
            </w:r>
          </w:p>
        </w:tc>
      </w:tr>
    </w:tbl>
    <w:p>
      <w:pPr>
        <w:keepNext/>
        <w:spacing w:before="240" w:after="80"/>
        <w:jc w:val="center"/>
      </w:pPr>
      <w:r>
        <w:drawing>
          <wp:inline xmlns:a="http://schemas.openxmlformats.org/drawingml/2006/main" xmlns:pic="http://schemas.openxmlformats.org/drawingml/2006/picture">
            <wp:extent cx="5303520" cy="6369554"/>
            <wp:docPr id="1918841587" name="Picture 1918841587"/>
            <wp:cNvGraphicFramePr>
              <a:graphicFrameLocks noChangeAspect="1"/>
            </wp:cNvGraphicFramePr>
            <a:graphic>
              <a:graphicData uri="http://schemas.openxmlformats.org/drawingml/2006/picture">
                <pic:pic>
                  <pic:nvPicPr>
                    <pic:cNvPr id="0" name="algorithm_4_pseudocode.png"/>
                    <pic:cNvPicPr/>
                  </pic:nvPicPr>
                  <pic:blipFill>
                    <a:blip r:embed="rId38"/>
                    <a:stretch>
                      <a:fillRect/>
                    </a:stretch>
                  </pic:blipFill>
                  <pic:spPr>
                    <a:xfrm>
                      <a:off x="0" y="0"/>
                      <a:ext cx="5303520" cy="6369554"/>
                    </a:xfrm>
                    <a:prstGeom prst="rect"/>
                  </pic:spPr>
                </pic:pic>
              </a:graphicData>
            </a:graphic>
          </wp:inline>
        </w:drawing>
      </w:r>
    </w:p>
    <w:p>
      <w:pPr>
        <w:keepNext/>
        <w:spacing w:before="40" w:after="280"/>
        <w:jc w:val="center"/>
      </w:pPr>
      <w:r>
        <w:rPr>
          <w:rFonts w:ascii="Times New Roman" w:hAnsi="Times New Roman"/>
          <w:b/>
          <w:i/>
          <w:color w:val="333333"/>
          <w:sz w:val="20"/>
        </w:rPr>
        <w:t>Figure 10.1: Algorithm 4 (CBOM-DAGA) — Automated CBOM Asset Discovery &amp; Agility Governance Engine</w:t>
      </w:r>
    </w:p>
    <w:p>
      <w:pPr>
        <w:keepNext/>
        <w:spacing w:before="440" w:after="200"/>
        <w:jc w:val="center"/>
      </w:pPr>
      <w:r>
        <w:rPr>
          <w:rFonts w:ascii="Times New Roman" w:hAnsi="Times New Roman"/>
          <w:b/>
          <w:color w:val="002060"/>
          <w:sz w:val="28"/>
        </w:rPr>
        <w:t>Chapter 11: Verification, Results and Step-by-Step Migration Plan for Banks</w:t>
      </w:r>
    </w:p>
    <w:p>
      <w:pPr>
        <w:keepNext/>
        <w:spacing w:before="280" w:after="80"/>
        <w:jc w:val="left"/>
      </w:pPr>
      <w:r>
        <w:rPr>
          <w:rFonts w:ascii="Times New Roman" w:hAnsi="Times New Roman"/>
          <w:b/>
          <w:color w:val="003366"/>
          <w:sz w:val="24"/>
        </w:rPr>
        <w:t>11.1 Experimental Verification &amp; Cryptographic Compliance Audit</w:t>
      </w:r>
    </w:p>
    <w:p>
      <w:pPr>
        <w:spacing w:line="360" w:lineRule="auto" w:after="120"/>
        <w:jc w:val="both"/>
      </w:pPr>
      <w:r>
        <w:rPr>
          <w:rFonts w:ascii="Times New Roman" w:hAnsi="Times New Roman"/>
          <w:color w:val="202020"/>
          <w:sz w:val="24"/>
        </w:rPr>
        <w:t>To rigorously verify the cryptographic posture of enterprise banking systems, we evaluated the full inventory of cryptographic algorithms deployed across core banking mainframes, payment gateways, mobile application roots, and hardware roots of trust (TPM 2.0 / Payment HSMs / KMS). The comprehensive compliance audit and actionable post-quantum mitigation strategies are detailed in Table 11.1:</w:t>
      </w:r>
    </w:p>
    <w:p>
      <w:pPr>
        <w:keepNext/>
        <w:spacing w:before="160" w:after="80"/>
        <w:jc w:val="center"/>
      </w:pPr>
      <w:r>
        <w:rPr>
          <w:rFonts w:ascii="Times New Roman" w:hAnsi="Times New Roman"/>
          <w:b/>
          <w:color w:val="002060"/>
          <w:sz w:val="21"/>
        </w:rPr>
        <w:t>Table 11.1: Cryptographic Algorithm PQC Compliance and Mitigation if not compliant</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584"/>
            <w:shd w:fill="002060"/>
            <w:tcMar>
              <w:top w:w="120" w:type="dxa"/>
              <w:bottom w:w="120" w:type="dxa"/>
              <w:left w:w="100" w:type="dxa"/>
              <w:right w:w="100" w:type="dxa"/>
            </w:tcMar>
          </w:tcPr>
          <w:p>
            <w:pPr>
              <w:jc w:val="center"/>
            </w:pPr>
            <w:r>
              <w:rPr>
                <w:rFonts w:ascii="Times New Roman" w:hAnsi="Times New Roman"/>
                <w:b/>
                <w:color w:val="FFFFFF"/>
                <w:sz w:val="19"/>
              </w:rPr>
              <w:t>Algorithm</w:t>
            </w:r>
          </w:p>
        </w:tc>
        <w:tc>
          <w:tcPr>
            <w:tcW w:type="dxa" w:w="1296"/>
            <w:shd w:fill="002060"/>
            <w:tcMar>
              <w:top w:w="120" w:type="dxa"/>
              <w:bottom w:w="120" w:type="dxa"/>
              <w:left w:w="100" w:type="dxa"/>
              <w:right w:w="100" w:type="dxa"/>
            </w:tcMar>
          </w:tcPr>
          <w:p>
            <w:pPr>
              <w:jc w:val="center"/>
            </w:pPr>
            <w:r>
              <w:rPr>
                <w:rFonts w:ascii="Times New Roman" w:hAnsi="Times New Roman"/>
                <w:b/>
                <w:color w:val="FFFFFF"/>
                <w:sz w:val="19"/>
              </w:rPr>
              <w:t>Key / Output Size</w:t>
            </w:r>
          </w:p>
        </w:tc>
        <w:tc>
          <w:tcPr>
            <w:tcW w:type="dxa" w:w="1008"/>
            <w:shd w:fill="002060"/>
            <w:tcMar>
              <w:top w:w="120" w:type="dxa"/>
              <w:bottom w:w="120" w:type="dxa"/>
              <w:left w:w="100" w:type="dxa"/>
              <w:right w:w="100" w:type="dxa"/>
            </w:tcMar>
          </w:tcPr>
          <w:p>
            <w:pPr>
              <w:jc w:val="center"/>
            </w:pPr>
            <w:r>
              <w:rPr>
                <w:rFonts w:ascii="Times New Roman" w:hAnsi="Times New Roman"/>
                <w:b/>
                <w:color w:val="FFFFFF"/>
                <w:sz w:val="19"/>
              </w:rPr>
              <w:t>PQC Compliant</w:t>
            </w:r>
          </w:p>
        </w:tc>
        <w:tc>
          <w:tcPr>
            <w:tcW w:type="dxa" w:w="3168"/>
            <w:shd w:fill="002060"/>
            <w:tcMar>
              <w:top w:w="120" w:type="dxa"/>
              <w:bottom w:w="120" w:type="dxa"/>
              <w:left w:w="100" w:type="dxa"/>
              <w:right w:w="100" w:type="dxa"/>
            </w:tcMar>
          </w:tcPr>
          <w:p>
            <w:pPr>
              <w:jc w:val="center"/>
            </w:pPr>
            <w:r>
              <w:rPr>
                <w:rFonts w:ascii="Times New Roman" w:hAnsi="Times New Roman"/>
                <w:b/>
                <w:color w:val="FFFFFF"/>
                <w:sz w:val="19"/>
              </w:rPr>
              <w:t>Banking Function &amp; Hardware Context (TPM / HSM / KMS / KEK)</w:t>
            </w:r>
          </w:p>
        </w:tc>
        <w:tc>
          <w:tcPr>
            <w:tcW w:type="dxa" w:w="2304"/>
            <w:shd w:fill="002060"/>
            <w:tcMar>
              <w:top w:w="120" w:type="dxa"/>
              <w:bottom w:w="120" w:type="dxa"/>
              <w:left w:w="100" w:type="dxa"/>
              <w:right w:w="100" w:type="dxa"/>
            </w:tcMar>
          </w:tcPr>
          <w:p>
            <w:pPr>
              <w:jc w:val="center"/>
            </w:pPr>
            <w:r>
              <w:rPr>
                <w:rFonts w:ascii="Times New Roman" w:hAnsi="Times New Roman"/>
                <w:b/>
                <w:color w:val="FFFFFF"/>
                <w:sz w:val="19"/>
              </w:rPr>
              <w:t>Mitigation &amp; Quantum Justification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RSA-2048</w:t>
            </w:r>
          </w:p>
        </w:tc>
        <w:tc>
          <w:tcPr>
            <w:tcW w:type="dxa" w:w="1296"/>
            <w:shd w:fill="FFFFFF"/>
            <w:tcMar>
              <w:top w:w="80" w:type="dxa"/>
              <w:bottom w:w="80" w:type="dxa"/>
              <w:left w:w="100" w:type="dxa"/>
              <w:right w:w="100" w:type="dxa"/>
            </w:tcMar>
          </w:tcPr>
          <w:p>
            <w:pPr>
              <w:jc w:val="center"/>
            </w:pPr>
            <w:r>
              <w:rPr>
                <w:rFonts w:ascii="Times New Roman" w:hAnsi="Times New Roman"/>
                <w:sz w:val="17"/>
              </w:rPr>
              <w:t>256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Web/mobile banking TLS; EMV DDA chip card auth.</w:t>
              <w:br/>
              <w:t>• Hardware: TPM 2.0 (EK/AIK signing); HSM (inter-bank ZMK transport); KMS/KEK (asymmetric KEK wrapping database DEKs).</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(2n+2 logical qubits); migrate to ML-KEM-768/1024.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RSA-4096</w:t>
            </w:r>
          </w:p>
        </w:tc>
        <w:tc>
          <w:tcPr>
            <w:tcW w:type="dxa" w:w="1296"/>
            <w:shd w:fill="F2F5F9"/>
            <w:tcMar>
              <w:top w:w="80" w:type="dxa"/>
              <w:bottom w:w="80" w:type="dxa"/>
              <w:left w:w="100" w:type="dxa"/>
              <w:right w:w="100" w:type="dxa"/>
            </w:tcMar>
          </w:tcPr>
          <w:p>
            <w:pPr>
              <w:jc w:val="center"/>
            </w:pPr>
            <w:r>
              <w:rPr>
                <w:rFonts w:ascii="Times New Roman" w:hAnsi="Times New Roman"/>
                <w:sz w:val="17"/>
              </w:rPr>
              <w:t>512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 Root CAs; syndicated loan and audit signing.</w:t>
              <w:br/>
              <w:t>• Hardware: HSM (Root CA key storage in FIPS 140-3 Level 3/4); KMS/KEK (asymmetric master KEK for cold backups).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ML-DSA-87 or SLH-DSA for root signing.</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ECC / ECDSA P-256</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biometrics, FedNow &amp; Apple Pay rails.</w:t>
              <w:br/>
              <w:t>• Hardware: TPM 2.0 (ECC attestation); HSM (Payment HSM client mTLS); KMS/KEK (API token signing &amp; KEK key agreement).</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(O(n^3) group operations); replace with ML-DSA-44.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ECC / ECDSA P-384</w:t>
            </w:r>
          </w:p>
        </w:tc>
        <w:tc>
          <w:tcPr>
            <w:tcW w:type="dxa" w:w="1296"/>
            <w:shd w:fill="F2F5F9"/>
            <w:tcMar>
              <w:top w:w="80" w:type="dxa"/>
              <w:bottom w:w="80" w:type="dxa"/>
              <w:left w:w="100" w:type="dxa"/>
              <w:right w:w="100" w:type="dxa"/>
            </w:tcMar>
          </w:tcPr>
          <w:p>
            <w:pPr>
              <w:jc w:val="center"/>
            </w:pPr>
            <w:r>
              <w:rPr>
                <w:rFonts w:ascii="Times New Roman" w:hAnsi="Times New Roman"/>
                <w:sz w:val="17"/>
              </w:rPr>
              <w:t>48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Central bank settlement rails &amp; national switch signing.</w:t>
              <w:br/>
              <w:t>• Hardware: HSM (Payment switch HSM-to-HSM signing); KMS (institutional KMS master root keys).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ML-DSA-65 or SLH-DSA.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ECDH / X25519</w:t>
            </w:r>
          </w:p>
        </w:tc>
        <w:tc>
          <w:tcPr>
            <w:tcW w:type="dxa" w:w="1296"/>
            <w:shd w:fill="FFFFFF"/>
            <w:tcMar>
              <w:top w:w="80" w:type="dxa"/>
              <w:bottom w:w="80" w:type="dxa"/>
              <w:left w:w="100" w:type="dxa"/>
              <w:right w:w="100" w:type="dxa"/>
            </w:tcMar>
          </w:tcPr>
          <w:p>
            <w:pPr>
              <w:jc w:val="center"/>
            </w:pPr>
            <w:r>
              <w:rPr>
                <w:rFonts w:ascii="Times New Roman" w:hAnsi="Times New Roman"/>
                <w:sz w:val="17"/>
              </w:rPr>
              <w:t>32 B (secret)</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TLS 1.3 key agreement for banking portals &amp; microservices.</w:t>
              <w:br/>
              <w:t>• Hardware: KMS/HSM (ephemeral session key exchange for client-to-KMS REST APIs and remote HSM administration).</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pair with ML-KEM-768 in hybrid mode.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ECDH / X448</w:t>
            </w:r>
          </w:p>
        </w:tc>
        <w:tc>
          <w:tcPr>
            <w:tcW w:type="dxa" w:w="1296"/>
            <w:shd w:fill="F2F5F9"/>
            <w:tcMar>
              <w:top w:w="80" w:type="dxa"/>
              <w:bottom w:w="80" w:type="dxa"/>
              <w:left w:w="100" w:type="dxa"/>
              <w:right w:w="100" w:type="dxa"/>
            </w:tcMar>
          </w:tcPr>
          <w:p>
            <w:pPr>
              <w:jc w:val="center"/>
            </w:pPr>
            <w:r>
              <w:rPr>
                <w:rFonts w:ascii="Times New Roman" w:hAnsi="Times New Roman"/>
                <w:sz w:val="17"/>
              </w:rPr>
              <w:t>56 B (secret)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CBDC pilot rails; inter-datacenter links.</w:t>
              <w:br/>
              <w:t>• Hardware: HSM/KEK (inter-HSM cluster replication tunnels and cross-HSM master KEK establishment).</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combine with ML-KEM-1024 in hybrid scheme.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AES-128</w:t>
            </w:r>
          </w:p>
        </w:tc>
        <w:tc>
          <w:tcPr>
            <w:tcW w:type="dxa" w:w="1296"/>
            <w:shd w:fill="FFFFFF"/>
            <w:tcMar>
              <w:top w:w="80" w:type="dxa"/>
              <w:bottom w:w="80" w:type="dxa"/>
              <w:left w:w="100" w:type="dxa"/>
              <w:right w:w="100" w:type="dxa"/>
            </w:tcMar>
          </w:tcPr>
          <w:p>
            <w:pPr>
              <w:jc w:val="center"/>
            </w:pPr>
            <w:r>
              <w:rPr>
                <w:rFonts w:ascii="Times New Roman" w:hAnsi="Times New Roman"/>
                <w:sz w:val="17"/>
              </w:rPr>
              <w:t>16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Contactless EMV cryptograms (AC); ATM/POS DUKPT keys.</w:t>
              <w:br/>
              <w:t>• Hardware: TPM (parameter encryption &amp; PCR sealing); HSM (transaction key derivation); KEK (transient session key wrapping).</w:t>
            </w:r>
          </w:p>
        </w:tc>
        <w:tc>
          <w:tcPr>
            <w:tcW w:type="dxa" w:w="2304"/>
            <w:shd w:fill="FFFFFF"/>
            <w:tcMar>
              <w:top w:w="80" w:type="dxa"/>
              <w:bottom w:w="80" w:type="dxa"/>
              <w:left w:w="100" w:type="dxa"/>
              <w:right w:w="100" w:type="dxa"/>
            </w:tcMar>
          </w:tcPr>
          <w:p>
            <w:pPr>
              <w:jc w:val="left"/>
            </w:pPr>
            <w:r>
              <w:rPr>
                <w:rFonts w:ascii="Times New Roman" w:hAnsi="Times New Roman"/>
                <w:sz w:val="17"/>
              </w:rPr>
              <w:t>No; Grover's algorithm reduces security to ~64 bits (quantum breakable); upgrade to AES-256 KEK.</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AES-256</w:t>
            </w:r>
          </w:p>
        </w:tc>
        <w:tc>
          <w:tcPr>
            <w:tcW w:type="dxa" w:w="1296"/>
            <w:shd w:fill="F2F5F9"/>
            <w:tcMar>
              <w:top w:w="80" w:type="dxa"/>
              <w:bottom w:w="80" w:type="dxa"/>
              <w:left w:w="100" w:type="dxa"/>
              <w:right w:w="100" w:type="dxa"/>
            </w:tcMar>
          </w:tcPr>
          <w:p>
            <w:pPr>
              <w:jc w:val="center"/>
            </w:pPr>
            <w:r>
              <w:rPr>
                <w:rFonts w:ascii="Times New Roman" w:hAnsi="Times New Roman"/>
                <w:sz w:val="17"/>
              </w:rPr>
              <w:t>32 B (key)</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PCI-DSS database TDE; Fedwire &amp; SWIFT payload encryption.</w:t>
              <w:br/>
              <w:t>• Hardware: TPM (BitLocker sealing); HSM (LMK / ZMK master keys); KMS/KEK (Gold-standard symmetric KEK via SP 800-38F Key Wrap).</w:t>
            </w:r>
          </w:p>
        </w:tc>
        <w:tc>
          <w:tcPr>
            <w:tcW w:type="dxa" w:w="2304"/>
            <w:shd w:fill="F2F5F9"/>
            <w:tcMar>
              <w:top w:w="80" w:type="dxa"/>
              <w:bottom w:w="80" w:type="dxa"/>
              <w:left w:w="100" w:type="dxa"/>
              <w:right w:w="100" w:type="dxa"/>
            </w:tcMar>
          </w:tcPr>
          <w:p>
            <w:pPr>
              <w:jc w:val="left"/>
            </w:pPr>
            <w:r>
              <w:rPr>
                <w:rFonts w:ascii="Times New Roman" w:hAnsi="Times New Roman"/>
                <w:sz w:val="17"/>
              </w:rPr>
              <w:t>Retains ~128-bit quantum security under Grover; remains fully quantum-resistant.</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ChaCha20-Poly1305</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TLS for devices lacking hardware AES-NI.</w:t>
              <w:br/>
              <w:t>• Hardware: KMS/KEK (authenticated envelope encryption for edge POS terminals communicating with KMS).</w:t>
            </w:r>
          </w:p>
        </w:tc>
        <w:tc>
          <w:tcPr>
            <w:tcW w:type="dxa" w:w="2304"/>
            <w:shd w:fill="FFFFFF"/>
            <w:tcMar>
              <w:top w:w="80" w:type="dxa"/>
              <w:bottom w:w="80" w:type="dxa"/>
              <w:left w:w="100" w:type="dxa"/>
              <w:right w:w="100" w:type="dxa"/>
            </w:tcMar>
          </w:tcPr>
          <w:p>
            <w:pPr>
              <w:jc w:val="left"/>
            </w:pPr>
            <w:r>
              <w:rPr>
                <w:rFonts w:ascii="Times New Roman" w:hAnsi="Times New Roman"/>
                <w:sz w:val="17"/>
              </w:rPr>
              <w:t>256-bit key retains ~128-bit quantum security; must pair with a PQC KEM.</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SHA-256</w:t>
            </w:r>
          </w:p>
        </w:tc>
        <w:tc>
          <w:tcPr>
            <w:tcW w:type="dxa" w:w="1296"/>
            <w:shd w:fill="F2F5F9"/>
            <w:tcMar>
              <w:top w:w="80" w:type="dxa"/>
              <w:bottom w:w="80" w:type="dxa"/>
              <w:left w:w="100" w:type="dxa"/>
              <w:right w:w="100" w:type="dxa"/>
            </w:tcMar>
          </w:tcPr>
          <w:p>
            <w:pPr>
              <w:jc w:val="center"/>
            </w:pPr>
            <w:r>
              <w:rPr>
                <w:rFonts w:ascii="Times New Roman" w:hAnsi="Times New Roman"/>
                <w:sz w:val="17"/>
              </w:rPr>
              <w:t>32 B (digest)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Banking TLS cert hashing; financial audit logging.</w:t>
              <w:br/>
              <w:t>• Hardware: TPM 2.0 (primary measured boot PCRs); HSM/KMS (key fingerprinting, versioning &amp; KEK derivation [KDF]).</w:t>
            </w:r>
          </w:p>
        </w:tc>
        <w:tc>
          <w:tcPr>
            <w:tcW w:type="dxa" w:w="2304"/>
            <w:shd w:fill="F2F5F9"/>
            <w:tcMar>
              <w:top w:w="80" w:type="dxa"/>
              <w:bottom w:w="80" w:type="dxa"/>
              <w:left w:w="100" w:type="dxa"/>
              <w:right w:w="100" w:type="dxa"/>
            </w:tcMar>
          </w:tcPr>
          <w:p>
            <w:pPr>
              <w:jc w:val="left"/>
            </w:pPr>
            <w:r>
              <w:rPr>
                <w:rFonts w:ascii="Times New Roman" w:hAnsi="Times New Roman"/>
                <w:sz w:val="17"/>
              </w:rPr>
              <w:t>Quantum collision attacks reduce security to ~85–128 bits; upgrade to SHA-384/512 for CNSA 2.0 compliance.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SHA-384</w:t>
            </w:r>
          </w:p>
        </w:tc>
        <w:tc>
          <w:tcPr>
            <w:tcW w:type="dxa" w:w="1296"/>
            <w:shd w:fill="FFFFFF"/>
            <w:tcMar>
              <w:top w:w="80" w:type="dxa"/>
              <w:bottom w:w="80" w:type="dxa"/>
              <w:left w:w="100" w:type="dxa"/>
              <w:right w:w="100" w:type="dxa"/>
            </w:tcMar>
          </w:tcPr>
          <w:p>
            <w:pPr>
              <w:jc w:val="center"/>
            </w:pPr>
            <w:r>
              <w:rPr>
                <w:rFonts w:ascii="Times New Roman" w:hAnsi="Times New Roman"/>
                <w:sz w:val="17"/>
              </w:rPr>
              <w:t>48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High-security central bank TLS; financial compliance signing.</w:t>
              <w:br/>
              <w:t>• Hardware: HSM/KMS (enterprise KMS HKDF key derivation; CNSA-compliant tamper-evident HSM audit log hashing).</w:t>
            </w:r>
          </w:p>
        </w:tc>
        <w:tc>
          <w:tcPr>
            <w:tcW w:type="dxa" w:w="2304"/>
            <w:shd w:fill="FFFFFF"/>
            <w:tcMar>
              <w:top w:w="80" w:type="dxa"/>
              <w:bottom w:w="80" w:type="dxa"/>
              <w:left w:w="100" w:type="dxa"/>
              <w:right w:w="100" w:type="dxa"/>
            </w:tcMar>
          </w:tcPr>
          <w:p>
            <w:pPr>
              <w:jc w:val="left"/>
            </w:pPr>
            <w:r>
              <w:rPr>
                <w:rFonts w:ascii="Times New Roman" w:hAnsi="Times New Roman"/>
                <w:sz w:val="17"/>
              </w:rPr>
              <w:t>Provides ~192-bit quantum preimage &amp; ~128-bit collision resistance; CNSA 2.0 compliant.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Immutable ledger timestamping; credential hashing.</w:t>
              <w:br/>
              <w:t>• Hardware: HSM/KMS (master KEK seed hashing &amp; hardware root-of-trust audit vaults).</w:t>
            </w:r>
          </w:p>
        </w:tc>
        <w:tc>
          <w:tcPr>
            <w:tcW w:type="dxa" w:w="2304"/>
            <w:shd w:fill="F2F5F9"/>
            <w:tcMar>
              <w:top w:w="80" w:type="dxa"/>
              <w:bottom w:w="80" w:type="dxa"/>
              <w:left w:w="100" w:type="dxa"/>
              <w:right w:w="100" w:type="dxa"/>
            </w:tcMar>
          </w:tcPr>
          <w:p>
            <w:pPr>
              <w:jc w:val="left"/>
            </w:pPr>
            <w:r>
              <w:rPr>
                <w:rFonts w:ascii="Times New Roman" w:hAnsi="Times New Roman"/>
                <w:sz w:val="17"/>
              </w:rPr>
              <w:t>Provides ~256-bit quantum security; recommended for long-term audit trail integrity.</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SHA-3-256</w:t>
            </w:r>
          </w:p>
        </w:tc>
        <w:tc>
          <w:tcPr>
            <w:tcW w:type="dxa" w:w="1296"/>
            <w:shd w:fill="FFFFFF"/>
            <w:tcMar>
              <w:top w:w="80" w:type="dxa"/>
              <w:bottom w:w="80" w:type="dxa"/>
              <w:left w:w="100" w:type="dxa"/>
              <w:right w:w="100" w:type="dxa"/>
            </w:tcMar>
          </w:tcPr>
          <w:p>
            <w:pPr>
              <w:jc w:val="center"/>
            </w:pPr>
            <w:r>
              <w:rPr>
                <w:rFonts w:ascii="Times New Roman" w:hAnsi="Times New Roman"/>
                <w:sz w:val="17"/>
              </w:rPr>
              <w:t>32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Core banking DLT/blockchain database integrity.</w:t>
              <w:br/>
              <w:t>• Hardware: HSM/KMS (sponge-based KDF key derivation inside modern HSMs; tamper-proof ledger audit records).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202 sponge construction; provides 128-bit quantum security.</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SHA-3-512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sovereign bond and reserve archives.</w:t>
              <w:br/>
              <w:t>• Hardware: HSM (highest-assurance root hash engine for multi-decade master key archive integrity).</w:t>
            </w:r>
          </w:p>
        </w:tc>
        <w:tc>
          <w:tcPr>
            <w:tcW w:type="dxa" w:w="2304"/>
            <w:shd w:fill="F2F5F9"/>
            <w:tcMar>
              <w:top w:w="80" w:type="dxa"/>
              <w:bottom w:w="80" w:type="dxa"/>
              <w:left w:w="100" w:type="dxa"/>
              <w:right w:w="100" w:type="dxa"/>
            </w:tcMar>
          </w:tcPr>
          <w:p>
            <w:pPr>
              <w:jc w:val="left"/>
            </w:pPr>
            <w:r>
              <w:rPr>
                <w:rFonts w:ascii="Times New Roman" w:hAnsi="Times New Roman"/>
                <w:sz w:val="17"/>
              </w:rPr>
              <w:t>High-assurance quantum preimage and collision resistance; future-proof.</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HMAC-SHA256</w:t>
            </w:r>
          </w:p>
        </w:tc>
        <w:tc>
          <w:tcPr>
            <w:tcW w:type="dxa" w:w="1296"/>
            <w:shd w:fill="FFFFFF"/>
            <w:tcMar>
              <w:top w:w="80" w:type="dxa"/>
              <w:bottom w:w="80" w:type="dxa"/>
              <w:left w:w="100" w:type="dxa"/>
              <w:right w:w="100" w:type="dxa"/>
            </w:tcMar>
          </w:tcPr>
          <w:p>
            <w:pPr>
              <w:jc w:val="center"/>
            </w:pPr>
            <w:r>
              <w:rPr>
                <w:rFonts w:ascii="Times New Roman" w:hAnsi="Times New Roman"/>
                <w:sz w:val="17"/>
              </w:rPr>
              <w:t>32 B (MAC)</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Payment gateway webhook validation; OAuth2 tokens.</w:t>
              <w:br/>
              <w:t>• Hardware: TPM 2.0 (AuthValue sessions); KMS/KEK (PRF in SP 800-108 to derive sub-keys from a master KEK).</w:t>
            </w:r>
          </w:p>
        </w:tc>
        <w:tc>
          <w:tcPr>
            <w:tcW w:type="dxa" w:w="2304"/>
            <w:shd w:fill="FFFFFF"/>
            <w:tcMar>
              <w:top w:w="80" w:type="dxa"/>
              <w:bottom w:w="80" w:type="dxa"/>
              <w:left w:w="100" w:type="dxa"/>
              <w:right w:w="100" w:type="dxa"/>
            </w:tcMar>
          </w:tcPr>
          <w:p>
            <w:pPr>
              <w:jc w:val="left"/>
            </w:pPr>
            <w:r>
              <w:rPr>
                <w:rFonts w:ascii="Times New Roman" w:hAnsi="Times New Roman"/>
                <w:sz w:val="17"/>
              </w:rPr>
              <w:t>Falls below post-quantum high-assurance threshold; upgrade to HMAC-SHA384/512.</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HMAC-SHA512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(MAC)</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SWIFT ISO 20022 message authentication; crypto custody.</w:t>
              <w:br/>
              <w:t>• Hardware: HSM/KMS (master key derivation for BIP-32 HD wallet trees; HSM sub-key derivation).</w:t>
            </w:r>
          </w:p>
        </w:tc>
        <w:tc>
          <w:tcPr>
            <w:tcW w:type="dxa" w:w="2304"/>
            <w:shd w:fill="F2F5F9"/>
            <w:tcMar>
              <w:top w:w="80" w:type="dxa"/>
              <w:bottom w:w="80" w:type="dxa"/>
              <w:left w:w="100" w:type="dxa"/>
              <w:right w:w="100" w:type="dxa"/>
            </w:tcMar>
          </w:tcPr>
          <w:p>
            <w:pPr>
              <w:jc w:val="left"/>
            </w:pPr>
            <w:r>
              <w:rPr>
                <w:rFonts w:ascii="Times New Roman" w:hAnsi="Times New Roman"/>
                <w:sz w:val="17"/>
              </w:rPr>
              <w:t>Retains ~256-bit quantum PRF security; preferred for PQC-safe authentication.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ML-KEM-512</w:t>
            </w:r>
          </w:p>
        </w:tc>
        <w:tc>
          <w:tcPr>
            <w:tcW w:type="dxa" w:w="1296"/>
            <w:shd w:fill="FFFFFF"/>
            <w:tcMar>
              <w:top w:w="80" w:type="dxa"/>
              <w:bottom w:w="80" w:type="dxa"/>
              <w:left w:w="100" w:type="dxa"/>
              <w:right w:w="100" w:type="dxa"/>
            </w:tcMar>
          </w:tcPr>
          <w:p>
            <w:pPr>
              <w:jc w:val="center"/>
            </w:pPr>
            <w:r>
              <w:rPr>
                <w:rFonts w:ascii="Times New Roman" w:hAnsi="Times New Roman"/>
                <w:sz w:val="17"/>
              </w:rPr>
              <w:t>800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Next-gen PQC EMV contactless chip cards &amp; wearables.</w:t>
              <w:br/>
              <w:t>• Hardware: TPM (low-power micro-TPMs); KEK (lightweight asymmetric KEK encapsulating DEKs on constrained terminals).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1); designed for constrained hardware.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ML-KEM-768</w:t>
            </w:r>
          </w:p>
        </w:tc>
        <w:tc>
          <w:tcPr>
            <w:tcW w:type="dxa" w:w="1296"/>
            <w:shd w:fill="F2F5F9"/>
            <w:tcMar>
              <w:top w:w="80" w:type="dxa"/>
              <w:bottom w:w="80" w:type="dxa"/>
              <w:left w:w="100" w:type="dxa"/>
              <w:right w:w="100" w:type="dxa"/>
            </w:tcMar>
          </w:tcPr>
          <w:p>
            <w:pPr>
              <w:jc w:val="center"/>
            </w:pPr>
            <w:r>
              <w:rPr>
                <w:rFonts w:ascii="Times New Roman" w:hAnsi="Times New Roman"/>
                <w:sz w:val="17"/>
              </w:rPr>
              <w:t>1184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Production TLS 1.3 for banking portals &amp; Open Banking APIs.</w:t>
              <w:br/>
              <w:t>• Hardware: HSM (PQC inter-bank ZMK transport); KMS/KEK (Primary PQC Asymmetric KEK wrapping database DEKs).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203 standard (Level 3); recommended general-purpose PQC KEM.</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ML-KEM-1024</w:t>
            </w:r>
          </w:p>
        </w:tc>
        <w:tc>
          <w:tcPr>
            <w:tcW w:type="dxa" w:w="1296"/>
            <w:shd w:fill="FFFFFF"/>
            <w:tcMar>
              <w:top w:w="80" w:type="dxa"/>
              <w:bottom w:w="80" w:type="dxa"/>
              <w:left w:w="100" w:type="dxa"/>
              <w:right w:w="100" w:type="dxa"/>
            </w:tcMar>
          </w:tcPr>
          <w:p>
            <w:pPr>
              <w:jc w:val="center"/>
            </w:pPr>
            <w:r>
              <w:rPr>
                <w:rFonts w:ascii="Times New Roman" w:hAnsi="Times New Roman"/>
                <w:sz w:val="17"/>
              </w:rPr>
              <w:t>1568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High-value settlement rails (Fedwire/SWIFT); gold transfers.</w:t>
              <w:br/>
              <w:t>• Hardware: HSM (Payment HSM Local Master Key [LMK] exchange); KMS/KEK (top-secret tier KEK wrapping).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5); highest security for critical financial backbones.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ML-DSA-44</w:t>
            </w:r>
          </w:p>
        </w:tc>
        <w:tc>
          <w:tcPr>
            <w:tcW w:type="dxa" w:w="1296"/>
            <w:shd w:fill="F2F5F9"/>
            <w:tcMar>
              <w:top w:w="80" w:type="dxa"/>
              <w:bottom w:w="80" w:type="dxa"/>
              <w:left w:w="100" w:type="dxa"/>
              <w:right w:w="100" w:type="dxa"/>
            </w:tcMar>
          </w:tcPr>
          <w:p>
            <w:pPr>
              <w:jc w:val="center"/>
            </w:pPr>
            <w:r>
              <w:rPr>
                <w:rFonts w:ascii="Times New Roman" w:hAnsi="Times New Roman"/>
                <w:sz w:val="17"/>
              </w:rPr>
              <w:t>1312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Mobile banking app attestation &amp; payment authorization.</w:t>
              <w:br/>
              <w:t>• Hardware: TPM (candidate for TPM 3.0 AIK quote signing); KMS (high-frequency API token signing).</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2); direct replacement for RSA-2048 / ECDSA P-256.</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ML-DSA-65</w:t>
            </w:r>
          </w:p>
        </w:tc>
        <w:tc>
          <w:tcPr>
            <w:tcW w:type="dxa" w:w="1296"/>
            <w:shd w:fill="FFFFFF"/>
            <w:tcMar>
              <w:top w:w="80" w:type="dxa"/>
              <w:bottom w:w="80" w:type="dxa"/>
              <w:left w:w="100" w:type="dxa"/>
              <w:right w:w="100" w:type="dxa"/>
            </w:tcMar>
          </w:tcPr>
          <w:p>
            <w:pPr>
              <w:jc w:val="center"/>
            </w:pPr>
            <w:r>
              <w:rPr>
                <w:rFonts w:ascii="Times New Roman" w:hAnsi="Times New Roman"/>
                <w:sz w:val="17"/>
              </w:rPr>
              <w:t>1952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Inter-bank ISO 20022 signing; corporate banking PKI.</w:t>
              <w:br/>
              <w:t>• Hardware: HSM (enterprise PKI CA signing inside HSMs); KMS (access control policy authorization).</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204 standard (Level 3); primary enterprise signature standard.</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ML-DSA-87</w:t>
            </w:r>
          </w:p>
        </w:tc>
        <w:tc>
          <w:tcPr>
            <w:tcW w:type="dxa" w:w="1296"/>
            <w:shd w:fill="F2F5F9"/>
            <w:tcMar>
              <w:top w:w="80" w:type="dxa"/>
              <w:bottom w:w="80" w:type="dxa"/>
              <w:left w:w="100" w:type="dxa"/>
              <w:right w:w="100" w:type="dxa"/>
            </w:tcMar>
          </w:tcPr>
          <w:p>
            <w:pPr>
              <w:jc w:val="center"/>
            </w:pPr>
            <w:r>
              <w:rPr>
                <w:rFonts w:ascii="Times New Roman" w:hAnsi="Times New Roman"/>
                <w:sz w:val="17"/>
              </w:rPr>
              <w:t>2592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debt registries; permanent financial contracts.</w:t>
              <w:br/>
              <w:t>• Hardware: HSM (Bank Root CA key generation in FIPS 140-3 Level 4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5); highest assurance PQC digital signature.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FALCON-512</w:t>
            </w:r>
          </w:p>
        </w:tc>
        <w:tc>
          <w:tcPr>
            <w:tcW w:type="dxa" w:w="1296"/>
            <w:shd w:fill="FFFFFF"/>
            <w:tcMar>
              <w:top w:w="80" w:type="dxa"/>
              <w:bottom w:w="80" w:type="dxa"/>
              <w:left w:w="100" w:type="dxa"/>
              <w:right w:w="100" w:type="dxa"/>
            </w:tcMar>
          </w:tcPr>
          <w:p>
            <w:pPr>
              <w:jc w:val="center"/>
            </w:pPr>
            <w:r>
              <w:rPr>
                <w:rFonts w:ascii="Times New Roman" w:hAnsi="Times New Roman"/>
                <w:sz w:val="17"/>
              </w:rPr>
              <w:t>897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Compact digital signatures for EMV chip cards &amp; NFC tokens.</w:t>
              <w:br/>
              <w:t>• Hardware: TPM/HSM (embedded micro-HSMs, payment chips, space-constrained hardware roots of trust).</w:t>
            </w:r>
          </w:p>
        </w:tc>
        <w:tc>
          <w:tcPr>
            <w:tcW w:type="dxa" w:w="2304"/>
            <w:shd w:fill="FFFFFF"/>
            <w:tcMar>
              <w:top w:w="80" w:type="dxa"/>
              <w:bottom w:w="80" w:type="dxa"/>
              <w:left w:w="100" w:type="dxa"/>
              <w:right w:w="100" w:type="dxa"/>
            </w:tcMar>
          </w:tcPr>
          <w:p>
            <w:pPr>
              <w:jc w:val="left"/>
            </w:pPr>
            <w:r>
              <w:rPr>
                <w:rFonts w:ascii="Times New Roman" w:hAnsi="Times New Roman"/>
                <w:sz w:val="17"/>
              </w:rPr>
              <w:t>NIST-selected (draft FN-DSA); minimal bandwidth overhead for hardware roots of trust.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FALCON-1024</w:t>
            </w:r>
          </w:p>
        </w:tc>
        <w:tc>
          <w:tcPr>
            <w:tcW w:type="dxa" w:w="1296"/>
            <w:shd w:fill="F2F5F9"/>
            <w:tcMar>
              <w:top w:w="80" w:type="dxa"/>
              <w:bottom w:w="80" w:type="dxa"/>
              <w:left w:w="100" w:type="dxa"/>
              <w:right w:w="100" w:type="dxa"/>
            </w:tcMar>
          </w:tcPr>
          <w:p>
            <w:pPr>
              <w:jc w:val="center"/>
            </w:pPr>
            <w:r>
              <w:rPr>
                <w:rFonts w:ascii="Times New Roman" w:hAnsi="Times New Roman"/>
                <w:sz w:val="17"/>
              </w:rPr>
              <w:t>1793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Terminal microcode signing &amp; ATM peripheral protection.</w:t>
              <w:br/>
              <w:t>• Hardware: HSM/TPM (firmware code-signing for Payment HSMs, cash dispensers, POS security modules).</w:t>
            </w:r>
          </w:p>
        </w:tc>
        <w:tc>
          <w:tcPr>
            <w:tcW w:type="dxa" w:w="2304"/>
            <w:shd w:fill="F2F5F9"/>
            <w:tcMar>
              <w:top w:w="80" w:type="dxa"/>
              <w:bottom w:w="80" w:type="dxa"/>
              <w:left w:w="100" w:type="dxa"/>
              <w:right w:w="100" w:type="dxa"/>
            </w:tcMar>
          </w:tcPr>
          <w:p>
            <w:pPr>
              <w:jc w:val="left"/>
            </w:pPr>
            <w:r>
              <w:rPr>
                <w:rFonts w:ascii="Times New Roman" w:hAnsi="Times New Roman"/>
                <w:sz w:val="17"/>
              </w:rPr>
              <w:t>NIST-selected; compact high-security alternative to ML-DSA.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SLH-DSA-128s</w:t>
            </w:r>
          </w:p>
        </w:tc>
        <w:tc>
          <w:tcPr>
            <w:tcW w:type="dxa" w:w="1296"/>
            <w:shd w:fill="FFFFFF"/>
            <w:tcMar>
              <w:top w:w="80" w:type="dxa"/>
              <w:bottom w:w="80" w:type="dxa"/>
              <w:left w:w="100" w:type="dxa"/>
              <w:right w:w="100" w:type="dxa"/>
            </w:tcMar>
          </w:tcPr>
          <w:p>
            <w:pPr>
              <w:jc w:val="center"/>
            </w:pPr>
            <w:r>
              <w:rPr>
                <w:rFonts w:ascii="Times New Roman" w:hAnsi="Times New Roman"/>
                <w:sz w:val="17"/>
              </w:rPr>
              <w:t>32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Long-term financial roots of trust independent of lattice math.</w:t>
              <w:br/>
              <w:t>• Hardware: HSM (Payment HSM secure boot verification &amp; golden master firmware signing).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205 standard; conservative fallback immune to lattice cryptanalysis.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SLH-DSA-256s</w:t>
            </w:r>
          </w:p>
        </w:tc>
        <w:tc>
          <w:tcPr>
            <w:tcW w:type="dxa" w:w="1296"/>
            <w:shd w:fill="F2F5F9"/>
            <w:tcMar>
              <w:top w:w="80" w:type="dxa"/>
              <w:bottom w:w="80" w:type="dxa"/>
              <w:left w:w="100" w:type="dxa"/>
              <w:right w:w="100" w:type="dxa"/>
            </w:tcMar>
          </w:tcPr>
          <w:p>
            <w:pPr>
              <w:jc w:val="center"/>
            </w:pPr>
            <w:r>
              <w:rPr>
                <w:rFonts w:ascii="Times New Roman" w:hAnsi="Times New Roman"/>
                <w:sz w:val="17"/>
              </w:rPr>
              <w:t>64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national banking PKI &amp; sovereign debt covenants.</w:t>
              <w:br/>
              <w:t>• Hardware: HSM (multi-decade offline Root CA master key protection in cold-storage banking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205 standard; highest security stateless hash-based anchor.</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Hybrid X25519+ML-KEM-768</w:t>
            </w:r>
          </w:p>
        </w:tc>
        <w:tc>
          <w:tcPr>
            <w:tcW w:type="dxa" w:w="1296"/>
            <w:shd w:fill="FFFFFF"/>
            <w:tcMar>
              <w:top w:w="80" w:type="dxa"/>
              <w:bottom w:w="80" w:type="dxa"/>
              <w:left w:w="100" w:type="dxa"/>
              <w:right w:w="100" w:type="dxa"/>
            </w:tcMar>
          </w:tcPr>
          <w:p>
            <w:pPr>
              <w:jc w:val="center"/>
            </w:pPr>
            <w:r>
              <w:rPr>
                <w:rFonts w:ascii="Times New Roman" w:hAnsi="Times New Roman"/>
                <w:sz w:val="17"/>
              </w:rPr>
              <w:t>1216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Live TLS 1.3 transport protecting web traffic against HNDL.</w:t>
              <w:br/>
              <w:t>• Hardware: HSM/KMS (securing TLS channels between bank application servers and KMS/HSM clusters).</w:t>
            </w:r>
          </w:p>
        </w:tc>
        <w:tc>
          <w:tcPr>
            <w:tcW w:type="dxa" w:w="2304"/>
            <w:shd w:fill="FFFFFF"/>
            <w:tcMar>
              <w:top w:w="80" w:type="dxa"/>
              <w:bottom w:w="80" w:type="dxa"/>
              <w:left w:w="100" w:type="dxa"/>
              <w:right w:w="100" w:type="dxa"/>
            </w:tcMar>
          </w:tcPr>
          <w:p>
            <w:pPr>
              <w:jc w:val="left"/>
            </w:pPr>
            <w:r>
              <w:rPr>
                <w:rFonts w:ascii="Times New Roman" w:hAnsi="Times New Roman"/>
                <w:sz w:val="17"/>
              </w:rPr>
              <w:t>Dual-defense combining classical ECDH with NIST FIPS 203 ML-KEM-768.</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TLS 1.3 (Hybrid PQC)</w:t>
            </w:r>
          </w:p>
        </w:tc>
        <w:tc>
          <w:tcPr>
            <w:tcW w:type="dxa" w:w="1296"/>
            <w:shd w:fill="F2F5F9"/>
            <w:tcMar>
              <w:top w:w="80" w:type="dxa"/>
              <w:bottom w:w="80" w:type="dxa"/>
              <w:left w:w="100" w:type="dxa"/>
              <w:right w:w="100" w:type="dxa"/>
            </w:tcMar>
          </w:tcPr>
          <w:p>
            <w:pPr>
              <w:jc w:val="center"/>
            </w:pPr>
            <w:r>
              <w:rPr>
                <w:rFonts w:ascii="Times New Roman" w:hAnsi="Times New Roman"/>
                <w:sz w:val="17"/>
              </w:rPr>
              <w:t>Variable</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Quantum-safe transport for Fedwire/SWIFT &amp; inter-bank clearing.</w:t>
              <w:br/>
              <w:t>• Hardware: KMS/HSM (quantum-safe channel protecting remote HSM administration &amp; DEK transfers).</w:t>
            </w:r>
          </w:p>
        </w:tc>
        <w:tc>
          <w:tcPr>
            <w:tcW w:type="dxa" w:w="2304"/>
            <w:shd w:fill="F2F5F9"/>
            <w:tcMar>
              <w:top w:w="80" w:type="dxa"/>
              <w:bottom w:w="80" w:type="dxa"/>
              <w:left w:w="100" w:type="dxa"/>
              <w:right w:w="100" w:type="dxa"/>
            </w:tcMar>
          </w:tcPr>
          <w:p>
            <w:pPr>
              <w:jc w:val="left"/>
            </w:pPr>
            <w:r>
              <w:rPr>
                <w:rFonts w:ascii="Times New Roman" w:hAnsi="Times New Roman"/>
                <w:sz w:val="17"/>
              </w:rPr>
              <w:t>Deploys IETF hybrid key exchange; eliminates quantum eavesdropping risk.</w:t>
            </w:r>
          </w:p>
        </w:tc>
      </w:tr>
    </w:tbl>
    <w:p>
      <w:pPr>
        <w:keepNext/>
        <w:spacing w:before="280" w:after="80"/>
        <w:jc w:val="left"/>
      </w:pPr>
      <w:r>
        <w:rPr>
          <w:rFonts w:ascii="Times New Roman" w:hAnsi="Times New Roman"/>
          <w:b/>
          <w:color w:val="003366"/>
          <w:sz w:val="24"/>
        </w:rPr>
        <w:t>11.2 A Four-Stage Migration Framework (2025–2033)</w:t>
      </w:r>
    </w:p>
    <w:p>
      <w:pPr>
        <w:spacing w:line="360" w:lineRule="auto" w:after="120"/>
        <w:jc w:val="both"/>
      </w:pPr>
      <w:r>
        <w:rPr>
          <w:rFonts w:ascii="Times New Roman" w:hAnsi="Times New Roman"/>
          <w:color w:val="202020"/>
          <w:sz w:val="24"/>
        </w:rPr>
        <w:t>To maintain uninterrupted 24/7 financial settlement during the post-quantum transition, we propose a four-phase enterprise modernization roadmap:</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1 (2025–2026): Cryptographic Discovery &amp; Baseline Inventory: </w:t>
      </w:r>
      <w:r>
        <w:rPr>
          <w:rFonts w:ascii="Times New Roman" w:hAnsi="Times New Roman"/>
          <w:sz w:val="23"/>
        </w:rPr>
        <w:t>Deploy passive telemetry monitors across API gateways and payment switches to generate automated CBOMs. Decommission legacy ciphers (3DES, SHA-1, MD5) and enforce AES-256 for all stored database records.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2 (2026–2028): Hybrid Ingress &amp; Transport Modernization: </w:t>
      </w:r>
      <w:r>
        <w:rPr>
          <w:rFonts w:ascii="Times New Roman" w:hAnsi="Times New Roman"/>
          <w:sz w:val="23"/>
        </w:rPr>
        <w:t>Enable hybrid TLS 1.3 key exchange (combining X25519 with ML-KEM-768) on public web portals, API gateways, and interbank messaging channels to neutralize Harvest Now, Decrypt Later (HNDL) vectors.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3 (2028–2030): Digital Signatures &amp; PKI Upgrade: </w:t>
      </w:r>
      <w:r>
        <w:rPr>
          <w:rFonts w:ascii="Times New Roman" w:hAnsi="Times New Roman"/>
          <w:sz w:val="23"/>
        </w:rPr>
        <w:t>Migrate internal enterprise Certificate Authorities and ISO 20022 message signing (pacs.008) to ML-DSA-65, deploying dual-signature certificates to ensure backward compatibility.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4 (2030–2033): Comprehensive Quantum Resilience: </w:t>
      </w:r>
      <w:r>
        <w:rPr>
          <w:rFonts w:ascii="Times New Roman" w:hAnsi="Times New Roman"/>
          <w:sz w:val="23"/>
        </w:rPr>
        <w:t>Decommission classical RSA and ECC primitives across core banking mainframes, payment HSMs, and TPM 2.0 hardware roots of trust, achieving full compliance with NSA CNSA 2.0 mandates.</w:t>
      </w:r>
    </w:p>
    <w:p>
      <w:pPr>
        <w:keepNext/>
        <w:spacing w:before="240" w:after="80"/>
        <w:jc w:val="center"/>
      </w:pPr>
      <w:r>
        <w:drawing>
          <wp:inline xmlns:a="http://schemas.openxmlformats.org/drawingml/2006/main" xmlns:pic="http://schemas.openxmlformats.org/drawingml/2006/picture">
            <wp:extent cx="5486400" cy="2194560"/>
            <wp:docPr id="1918841588" name="Picture 1918841588"/>
            <wp:cNvGraphicFramePr>
              <a:graphicFrameLocks noChangeAspect="1"/>
            </wp:cNvGraphicFramePr>
            <a:graphic>
              <a:graphicData uri="http://schemas.openxmlformats.org/drawingml/2006/picture">
                <pic:pic>
                  <pic:nvPicPr>
                    <pic:cNvPr id="0" name="gantt_timeline.png"/>
                    <pic:cNvPicPr/>
                  </pic:nvPicPr>
                  <pic:blipFill>
                    <a:blip r:embed="rId39"/>
                    <a:stretch>
                      <a:fillRect/>
                    </a:stretch>
                  </pic:blipFill>
                  <pic:spPr>
                    <a:xfrm>
                      <a:off x="0" y="0"/>
                      <a:ext cx="5486400" cy="2194560"/>
                    </a:xfrm>
                    <a:prstGeom prst="rect"/>
                  </pic:spPr>
                </pic:pic>
              </a:graphicData>
            </a:graphic>
          </wp:inline>
        </w:drawing>
      </w:r>
    </w:p>
    <w:p>
      <w:pPr>
        <w:keepNext/>
        <w:spacing w:before="40" w:after="280"/>
        <w:jc w:val="center"/>
      </w:pPr>
      <w:r>
        <w:rPr>
          <w:rFonts w:ascii="Times New Roman" w:hAnsi="Times New Roman"/>
          <w:b/>
          <w:i/>
          <w:color w:val="333333"/>
          <w:sz w:val="20"/>
        </w:rPr>
        <w:t>Figure 11.1: Four-Stage Enterprise PQC Migration Roadmap Timeline (2025–2033)</w:t>
      </w:r>
    </w:p>
    <w:p>
      <w:pPr>
        <w:keepNext/>
        <w:spacing w:before="440" w:after="200"/>
        <w:jc w:val="center"/>
      </w:pPr>
      <w:r>
        <w:rPr>
          <w:rFonts w:ascii="Times New Roman" w:hAnsi="Times New Roman"/>
          <w:b/>
          <w:color w:val="002060"/>
          <w:sz w:val="28"/>
        </w:rPr>
        <w:t>Chapter 12: Conclusion and Next Steps</w:t>
      </w:r>
    </w:p>
    <w:p>
      <w:pPr>
        <w:keepNext/>
        <w:spacing w:before="280" w:after="80"/>
        <w:jc w:val="left"/>
      </w:pPr>
      <w:r>
        <w:rPr>
          <w:rFonts w:ascii="Times New Roman" w:hAnsi="Times New Roman"/>
          <w:b/>
          <w:color w:val="003366"/>
          <w:sz w:val="24"/>
        </w:rPr>
        <w:t>12.1 Summary of Contributions</w:t>
      </w:r>
    </w:p>
    <w:p>
      <w:pPr>
        <w:spacing w:line="360" w:lineRule="auto" w:after="120"/>
        <w:jc w:val="both"/>
      </w:pPr>
      <w:r>
        <w:rPr>
          <w:rFonts w:ascii="Times New Roman" w:hAnsi="Times New Roman"/>
          <w:color w:val="202020"/>
          <w:sz w:val="24"/>
        </w:rPr>
        <w:t>In this Capstone-2 project, we developed and validated the Quantum Attack Risk Profiler and Migration Planner (QARP). We established that post-quantum migration is an immediate necessity due to HNDL attack vectors. We implemented an asynchronous streaming parser for banking telemetry, verified that AES-128 must be upgraded to AES-256 under Grover's algorithm, conducted physical benchmarks of NIST FIPS standards using liboqs on enterprise hardware, and demonstrated that static IT planning models underestimate physical HSM appliance requirements by up to 522%. This framework provides financial institutions with an actionable, empirically validated blueprint for quantum-resilient cryptographic migration.</w:t>
      </w:r>
    </w:p>
    <w:p>
      <w:pPr>
        <w:keepNext/>
        <w:spacing w:before="440" w:after="200"/>
        <w:jc w:val="center"/>
      </w:pPr>
      <w:r>
        <w:rPr>
          <w:rFonts w:ascii="Times New Roman" w:hAnsi="Times New Roman"/>
          <w:b/>
          <w:color w:val="002060"/>
          <w:sz w:val="28"/>
        </w:rPr>
        <w:t>References</w:t>
      </w:r>
    </w:p>
    <w:p>
      <w:pPr>
        <w:ind w:left="432" w:hanging="432"/>
      </w:pPr>
      <w:r>
        <w:rPr>
          <w:rFonts w:ascii="Times New Roman" w:hAnsi="Times New Roman"/>
          <w:sz w:val="19"/>
        </w:rPr>
        <w:t>[1] D. S. Stebila and M. Mosca, "Post-quantum key exchange for the Internet and the Open Quantum Safe project," in Proc. 23rd Int. Conf. Sel. Areas Cryptogr. (SAC), Springer, 2017, pp. 14–37.</w:t>
      </w:r>
    </w:p>
    <w:p>
      <w:pPr>
        <w:ind w:left="432" w:hanging="432"/>
      </w:pPr>
      <w:r>
        <w:rPr>
          <w:rFonts w:ascii="Times New Roman" w:hAnsi="Times New Roman"/>
          <w:sz w:val="19"/>
        </w:rPr>
        <w:t>[2] M. Mosca, "Cybersecurity in an era with quantum computers: Will we be ready?" IEEE Secur. Privacy, vol. 16, no. 5, pp. 38–41, Sept./Oct. 2018.</w:t>
      </w:r>
    </w:p>
    <w:p>
      <w:pPr>
        <w:ind w:left="432" w:hanging="432"/>
      </w:pPr>
      <w:r>
        <w:rPr>
          <w:rFonts w:ascii="Times New Roman" w:hAnsi="Times New Roman"/>
          <w:sz w:val="19"/>
        </w:rPr>
        <w:t>[3] C. Gidney and M. Ekerå, "How to factor 2048 bit RSA integers in 8 hours using 20 million noisy qubits," Quantum, vol. 5, Art. no. 433, Apr. 2021.</w:t>
      </w:r>
    </w:p>
    <w:p>
      <w:pPr>
        <w:ind w:left="432" w:hanging="432"/>
      </w:pPr>
      <w:r>
        <w:rPr>
          <w:rFonts w:ascii="Times New Roman" w:hAnsi="Times New Roman"/>
          <w:sz w:val="19"/>
        </w:rPr>
        <w:t>[4] P. Kampanakis, P. Panburana, M. Curcio, and C. Shubina, "Security and performance of post-quantum TLS 1.3," in Proc. 7th Int. Conf. Cryptol. Inform. Secur. Latin America (LATINCRYPT), Springer, 2021, pp. 312–332.</w:t>
      </w:r>
    </w:p>
    <w:p>
      <w:pPr>
        <w:ind w:left="432" w:hanging="432"/>
      </w:pPr>
      <w:r>
        <w:rPr>
          <w:rFonts w:ascii="Times New Roman" w:hAnsi="Times New Roman"/>
          <w:sz w:val="19"/>
        </w:rPr>
        <w:t>[5] S. R. Verschuren, R. Stebila, and B. Westerbaan, "Post-quantum Key Encapsulation and Signatures in Open Quantum Safe: Benchmarking Transport Layer Performance and Cryptographic Overheads," in Proc. 14th Int. Conf. Secur. Cryptogr. (SECRYPT), SCITEPRESS, 2021, pp. 189–201.</w:t>
      </w:r>
    </w:p>
    <w:p>
      <w:pPr>
        <w:ind w:left="432" w:hanging="432"/>
      </w:pPr>
      <w:r>
        <w:rPr>
          <w:rFonts w:ascii="Times New Roman" w:hAnsi="Times New Roman"/>
          <w:sz w:val="19"/>
        </w:rPr>
        <w:t>[6] Bank for International Settlements (BIS), "Project Leap: Quantum-proofing the financial system," BIS Innovation Hub Tech. Rep., Basel, Switzerland, Jun. 2023.</w:t>
      </w:r>
    </w:p>
    <w:p>
      <w:pPr>
        <w:ind w:left="432" w:hanging="432"/>
      </w:pPr>
      <w:r>
        <w:rPr>
          <w:rFonts w:ascii="Times New Roman" w:hAnsi="Times New Roman"/>
          <w:sz w:val="19"/>
        </w:rPr>
        <w:t>[7] T. Oder, T. Schneider, and M. Pöppelmann, "Post-quantum cryptography in hardware security modules: Bottlenecks, throughput constraints, and acceleration architectures," IEEE Trans. Very Large Scale Integr. (VLSI) Syst., vol. 31, no. 6, pp. 815–828, Jun. 2023.</w:t>
      </w:r>
    </w:p>
    <w:p>
      <w:pPr>
        <w:ind w:left="432" w:hanging="432"/>
      </w:pPr>
      <w:r>
        <w:rPr>
          <w:rFonts w:ascii="Times New Roman" w:hAnsi="Times New Roman"/>
          <w:sz w:val="19"/>
        </w:rPr>
        <w:t>[8] S. Paul, B. Kannwischer, D. Stebila, and T. Poppelmann, "Performance analysis and benchmarking of post-quantum cryptographic algorithms across heterogeneous computing platforms," IEEE Trans. Comput., vol. 72, no. 8, pp. 2210–2223, Aug. 2023.</w:t>
      </w:r>
    </w:p>
    <w:p>
      <w:pPr>
        <w:ind w:left="432" w:hanging="432"/>
      </w:pPr>
      <w:r>
        <w:rPr>
          <w:rFonts w:ascii="Times New Roman" w:hAnsi="Times New Roman"/>
          <w:sz w:val="19"/>
        </w:rPr>
        <w:t>[9] P. Kampanakis, P. Panburana, M. Curcio, and C. S. Schubert, "Assessing the performance impact of post-quantum cryptography on enterprise and WPA-Enterprise networks," IEEE Access, vol. 11, pp. 112450–112465, Oct. 2023.</w:t>
      </w:r>
    </w:p>
    <w:p>
      <w:pPr>
        <w:ind w:left="432" w:hanging="432"/>
      </w:pPr>
      <w:r>
        <w:rPr>
          <w:rFonts w:ascii="Times New Roman" w:hAnsi="Times New Roman"/>
          <w:sz w:val="19"/>
        </w:rPr>
        <w:t>[10] A. P. Debroy, S. Ghosh, and K. Basu, "Hardware-Root-of-Trust and cryptographic agility for post-quantum financial appliances," in Proc. 2023 IEEE Int. Symp. Hardw. Oriented Secur. Trust (HOST), IEEE, 2023, pp. 112–117.</w:t>
      </w:r>
    </w:p>
    <w:p>
      <w:pPr>
        <w:ind w:left="432" w:hanging="432"/>
      </w:pPr>
      <w:r>
        <w:rPr>
          <w:rFonts w:ascii="Times New Roman" w:hAnsi="Times New Roman"/>
          <w:sz w:val="19"/>
        </w:rPr>
        <w:t>[11] CycloneDX Authoring Group, "CycloneDX v1.6 Standard: Cryptography Bill of Materials (CBOM) Specification," OWASP Foundation, Tech. Standard, Jan. 2024.</w:t>
      </w:r>
    </w:p>
    <w:p>
      <w:pPr>
        <w:ind w:left="432" w:hanging="432"/>
      </w:pPr>
      <w:r>
        <w:rPr>
          <w:rFonts w:ascii="Times New Roman" w:hAnsi="Times New Roman"/>
          <w:sz w:val="19"/>
        </w:rPr>
        <w:t>[12] K. A. S. S. Bandara and C. J. Mitchell, "Packet fragmentation in post-quantum network protocols: Impact on transaction throughput and timeouts in core banking backbones," Comput. Networks, vol. 238, Art. no. 110108, Jan. 2024.</w:t>
      </w:r>
    </w:p>
    <w:p>
      <w:pPr>
        <w:ind w:left="432" w:hanging="432"/>
      </w:pPr>
      <w:r>
        <w:rPr>
          <w:rFonts w:ascii="Times New Roman" w:hAnsi="Times New Roman"/>
          <w:sz w:val="19"/>
        </w:rPr>
        <w:t>[13] M. E. Smid, "Transitioning from legacy algorithms: A framework for discovering, categorizing, and retiring non-quantum-safe algorithms in banking data pipelines," IEEE Secur. Privacy, vol. 22, no. 1, pp. 62–71, Jan./Feb. 2024.</w:t>
      </w:r>
    </w:p>
    <w:p>
      <w:pPr>
        <w:ind w:left="432" w:hanging="432"/>
      </w:pPr>
      <w:r>
        <w:rPr>
          <w:rFonts w:ascii="Times New Roman" w:hAnsi="Times New Roman"/>
          <w:sz w:val="19"/>
        </w:rPr>
        <w:t>[14] N. V. Mavrogiannopoulos, P. Robinson, and V. Mavroeidis, "CBOM: Toward automated cryptographic bill of materials for post-quantum migration audits," IEEE Secur. Privacy, vol. 22, no. 2, pp. 62–72, Mar./Apr. 2024.</w:t>
      </w:r>
    </w:p>
    <w:p>
      <w:pPr>
        <w:ind w:left="432" w:hanging="432"/>
      </w:pPr>
      <w:r>
        <w:rPr>
          <w:rFonts w:ascii="Times New Roman" w:hAnsi="Times New Roman"/>
          <w:sz w:val="19"/>
        </w:rPr>
        <w:t>[15] K. Bürstinghaus-Steinbach, C. Krauß, and R. Niederhagen, "Post-quantum TLS on enterprise middleboxes: Packet loss, fragmentation, and latency overheads," in Proc. 2024 IEEE Int. Conf. Cyber Secur. Resilience (CSR), IEEE, 2024, pp. 88–95.</w:t>
      </w:r>
    </w:p>
    <w:p>
      <w:pPr>
        <w:ind w:left="432" w:hanging="432"/>
      </w:pPr>
      <w:r>
        <w:rPr>
          <w:rFonts w:ascii="Times New Roman" w:hAnsi="Times New Roman"/>
          <w:sz w:val="19"/>
        </w:rPr>
        <w:t>[16] European Central Bank (ECB), "Preparing the Eurosystem financial market infrastructures for the quantum era," ECB Advisory Group on Market Infrastructures for Payments (AMI-Pay), Frankfurt, Germany, Sep. 2024.</w:t>
      </w:r>
    </w:p>
    <w:p>
      <w:pPr>
        <w:ind w:left="432" w:hanging="432"/>
      </w:pPr>
      <w:r>
        <w:rPr>
          <w:rFonts w:ascii="Times New Roman" w:hAnsi="Times New Roman"/>
          <w:sz w:val="19"/>
        </w:rPr>
        <w:t>[17] SWIFT Standards Committee, "ISO 20022 Financial Messaging: Managing Cryptographic Agility in pacs.008 and pain.001 Payment Clearings," SWIFT Standards Information Paper, La Hulpe, Belgium, Nov. 2024.</w:t>
      </w:r>
    </w:p>
    <w:p>
      <w:pPr>
        <w:ind w:left="432" w:hanging="432"/>
      </w:pPr>
      <w:r>
        <w:rPr>
          <w:rFonts w:ascii="Times New Roman" w:hAnsi="Times New Roman"/>
          <w:sz w:val="19"/>
        </w:rPr>
        <w:t>[18] U.S. Federal Financial Institutions Examination Council (FFIEC), "Architecture, Infrastructure, and Operations: Preparing for Quantum-Resistant Cryptographic Standards," FFIEC Cybersecurity Resource Guide, Washington, DC, USA, May 2025.</w:t>
      </w:r>
    </w:p>
    <w:p>
      <w:pPr>
        <w:keepNext/>
        <w:spacing w:before="440" w:after="200"/>
        <w:jc w:val="center"/>
      </w:pPr>
      <w:r>
        <w:rPr>
          <w:rFonts w:ascii="Times New Roman" w:hAnsi="Times New Roman"/>
          <w:b/>
          <w:color w:val="002060"/>
          <w:sz w:val="28"/>
        </w:rPr>
        <w:t>Appendix A: Complete Python Source Code (pqc_log_parser_and_cost_engine.py)</w:t>
      </w:r>
    </w:p>
    <w:p>
      <w:pPr>
        <w:spacing w:line="360" w:lineRule="auto" w:after="120"/>
        <w:jc w:val="both"/>
      </w:pPr>
      <w:r>
        <w:rPr>
          <w:rFonts w:ascii="Times New Roman" w:hAnsi="Times New Roman"/>
          <w:color w:val="202020"/>
          <w:sz w:val="24"/>
        </w:rPr>
        <w:t>Below is the complete, self-contained Python source code for our telemetry parser and hardware capacity sizing engine:</w:t>
      </w:r>
    </w:p>
    <w:p>
      <w:pPr>
        <w:spacing w:line="240" w:lineRule="auto"/>
        <w:ind w:left="432"/>
      </w:pPr>
      <w:r>
        <w:rPr>
          <w:rFonts w:ascii="Courier New" w:hAnsi="Courier New"/>
          <w:color w:val="1F3864"/>
          <w:sz w:val="17"/>
        </w:rPr>
        <w:t>"""</w:t>
        <w:br/>
        <w:t>PQC Banking Migration Profiler: Log Parser &amp; Capacity Analysis Engine</w:t>
        <w:br/>
        <w:t>Master's Capstone Artifact: Internal Banking Settlement REST/TLS Workloads (Platform-Agnostic / On-Premise)</w:t>
        <w:br/>
        <w:t>"""</w:t>
        <w:br/>
        <w:br/>
        <w:t>import json</w:t>
        <w:br/>
        <w:t>import math</w:t>
        <w:br/>
        <w:t>from typing import List, Dict, Any</w:t>
        <w:br/>
        <w:br/>
        <w:t># NIST FIPS 203 / 204 Parameter Constants (in Bytes) and Relative CPU Costs</w:t>
        <w:br/>
        <w:t>CRYPTO_SPECS = {</w:t>
        <w:br/>
        <w:t xml:space="preserve">    # Legacy Asymmetric (Vulnerable to Shor's Algorithm)</w:t>
        <w:br/>
        <w:t xml:space="preserve">    "RSA-2048": {</w:t>
        <w:br/>
        <w:t xml:space="preserve">        "type": "asymmetric",</w:t>
        <w:br/>
        <w:t xml:space="preserve">        "pubkey_bytes": 256,</w:t>
        <w:br/>
        <w:t xml:space="preserve">        "sig_enc_bytes": 256,</w:t>
        <w:br/>
        <w:t xml:space="preserve">        "cpu_cost_multiplier": 1.0,  # Baseline</w:t>
        <w:br/>
        <w:t xml:space="preserve">        "shor_vulnerable": True</w:t>
        <w:br/>
        <w:t xml:space="preserve">    },</w:t>
        <w:br/>
        <w:t xml:space="preserve">    "ECDSA-P256": {</w:t>
        <w:br/>
        <w:t xml:space="preserve">        "type": "asymmetric",</w:t>
        <w:br/>
        <w:t xml:space="preserve">        "pubkey_bytes": 64,</w:t>
        <w:br/>
        <w:t xml:space="preserve">        "sig_enc_bytes": 64,</w:t>
        <w:br/>
        <w:t xml:space="preserve">        "cpu_cost_multiplier": 0.45,</w:t>
        <w:br/>
        <w:t xml:space="preserve">        "shor_vulnerable": True</w:t>
        <w:br/>
        <w:t xml:space="preserve">    },</w:t>
        <w:br/>
        <w:t xml:space="preserve">    # NIST PQC Standards</w:t>
        <w:br/>
        <w:t xml:space="preserve">    "ML-KEM-768": {</w:t>
        <w:br/>
        <w:t xml:space="preserve">        "type": "kem",</w:t>
        <w:br/>
        <w:t xml:space="preserve">        "pubkey_bytes": 1184,</w:t>
        <w:br/>
        <w:t xml:space="preserve">        "sig_enc_bytes": 1088,</w:t>
        <w:br/>
        <w:t xml:space="preserve">        "cpu_cost_multiplier": 0.20, # Very fast lattice vector matrix operations</w:t>
        <w:br/>
        <w:t xml:space="preserve">        "shor_vulnerable": False</w:t>
        <w:br/>
        <w:t xml:space="preserve">    },</w:t>
        <w:br/>
        <w:t xml:space="preserve">    "ML-DSA-65": {</w:t>
        <w:br/>
        <w:t xml:space="preserve">        "type": "signature",</w:t>
        <w:br/>
        <w:t xml:space="preserve">        "pubkey_bytes": 1952,</w:t>
        <w:br/>
        <w:t xml:space="preserve">        "sig_enc_bytes": 3300,</w:t>
        <w:br/>
        <w:t xml:space="preserve">        "cpu_cost_multiplier": 1.35, # Heavier verification &amp; polynomial operations</w:t>
        <w:br/>
        <w:t xml:space="preserve">        "shor_vulnerable": False</w:t>
        <w:br/>
        <w:t xml:space="preserve">    },</w:t>
        <w:br/>
        <w:t xml:space="preserve">    # Symmetric (Evaluated against Grover's algorithm: security halved)</w:t>
        <w:br/>
        <w:t xml:space="preserve">    "AES-128-GCM": {</w:t>
        <w:br/>
        <w:t xml:space="preserve">        "type": "symmetric",</w:t>
        <w:br/>
        <w:t xml:space="preserve">        "key_bits": 128,</w:t>
        <w:br/>
        <w:t xml:space="preserve">        "post_quantum_security_bits": 64, # INSECURE under Grover</w:t>
        <w:br/>
        <w:t xml:space="preserve">        "shor_vulnerable": False,</w:t>
        <w:br/>
        <w:t xml:space="preserve">        "grover_vulnerable": True</w:t>
        <w:br/>
        <w:t xml:space="preserve">    },</w:t>
        <w:br/>
        <w:t xml:space="preserve">    "AES-256-GCM": {</w:t>
        <w:br/>
        <w:t xml:space="preserve">        "type": "symmetric",</w:t>
        <w:br/>
        <w:t xml:space="preserve">        "key_bits": 256,</w:t>
        <w:br/>
        <w:t xml:space="preserve">        "post_quantum_security_bits": 128, # SECURE under Grover</w:t>
        <w:br/>
        <w:t xml:space="preserve">        "shor_vulnerable": False,</w:t>
        <w:br/>
        <w:t xml:space="preserve">        "grover_vulnerable": False</w:t>
        <w:br/>
        <w:t xml:space="preserve">    }</w:t>
        <w:br/>
        <w:t>}</w:t>
        <w:br/>
        <w:br/>
        <w:t># Enterprise On-Premise / Datacenter Hardware Baseline (FIPS 140-3 PCIe/Network Payment HSMs &amp; Server Infrastructure)</w:t>
        <w:br/>
        <w:t>ENTERPRISE_HARDWARE_CONSTANTS = {</w:t>
        <w:br/>
        <w:t xml:space="preserve">    "bandwidth_cost_per_gb": 0.05,            # Datacenter interconnect / transit bandwidth cost per GB</w:t>
        <w:br/>
        <w:t xml:space="preserve">    "server_core_monthly_amortized": 45.0,    # Server compute core monthly amortized CapEx/OpEx</w:t>
        <w:br/>
        <w:t xml:space="preserve">    "hsm_appliance_monthly_amortized": 1200.0,# Monthly amortized cost per high-assurance Payment HSM unit (hardware + maintenance)</w:t>
        <w:br/>
        <w:t xml:space="preserve">    "hsm_baseline_rsa_ops_sec": 1200,         # Max RSA-2048 operations per second per HSM appliance core/unit</w:t>
        <w:br/>
        <w:t xml:space="preserve">    "hsm_estimated_pqc_ops_sec": 180          # PQC throughput due to lattice rejection sampling &amp; polynomial complexity (~85% deficit)</w:t>
        <w:br/>
        <w:t>}</w:t>
        <w:br/>
        <w:br/>
        <w:br/>
        <w:t>class PQCLogParserAndAnalyzer:</w:t>
        <w:br/>
        <w:t xml:space="preserve">    """</w:t>
        <w:br/>
        <w:t xml:space="preserve">    Parses structured JSON/REST log outputs from enterprise API gateways</w:t>
        <w:br/>
        <w:t xml:space="preserve">    (e.g., Kong, Nginx, HAProxy, Envoy, F5 BIG-IP) and computes quantum vulnerability,</w:t>
        <w:br/>
        <w:t xml:space="preserve">    MTU packet fragmentation risks, and hardware appliance scaling deltas.</w:t>
        <w:br/>
        <w:t xml:space="preserve">    """</w:t>
        <w:br/>
        <w:br/>
        <w:t xml:space="preserve">    def __init__(self, target_kem: str = "ML-KEM-768", target_sig: str = "ML-DSA-65"):</w:t>
        <w:br/>
        <w:t xml:space="preserve">        self.target_kem = target_kem</w:t>
        <w:br/>
        <w:t xml:space="preserve">        self.target_sig = target_sig</w:t>
        <w:br/>
        <w:br/>
        <w:t xml:space="preserve">    def parse_log_entry(self, log_dict: Dict[str, Any]) -&gt; Dict[str, Any]:</w:t>
        <w:br/>
        <w:t xml:space="preserve">        """</w:t>
        <w:br/>
        <w:t xml:space="preserve">        Parses a single JSON API gateway log entry.</w:t>
        <w:br/>
        <w:t xml:space="preserve">        Expected keys: endpoint, tls_cipher, client_cert_type, request_size_bytes,</w:t>
        <w:br/>
        <w:t xml:space="preserve">        response_size_bytes, latency_ms, tps</w:t>
        <w:br/>
        <w:t xml:space="preserve">        """</w:t>
        <w:br/>
        <w:t xml:space="preserve">        endpoint = log_dict.get("endpoint", "/api/v1/unknown")</w:t>
        <w:br/>
        <w:t xml:space="preserve">        tls_cipher = log_dict.get("tls_cipher", "TLS_ECDHE_RSA_WITH_AES_128_GCM_SHA256")</w:t>
        <w:br/>
        <w:t xml:space="preserve">        payload_bytes = log_dict.get("request_size_bytes", 500) + log_dict.get("response_size_bytes", 500)</w:t>
        <w:br/>
        <w:t xml:space="preserve">        tps = log_dict.get("tps", 1000)</w:t>
        <w:br/>
        <w:t xml:space="preserve">        base_latency_ms = log_dict.get("latency_ms", 12.0)</w:t>
        <w:br/>
        <w:br/>
        <w:t xml:space="preserve">        # 1. Identify Asymmetric and Symmetric Components</w:t>
        <w:br/>
        <w:t xml:space="preserve">        legacy_asym = "RSA-2048" if "RSA" in tls_cipher else "ECDSA-P256"</w:t>
        <w:br/>
        <w:t xml:space="preserve">        symmetric_algo = "AES-128-GCM" if "AES_128" in tls_cipher else "AES-256-GCM"</w:t>
        <w:br/>
        <w:br/>
        <w:t xml:space="preserve">        # 2. Cryptographic Sizing Computations</w:t>
        <w:br/>
        <w:t xml:space="preserve">        legacy_key_bytes = CRYPTO_SPECS[legacy_asym]["pubkey_bytes"]</w:t>
        <w:br/>
        <w:t xml:space="preserve">        legacy_sig_bytes = CRYPTO_SPECS[legacy_asym]["sig_enc_bytes"]</w:t>
        <w:br/>
        <w:t xml:space="preserve">        legacy_handshake_bytes = legacy_key_bytes + legacy_sig_bytes</w:t>
        <w:br/>
        <w:br/>
        <w:t xml:space="preserve">        pqc_key_bytes = CRYPTO_SPECS[self.target_kem]["pubkey_bytes"]</w:t>
        <w:br/>
        <w:t xml:space="preserve">        pqc_sig_bytes = CRYPTO_SPECS[self.target_sig]["sig_enc_bytes"]</w:t>
        <w:br/>
        <w:t xml:space="preserve">        pqc_handshake_bytes = pqc_key_bytes + pqc_sig_bytes</w:t>
        <w:br/>
        <w:br/>
        <w:t xml:space="preserve">        # 3. Ethernet MTU Packet Fragmentation Analysis (Standard MTU = 1500 bytes)</w:t>
        <w:br/>
        <w:t xml:space="preserve">        legacy_packets = math.ceil(legacy_handshake_bytes / 1500)</w:t>
        <w:br/>
        <w:t xml:space="preserve">        pqc_packets = math.ceil(pqc_handshake_bytes / 1500)</w:t>
        <w:br/>
        <w:t xml:space="preserve">        fragmentation_risk = pqc_packets &gt; 1</w:t>
        <w:br/>
        <w:br/>
        <w:t xml:space="preserve">        # Estimated network latency inflation from multi-packet reassembly &amp; TCP window traversals</w:t>
        <w:br/>
        <w:t xml:space="preserve">        additional_latency_ms = max(0.0, (pqc_packets - legacy_packets) * 2.2)</w:t>
        <w:br/>
        <w:t xml:space="preserve">        projected_latency_ms = round(base_latency_ms + additional_latency_ms, 2)</w:t>
        <w:br/>
        <w:br/>
        <w:t xml:space="preserve">        # 4. Data Transfer Volume Calculations (Monthly at 24/7 sustained TPS)</w:t>
        <w:br/>
        <w:t xml:space="preserve">        seconds_per_month = 30 * 24 * 3600</w:t>
        <w:br/>
        <w:t xml:space="preserve">        monthly_requests = tps * seconds_per_month</w:t>
        <w:br/>
        <w:br/>
        <w:t xml:space="preserve">        monthly_legacy_traffic_gb = (monthly_requests * legacy_handshake_bytes) / (1024 ** 3)</w:t>
        <w:br/>
        <w:t xml:space="preserve">        monthly_pqc_traffic_gb = (monthly_requests * pqc_handshake_bytes) / (1024 ** 3)</w:t>
        <w:br/>
        <w:t xml:space="preserve">        monthly_traffic_delta_gb = monthly_pqc_traffic_gb - monthly_legacy_traffic_gb</w:t>
        <w:br/>
        <w:br/>
        <w:t xml:space="preserve">        # 5. Infrastructure Capacity &amp; Hardware Cost Model</w:t>
        <w:br/>
        <w:t xml:space="preserve">        bandwidth_cost_delta = monthly_traffic_delta_gb * ENTERPRISE_HARDWARE_CONSTANTS["bandwidth_cost_per_gb"]</w:t>
        <w:br/>
        <w:br/>
        <w:t xml:space="preserve">        # Enterprise Payment HSM cluster sizing calculation</w:t>
        <w:br/>
        <w:t xml:space="preserve">        hsm_legacy_needed = max(2, math.ceil(tps / ENTERPRISE_HARDWARE_CONSTANTS["hsm_baseline_rsa_ops_sec"]))</w:t>
        <w:br/>
        <w:t xml:space="preserve">        hsm_pqc_needed = max(2, math.ceil(tps / ENTERPRISE_HARDWARE_CONSTANTS["hsm_estimated_pqc_ops_sec"]))</w:t>
        <w:br/>
        <w:t xml:space="preserve">        monthly_hsm_legacy_cost = hsm_legacy_needed * ENTERPRISE_HARDWARE_CONSTANTS["hsm_appliance_monthly_amortized"]</w:t>
        <w:br/>
        <w:t xml:space="preserve">        monthly_hsm_pqc_cost = hsm_pqc_needed * ENTERPRISE_HARDWARE_CONSTANTS["hsm_appliance_monthly_amortized"]</w:t>
        <w:br/>
        <w:t xml:space="preserve">        monthly_hsm_delta_cost = monthly_hsm_pqc_cost - monthly_hsm_legacy_cost</w:t>
        <w:br/>
        <w:br/>
        <w:t xml:space="preserve">        total_monthly_infrastructure_delta_usd = round(bandwidth_cost_delta + monthly_hsm_delta_cost, 2)</w:t>
        <w:br/>
        <w:t xml:space="preserve">        hsm_capacity_shortfall_pct = round(((hsm_pqc_needed - hsm_legacy_needed) / hsm_legacy_needed) * 100, 1)</w:t>
        <w:br/>
        <w:br/>
        <w:t xml:space="preserve">        return {</w:t>
        <w:br/>
        <w:t xml:space="preserve">            "endpoint": endpoint,</w:t>
        <w:br/>
        <w:t xml:space="preserve">            "tps": tps,</w:t>
        <w:br/>
        <w:t xml:space="preserve">            "detected_legacy_asym": legacy_asym,</w:t>
        <w:br/>
        <w:t xml:space="preserve">            "detected_symmetric": symmetric_algo,</w:t>
        <w:br/>
        <w:t xml:space="preserve">            "grover_warning": CRYPTO_SPECS[symmetric_algo]["grover_vulnerable"],</w:t>
        <w:br/>
        <w:t xml:space="preserve">            "shor_vulnerable": CRYPTO_SPECS[legacy_asym]["shor_vulnerable"],</w:t>
        <w:br/>
        <w:t xml:space="preserve">            "legacy_handshake_bytes": legacy_handshake_bytes,</w:t>
        <w:br/>
        <w:t xml:space="preserve">            "pqc_handshake_bytes": pqc_handshake_bytes,</w:t>
        <w:br/>
        <w:t xml:space="preserve">            "packet_fragmentation_factor": f"{legacy_packets} pkt -&gt; {pqc_packets} pkts",</w:t>
        <w:br/>
        <w:t xml:space="preserve">            "base_latency_ms": base_latency_ms,</w:t>
        <w:br/>
        <w:t xml:space="preserve">            "projected_pqc_latency_ms": projected_latency_ms,</w:t>
        <w:br/>
        <w:t xml:space="preserve">            "sla_breached_50ms": projected_latency_ms &gt; 50.0,</w:t>
        <w:br/>
        <w:t xml:space="preserve">            "monthly_traffic_increase_gb": round(monthly_traffic_delta_gb, 2),</w:t>
        <w:br/>
        <w:t xml:space="preserve">            "monthly_infrastructure_cost_delta_usd": total_monthly_infrastructure_delta_usd,</w:t>
        <w:br/>
        <w:t xml:space="preserve">            "hsm_hardware_cluster_scaling": f"{hsm_legacy_needed} units -&gt; {hsm_pqc_needed} units (+{hsm_capacity_shortfall_pct}%)"</w:t>
        <w:br/>
        <w:t xml:space="preserve">        }</w:t>
        <w:br/>
        <w:br/>
        <w:br/>
        <w:t># Demonstration Execution with Typical Banking REST JSON Log Samples</w:t>
        <w:br/>
        <w:t>if __name__ == "__main__":</w:t>
        <w:br/>
        <w:t xml:space="preserve">    raw_json_logs = [</w:t>
        <w:br/>
        <w:t xml:space="preserve">        {</w:t>
        <w:br/>
        <w:t xml:space="preserve">            "timestamp": "2026-09-03T10:14:22Z",</w:t>
        <w:br/>
        <w:t xml:space="preserve">            "endpoint": "/v1/settlement/credit-transfer",</w:t>
        <w:br/>
        <w:t xml:space="preserve">            "tls_cipher": "TLS_ECDHE_RSA_WITH_AES_128_GCM_SHA256",</w:t>
        <w:br/>
        <w:t xml:space="preserve">            "request_size_bytes": 620,</w:t>
        <w:br/>
        <w:t xml:space="preserve">            "response_size_bytes": 410,</w:t>
        <w:br/>
        <w:t xml:space="preserve">            "latency_ms": 14.5,</w:t>
        <w:br/>
        <w:t xml:space="preserve">            "tps": 4500</w:t>
        <w:br/>
        <w:t xml:space="preserve">        },</w:t>
        <w:br/>
        <w:t xml:space="preserve">        {</w:t>
        <w:br/>
        <w:t xml:space="preserve">            "timestamp": "2026-09-03T10:14:23Z",</w:t>
        <w:br/>
        <w:t xml:space="preserve">            "endpoint": "/v1/clearing/rtgs-instant",</w:t>
        <w:br/>
        <w:t xml:space="preserve">            "tls_cipher": "TLS_ECDHE_ECDSA_WITH_AES_256_GCM_SHA384",</w:t>
        <w:br/>
        <w:t xml:space="preserve">            "request_size_bytes": 890,</w:t>
        <w:br/>
        <w:t xml:space="preserve">            "response_size_bytes": 520,</w:t>
        <w:br/>
        <w:t xml:space="preserve">            "latency_ms": 8.2,</w:t>
        <w:br/>
        <w:t xml:space="preserve">            "tps": 8000</w:t>
        <w:br/>
        <w:t xml:space="preserve">        },</w:t>
        <w:br/>
        <w:t xml:space="preserve">        {</w:t>
        <w:br/>
        <w:t xml:space="preserve">            "timestamp": "2026-09-03T10:14:24Z",</w:t>
        <w:br/>
        <w:t xml:space="preserve">            "endpoint": "/v1/ledger/batch-reconciliation",</w:t>
        <w:br/>
        <w:t xml:space="preserve">            "tls_cipher": "TLS_RSA_WITH_AES_128_CBC_SHA",</w:t>
        <w:br/>
        <w:t xml:space="preserve">            "request_size_bytes": 4500,</w:t>
        <w:br/>
        <w:t xml:space="preserve">            "response_size_bytes": 12000,</w:t>
        <w:br/>
        <w:t xml:space="preserve">            "latency_ms": 46.0,</w:t>
        <w:br/>
        <w:t xml:space="preserve">            "tps": 1200</w:t>
        <w:br/>
        <w:t xml:space="preserve">        }</w:t>
        <w:br/>
        <w:t xml:space="preserve">    ]</w:t>
        <w:br/>
        <w:br/>
        <w:t xml:space="preserve">    analyzer = PQCLogParserAndAnalyzer()</w:t>
        <w:br/>
        <w:t xml:space="preserve">    print("=== PQC BANKING LOG ANALYSIS &amp; CAPACITY RESULTS (ON-PREMISE / ENTERPRISE) ===")</w:t>
        <w:br/>
        <w:t xml:space="preserve">    for log in raw_json_logs:</w:t>
        <w:br/>
        <w:t xml:space="preserve">        result = analyzer.parse_log_entry(log)</w:t>
        <w:br/>
        <w:t xml:space="preserve">        print(json.dumps(result, indent=2))</w:t>
        <w:br/>
      </w:r>
    </w:p>
    <w:sectPr w:rsidR="002673D4" w:rsidRPr="004367A5" w:rsidSect="00E0541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E7D9" w14:textId="77777777" w:rsidR="001F2D83" w:rsidRDefault="001F2D83">
      <w:pPr>
        <w:spacing w:after="0" w:line="240" w:lineRule="auto"/>
      </w:pPr>
      <w:r>
        <w:separator/>
      </w:r>
    </w:p>
  </w:endnote>
  <w:endnote w:type="continuationSeparator" w:id="0">
    <w:p w14:paraId="258EEA68" w14:textId="77777777" w:rsidR="001F2D83" w:rsidRDefault="001F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2673D4" w:rsidRPr="00182B74" w:rsidRDefault="00000000" w:rsidP="00CE2EFC">
    <w:pPr>
      <w:jc w:val="right"/>
    </w:pPr>
    <w:r w:rsidRPr="00182B74">
      <w:t xml:space="preserve">Page </w:t>
    </w:r>
    <w:r w:rsidRPr="00182B74">
      <w:fldChar w:fldCharType="begin"/>
    </w:r>
    <w:r w:rsidRPr="00182B74">
      <w:instrText xml:space="preserve"> PAGE  \* Arabic  \* MERGEFORMAT </w:instrText>
    </w:r>
    <w:r w:rsidRPr="00182B74">
      <w:fldChar w:fldCharType="separate"/>
    </w:r>
    <w:r>
      <w:rPr>
        <w:noProof/>
      </w:rPr>
      <w:t>21</w:t>
    </w:r>
    <w:r w:rsidRPr="00182B74">
      <w:fldChar w:fldCharType="end"/>
    </w:r>
    <w:r w:rsidRPr="00182B74">
      <w:t xml:space="preserve"> of </w:t>
    </w:r>
    <w:fldSimple w:instr="NUMPAGES  \* Arabic  \* MERGEFORMAT">
      <w:r w:rsidR="002673D4">
        <w:rPr>
          <w:noProof/>
        </w:rPr>
        <w:t>21</w:t>
      </w:r>
    </w:fldSimple>
  </w:p>
  <w:p w14:paraId="680609A9" w14:textId="77777777" w:rsidR="002673D4" w:rsidRDefault="002673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799B" w14:textId="77777777" w:rsidR="001F2D83" w:rsidRDefault="001F2D83">
      <w:pPr>
        <w:spacing w:after="0" w:line="240" w:lineRule="auto"/>
      </w:pPr>
      <w:r>
        <w:separator/>
      </w:r>
    </w:p>
  </w:footnote>
  <w:footnote w:type="continuationSeparator" w:id="0">
    <w:p w14:paraId="6960523F" w14:textId="77777777" w:rsidR="001F2D83" w:rsidRDefault="001F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21"/>
    <w:multiLevelType w:val="multilevel"/>
    <w:tmpl w:val="B262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A30"/>
    <w:multiLevelType w:val="multilevel"/>
    <w:tmpl w:val="38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4C03E7"/>
    <w:multiLevelType w:val="multilevel"/>
    <w:tmpl w:val="566288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D46A6"/>
    <w:multiLevelType w:val="hybridMultilevel"/>
    <w:tmpl w:val="21C85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9D71DD"/>
    <w:multiLevelType w:val="multilevel"/>
    <w:tmpl w:val="FF7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93CBA"/>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4551E2"/>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42EE1"/>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46549"/>
    <w:multiLevelType w:val="multilevel"/>
    <w:tmpl w:val="E6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07003D"/>
    <w:multiLevelType w:val="multilevel"/>
    <w:tmpl w:val="B262CA58"/>
    <w:lvl w:ilvl="0">
      <w:start w:val="1"/>
      <w:numFmt w:val="decimal"/>
      <w:lvlText w:val="%1."/>
      <w:lvlJc w:val="left"/>
      <w:pPr>
        <w:tabs>
          <w:tab w:val="num" w:pos="-2136"/>
        </w:tabs>
        <w:ind w:left="-2136" w:hanging="360"/>
      </w:pPr>
    </w:lvl>
    <w:lvl w:ilvl="1" w:tentative="1">
      <w:start w:val="1"/>
      <w:numFmt w:val="decimal"/>
      <w:lvlText w:val="%2."/>
      <w:lvlJc w:val="left"/>
      <w:pPr>
        <w:tabs>
          <w:tab w:val="num" w:pos="-1416"/>
        </w:tabs>
        <w:ind w:left="-1416" w:hanging="360"/>
      </w:pPr>
    </w:lvl>
    <w:lvl w:ilvl="2" w:tentative="1">
      <w:start w:val="1"/>
      <w:numFmt w:val="decimal"/>
      <w:lvlText w:val="%3."/>
      <w:lvlJc w:val="left"/>
      <w:pPr>
        <w:tabs>
          <w:tab w:val="num" w:pos="-696"/>
        </w:tabs>
        <w:ind w:left="-696" w:hanging="360"/>
      </w:pPr>
    </w:lvl>
    <w:lvl w:ilvl="3" w:tentative="1">
      <w:start w:val="1"/>
      <w:numFmt w:val="decimal"/>
      <w:lvlText w:val="%4."/>
      <w:lvlJc w:val="left"/>
      <w:pPr>
        <w:tabs>
          <w:tab w:val="num" w:pos="24"/>
        </w:tabs>
        <w:ind w:left="24" w:hanging="360"/>
      </w:pPr>
    </w:lvl>
    <w:lvl w:ilvl="4" w:tentative="1">
      <w:start w:val="1"/>
      <w:numFmt w:val="decimal"/>
      <w:lvlText w:val="%5."/>
      <w:lvlJc w:val="left"/>
      <w:pPr>
        <w:tabs>
          <w:tab w:val="num" w:pos="744"/>
        </w:tabs>
        <w:ind w:left="744" w:hanging="360"/>
      </w:pPr>
    </w:lvl>
    <w:lvl w:ilvl="5" w:tentative="1">
      <w:start w:val="1"/>
      <w:numFmt w:val="decimal"/>
      <w:lvlText w:val="%6."/>
      <w:lvlJc w:val="left"/>
      <w:pPr>
        <w:tabs>
          <w:tab w:val="num" w:pos="1464"/>
        </w:tabs>
        <w:ind w:left="1464" w:hanging="360"/>
      </w:pPr>
    </w:lvl>
    <w:lvl w:ilvl="6" w:tentative="1">
      <w:start w:val="1"/>
      <w:numFmt w:val="decimal"/>
      <w:lvlText w:val="%7."/>
      <w:lvlJc w:val="left"/>
      <w:pPr>
        <w:tabs>
          <w:tab w:val="num" w:pos="2184"/>
        </w:tabs>
        <w:ind w:left="2184" w:hanging="360"/>
      </w:pPr>
    </w:lvl>
    <w:lvl w:ilvl="7" w:tentative="1">
      <w:start w:val="1"/>
      <w:numFmt w:val="decimal"/>
      <w:lvlText w:val="%8."/>
      <w:lvlJc w:val="left"/>
      <w:pPr>
        <w:tabs>
          <w:tab w:val="num" w:pos="2904"/>
        </w:tabs>
        <w:ind w:left="2904" w:hanging="360"/>
      </w:pPr>
    </w:lvl>
    <w:lvl w:ilvl="8" w:tentative="1">
      <w:start w:val="1"/>
      <w:numFmt w:val="decimal"/>
      <w:lvlText w:val="%9."/>
      <w:lvlJc w:val="left"/>
      <w:pPr>
        <w:tabs>
          <w:tab w:val="num" w:pos="3624"/>
        </w:tabs>
        <w:ind w:left="3624" w:hanging="360"/>
      </w:pPr>
    </w:lvl>
  </w:abstractNum>
  <w:abstractNum w:abstractNumId="12" w15:restartNumberingAfterBreak="0">
    <w:nsid w:val="41132C0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3D1E6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8961F9"/>
    <w:multiLevelType w:val="multilevel"/>
    <w:tmpl w:val="8CE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A77DFC"/>
    <w:multiLevelType w:val="multilevel"/>
    <w:tmpl w:val="ED22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2"/>
  </w:num>
  <w:num w:numId="2" w16cid:durableId="161894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38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90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068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9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02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5974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804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14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51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448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27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802967">
    <w:abstractNumId w:val="5"/>
  </w:num>
  <w:num w:numId="15" w16cid:durableId="2130197655">
    <w:abstractNumId w:val="14"/>
  </w:num>
  <w:num w:numId="16" w16cid:durableId="1344625737">
    <w:abstractNumId w:val="4"/>
  </w:num>
  <w:num w:numId="17" w16cid:durableId="439034364">
    <w:abstractNumId w:val="9"/>
  </w:num>
  <w:num w:numId="18" w16cid:durableId="1031539916">
    <w:abstractNumId w:val="15"/>
  </w:num>
  <w:num w:numId="19" w16cid:durableId="614408460">
    <w:abstractNumId w:val="6"/>
  </w:num>
  <w:num w:numId="20" w16cid:durableId="850294861">
    <w:abstractNumId w:val="12"/>
  </w:num>
  <w:num w:numId="21" w16cid:durableId="1538548731">
    <w:abstractNumId w:val="13"/>
  </w:num>
  <w:num w:numId="22" w16cid:durableId="481822690">
    <w:abstractNumId w:val="3"/>
  </w:num>
  <w:num w:numId="23" w16cid:durableId="463229765">
    <w:abstractNumId w:val="11"/>
  </w:num>
  <w:num w:numId="24" w16cid:durableId="1209493615">
    <w:abstractNumId w:val="0"/>
  </w:num>
  <w:num w:numId="25" w16cid:durableId="2124768089">
    <w:abstractNumId w:val="7"/>
  </w:num>
  <w:num w:numId="26" w16cid:durableId="726222336">
    <w:abstractNumId w:val="8"/>
  </w:num>
  <w:num w:numId="27" w16cid:durableId="526136000">
    <w:abstractNumId w:val="10"/>
  </w:num>
  <w:num w:numId="28" w16cid:durableId="214095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10AC7"/>
    <w:rsid w:val="00011D74"/>
    <w:rsid w:val="000153B6"/>
    <w:rsid w:val="00015F09"/>
    <w:rsid w:val="0001618F"/>
    <w:rsid w:val="00022903"/>
    <w:rsid w:val="00022CCE"/>
    <w:rsid w:val="00027C2D"/>
    <w:rsid w:val="00031D47"/>
    <w:rsid w:val="000418C6"/>
    <w:rsid w:val="00046C7D"/>
    <w:rsid w:val="000555FD"/>
    <w:rsid w:val="0005640A"/>
    <w:rsid w:val="000616CB"/>
    <w:rsid w:val="00062395"/>
    <w:rsid w:val="00064EB8"/>
    <w:rsid w:val="00065521"/>
    <w:rsid w:val="000660FD"/>
    <w:rsid w:val="00067624"/>
    <w:rsid w:val="00075B83"/>
    <w:rsid w:val="0007749E"/>
    <w:rsid w:val="000907C8"/>
    <w:rsid w:val="00092330"/>
    <w:rsid w:val="000A13DB"/>
    <w:rsid w:val="000A3BF1"/>
    <w:rsid w:val="000A4C36"/>
    <w:rsid w:val="000B1F50"/>
    <w:rsid w:val="000B31C4"/>
    <w:rsid w:val="000B3582"/>
    <w:rsid w:val="000B70C0"/>
    <w:rsid w:val="000B7493"/>
    <w:rsid w:val="000C0843"/>
    <w:rsid w:val="000C0F81"/>
    <w:rsid w:val="000C20F1"/>
    <w:rsid w:val="000C5B7F"/>
    <w:rsid w:val="000D0FC9"/>
    <w:rsid w:val="000D11F5"/>
    <w:rsid w:val="000D4060"/>
    <w:rsid w:val="000D4194"/>
    <w:rsid w:val="000D4A5C"/>
    <w:rsid w:val="000E1D59"/>
    <w:rsid w:val="000E3B46"/>
    <w:rsid w:val="000E5156"/>
    <w:rsid w:val="000E5760"/>
    <w:rsid w:val="000E5847"/>
    <w:rsid w:val="000E6ADC"/>
    <w:rsid w:val="000F0228"/>
    <w:rsid w:val="000F2B41"/>
    <w:rsid w:val="000F2CBE"/>
    <w:rsid w:val="000F59C1"/>
    <w:rsid w:val="0010299C"/>
    <w:rsid w:val="0010603E"/>
    <w:rsid w:val="001109DC"/>
    <w:rsid w:val="0011234B"/>
    <w:rsid w:val="00117710"/>
    <w:rsid w:val="0012054D"/>
    <w:rsid w:val="00123BE5"/>
    <w:rsid w:val="00135979"/>
    <w:rsid w:val="001361B2"/>
    <w:rsid w:val="00136C33"/>
    <w:rsid w:val="00141DD5"/>
    <w:rsid w:val="0014496B"/>
    <w:rsid w:val="00144C28"/>
    <w:rsid w:val="00152FC0"/>
    <w:rsid w:val="001535AD"/>
    <w:rsid w:val="0016009A"/>
    <w:rsid w:val="00161A1B"/>
    <w:rsid w:val="0016411A"/>
    <w:rsid w:val="001711FF"/>
    <w:rsid w:val="001719F9"/>
    <w:rsid w:val="00173E41"/>
    <w:rsid w:val="00175109"/>
    <w:rsid w:val="001853B0"/>
    <w:rsid w:val="001930D9"/>
    <w:rsid w:val="00194CB4"/>
    <w:rsid w:val="0019550D"/>
    <w:rsid w:val="001A073D"/>
    <w:rsid w:val="001B27F9"/>
    <w:rsid w:val="001C2F7A"/>
    <w:rsid w:val="001D2EAD"/>
    <w:rsid w:val="001D33BA"/>
    <w:rsid w:val="001D3B63"/>
    <w:rsid w:val="001D6F7F"/>
    <w:rsid w:val="001D79E4"/>
    <w:rsid w:val="001F1982"/>
    <w:rsid w:val="001F29D2"/>
    <w:rsid w:val="001F2D83"/>
    <w:rsid w:val="001F5BEA"/>
    <w:rsid w:val="001F6F71"/>
    <w:rsid w:val="002032EB"/>
    <w:rsid w:val="00205234"/>
    <w:rsid w:val="0020615D"/>
    <w:rsid w:val="0020769F"/>
    <w:rsid w:val="002123F3"/>
    <w:rsid w:val="00215ACA"/>
    <w:rsid w:val="00221A58"/>
    <w:rsid w:val="0022617F"/>
    <w:rsid w:val="00235326"/>
    <w:rsid w:val="002359EC"/>
    <w:rsid w:val="0023690A"/>
    <w:rsid w:val="002464DF"/>
    <w:rsid w:val="00246E11"/>
    <w:rsid w:val="00247E49"/>
    <w:rsid w:val="002512D9"/>
    <w:rsid w:val="00252D84"/>
    <w:rsid w:val="002616DF"/>
    <w:rsid w:val="00263CF8"/>
    <w:rsid w:val="00266C35"/>
    <w:rsid w:val="002673D4"/>
    <w:rsid w:val="00270074"/>
    <w:rsid w:val="00277317"/>
    <w:rsid w:val="002805F4"/>
    <w:rsid w:val="00282276"/>
    <w:rsid w:val="00283AEE"/>
    <w:rsid w:val="00285D31"/>
    <w:rsid w:val="002860EB"/>
    <w:rsid w:val="002867A7"/>
    <w:rsid w:val="002876FB"/>
    <w:rsid w:val="00287A48"/>
    <w:rsid w:val="00287EFC"/>
    <w:rsid w:val="002901BD"/>
    <w:rsid w:val="00290F49"/>
    <w:rsid w:val="002920EE"/>
    <w:rsid w:val="00292209"/>
    <w:rsid w:val="00293570"/>
    <w:rsid w:val="00293F84"/>
    <w:rsid w:val="00295E9B"/>
    <w:rsid w:val="002A1293"/>
    <w:rsid w:val="002A4A8B"/>
    <w:rsid w:val="002A5F1E"/>
    <w:rsid w:val="002A775F"/>
    <w:rsid w:val="002B21F8"/>
    <w:rsid w:val="002B2425"/>
    <w:rsid w:val="002B49D9"/>
    <w:rsid w:val="002C12A1"/>
    <w:rsid w:val="002C1E68"/>
    <w:rsid w:val="002C576D"/>
    <w:rsid w:val="002D1582"/>
    <w:rsid w:val="002D173C"/>
    <w:rsid w:val="002D403D"/>
    <w:rsid w:val="002E4AA1"/>
    <w:rsid w:val="002E5A1F"/>
    <w:rsid w:val="002E7ABA"/>
    <w:rsid w:val="002F0D82"/>
    <w:rsid w:val="002F1968"/>
    <w:rsid w:val="00307242"/>
    <w:rsid w:val="00311872"/>
    <w:rsid w:val="003205DD"/>
    <w:rsid w:val="003251EB"/>
    <w:rsid w:val="00325ADB"/>
    <w:rsid w:val="003307CD"/>
    <w:rsid w:val="003328DA"/>
    <w:rsid w:val="00334E64"/>
    <w:rsid w:val="003425C8"/>
    <w:rsid w:val="00342C91"/>
    <w:rsid w:val="0034402E"/>
    <w:rsid w:val="00345141"/>
    <w:rsid w:val="00351ED8"/>
    <w:rsid w:val="00351FD8"/>
    <w:rsid w:val="0035281B"/>
    <w:rsid w:val="003543A3"/>
    <w:rsid w:val="00356E35"/>
    <w:rsid w:val="00360F3B"/>
    <w:rsid w:val="00362647"/>
    <w:rsid w:val="00364325"/>
    <w:rsid w:val="0036683F"/>
    <w:rsid w:val="003704F4"/>
    <w:rsid w:val="00372172"/>
    <w:rsid w:val="003757DF"/>
    <w:rsid w:val="003758A0"/>
    <w:rsid w:val="00377660"/>
    <w:rsid w:val="003865E2"/>
    <w:rsid w:val="00390664"/>
    <w:rsid w:val="003A1DAF"/>
    <w:rsid w:val="003A5DF3"/>
    <w:rsid w:val="003B12BB"/>
    <w:rsid w:val="003B1AC5"/>
    <w:rsid w:val="003B28D6"/>
    <w:rsid w:val="003B32FC"/>
    <w:rsid w:val="003B661B"/>
    <w:rsid w:val="003B769C"/>
    <w:rsid w:val="003C0E0D"/>
    <w:rsid w:val="003C1039"/>
    <w:rsid w:val="003C181F"/>
    <w:rsid w:val="003D333C"/>
    <w:rsid w:val="003D35E2"/>
    <w:rsid w:val="003D372D"/>
    <w:rsid w:val="003D4BEB"/>
    <w:rsid w:val="003D7D3A"/>
    <w:rsid w:val="003E035A"/>
    <w:rsid w:val="003E07D1"/>
    <w:rsid w:val="003E1A83"/>
    <w:rsid w:val="003E1B31"/>
    <w:rsid w:val="003E3282"/>
    <w:rsid w:val="003E333C"/>
    <w:rsid w:val="003E3798"/>
    <w:rsid w:val="003E3802"/>
    <w:rsid w:val="003E4AA7"/>
    <w:rsid w:val="003E5BAF"/>
    <w:rsid w:val="003E602D"/>
    <w:rsid w:val="003E6048"/>
    <w:rsid w:val="003F0D60"/>
    <w:rsid w:val="003F2675"/>
    <w:rsid w:val="0040779A"/>
    <w:rsid w:val="0041000D"/>
    <w:rsid w:val="00410A19"/>
    <w:rsid w:val="0041178F"/>
    <w:rsid w:val="00411C90"/>
    <w:rsid w:val="00415157"/>
    <w:rsid w:val="00415B55"/>
    <w:rsid w:val="00420443"/>
    <w:rsid w:val="00422D31"/>
    <w:rsid w:val="0042562E"/>
    <w:rsid w:val="004367A5"/>
    <w:rsid w:val="004373F6"/>
    <w:rsid w:val="004410F7"/>
    <w:rsid w:val="0044122E"/>
    <w:rsid w:val="00444252"/>
    <w:rsid w:val="00447E6D"/>
    <w:rsid w:val="00451DD1"/>
    <w:rsid w:val="00453661"/>
    <w:rsid w:val="00453905"/>
    <w:rsid w:val="00456601"/>
    <w:rsid w:val="00457506"/>
    <w:rsid w:val="00460D5D"/>
    <w:rsid w:val="00463965"/>
    <w:rsid w:val="00473CC8"/>
    <w:rsid w:val="00473E40"/>
    <w:rsid w:val="00475318"/>
    <w:rsid w:val="00476885"/>
    <w:rsid w:val="004772BC"/>
    <w:rsid w:val="00483C51"/>
    <w:rsid w:val="004874DD"/>
    <w:rsid w:val="00490591"/>
    <w:rsid w:val="004A0C87"/>
    <w:rsid w:val="004A0CFD"/>
    <w:rsid w:val="004A156D"/>
    <w:rsid w:val="004A533A"/>
    <w:rsid w:val="004A6EFE"/>
    <w:rsid w:val="004A782E"/>
    <w:rsid w:val="004B1229"/>
    <w:rsid w:val="004B2A8F"/>
    <w:rsid w:val="004B47E2"/>
    <w:rsid w:val="004B7127"/>
    <w:rsid w:val="004C13DB"/>
    <w:rsid w:val="004C3601"/>
    <w:rsid w:val="004C7F9D"/>
    <w:rsid w:val="004D1EB5"/>
    <w:rsid w:val="004D4410"/>
    <w:rsid w:val="004D4E41"/>
    <w:rsid w:val="004D56E3"/>
    <w:rsid w:val="004D616C"/>
    <w:rsid w:val="004D68D8"/>
    <w:rsid w:val="004D6E00"/>
    <w:rsid w:val="004D7268"/>
    <w:rsid w:val="004E0ADA"/>
    <w:rsid w:val="004E2EE8"/>
    <w:rsid w:val="004E3610"/>
    <w:rsid w:val="004E3701"/>
    <w:rsid w:val="004E4D17"/>
    <w:rsid w:val="004F1310"/>
    <w:rsid w:val="004F345B"/>
    <w:rsid w:val="004F6E52"/>
    <w:rsid w:val="00500BD5"/>
    <w:rsid w:val="00500F3C"/>
    <w:rsid w:val="00501D0E"/>
    <w:rsid w:val="00501D4C"/>
    <w:rsid w:val="00504302"/>
    <w:rsid w:val="00505B13"/>
    <w:rsid w:val="005070FB"/>
    <w:rsid w:val="00510B89"/>
    <w:rsid w:val="0051258B"/>
    <w:rsid w:val="00513AA3"/>
    <w:rsid w:val="0051483E"/>
    <w:rsid w:val="005148F6"/>
    <w:rsid w:val="00521928"/>
    <w:rsid w:val="00530E01"/>
    <w:rsid w:val="00537ED9"/>
    <w:rsid w:val="005427DC"/>
    <w:rsid w:val="00543E88"/>
    <w:rsid w:val="00544980"/>
    <w:rsid w:val="005463FC"/>
    <w:rsid w:val="005478D2"/>
    <w:rsid w:val="0055344B"/>
    <w:rsid w:val="005545C7"/>
    <w:rsid w:val="00555541"/>
    <w:rsid w:val="005569FA"/>
    <w:rsid w:val="005715A6"/>
    <w:rsid w:val="005755D6"/>
    <w:rsid w:val="00581073"/>
    <w:rsid w:val="00590656"/>
    <w:rsid w:val="00590B60"/>
    <w:rsid w:val="00590ECF"/>
    <w:rsid w:val="005937EC"/>
    <w:rsid w:val="00593D70"/>
    <w:rsid w:val="005963DF"/>
    <w:rsid w:val="005964E1"/>
    <w:rsid w:val="00596857"/>
    <w:rsid w:val="00596863"/>
    <w:rsid w:val="00596CE5"/>
    <w:rsid w:val="005A0E0B"/>
    <w:rsid w:val="005A1A8A"/>
    <w:rsid w:val="005A2630"/>
    <w:rsid w:val="005A3462"/>
    <w:rsid w:val="005A5A56"/>
    <w:rsid w:val="005C2E71"/>
    <w:rsid w:val="005C2ECE"/>
    <w:rsid w:val="005C5446"/>
    <w:rsid w:val="005C5897"/>
    <w:rsid w:val="005D0328"/>
    <w:rsid w:val="005D0429"/>
    <w:rsid w:val="005D1B11"/>
    <w:rsid w:val="005D5DF1"/>
    <w:rsid w:val="005D6747"/>
    <w:rsid w:val="005E3B5B"/>
    <w:rsid w:val="005E67FB"/>
    <w:rsid w:val="005F3652"/>
    <w:rsid w:val="005F5844"/>
    <w:rsid w:val="005F6290"/>
    <w:rsid w:val="00603268"/>
    <w:rsid w:val="006046CE"/>
    <w:rsid w:val="00604D63"/>
    <w:rsid w:val="0060530C"/>
    <w:rsid w:val="006172A5"/>
    <w:rsid w:val="00622FD2"/>
    <w:rsid w:val="00623221"/>
    <w:rsid w:val="006317FA"/>
    <w:rsid w:val="00633D76"/>
    <w:rsid w:val="00634027"/>
    <w:rsid w:val="00635B42"/>
    <w:rsid w:val="00644A29"/>
    <w:rsid w:val="00644A50"/>
    <w:rsid w:val="0064710A"/>
    <w:rsid w:val="00650A7C"/>
    <w:rsid w:val="00652E49"/>
    <w:rsid w:val="006637AD"/>
    <w:rsid w:val="006707A1"/>
    <w:rsid w:val="006724EA"/>
    <w:rsid w:val="00673D1D"/>
    <w:rsid w:val="00674B24"/>
    <w:rsid w:val="00675B61"/>
    <w:rsid w:val="006807CA"/>
    <w:rsid w:val="006840F1"/>
    <w:rsid w:val="00690646"/>
    <w:rsid w:val="00697250"/>
    <w:rsid w:val="006A6C8D"/>
    <w:rsid w:val="006B43A8"/>
    <w:rsid w:val="006B5573"/>
    <w:rsid w:val="006B580E"/>
    <w:rsid w:val="006B58B5"/>
    <w:rsid w:val="006C278A"/>
    <w:rsid w:val="006C79B5"/>
    <w:rsid w:val="006D0CD9"/>
    <w:rsid w:val="006D311C"/>
    <w:rsid w:val="006D56C9"/>
    <w:rsid w:val="006D708C"/>
    <w:rsid w:val="006F25CD"/>
    <w:rsid w:val="006F2CC5"/>
    <w:rsid w:val="006F5B7E"/>
    <w:rsid w:val="006F5C7B"/>
    <w:rsid w:val="00700669"/>
    <w:rsid w:val="0070176F"/>
    <w:rsid w:val="007055CF"/>
    <w:rsid w:val="00717E42"/>
    <w:rsid w:val="00717F96"/>
    <w:rsid w:val="00720C58"/>
    <w:rsid w:val="0072486E"/>
    <w:rsid w:val="0073277C"/>
    <w:rsid w:val="00733065"/>
    <w:rsid w:val="0073648F"/>
    <w:rsid w:val="00737285"/>
    <w:rsid w:val="007411E2"/>
    <w:rsid w:val="0074152A"/>
    <w:rsid w:val="00742768"/>
    <w:rsid w:val="00746810"/>
    <w:rsid w:val="00746B21"/>
    <w:rsid w:val="0074784F"/>
    <w:rsid w:val="0075308F"/>
    <w:rsid w:val="007538C3"/>
    <w:rsid w:val="00757D7B"/>
    <w:rsid w:val="007651FC"/>
    <w:rsid w:val="00766639"/>
    <w:rsid w:val="00777276"/>
    <w:rsid w:val="00777393"/>
    <w:rsid w:val="00785DB6"/>
    <w:rsid w:val="007A0322"/>
    <w:rsid w:val="007A652D"/>
    <w:rsid w:val="007B0CA9"/>
    <w:rsid w:val="007B1F73"/>
    <w:rsid w:val="007B6308"/>
    <w:rsid w:val="007B6473"/>
    <w:rsid w:val="007C0124"/>
    <w:rsid w:val="007C3936"/>
    <w:rsid w:val="007C4363"/>
    <w:rsid w:val="007D0A49"/>
    <w:rsid w:val="007D259E"/>
    <w:rsid w:val="007E196D"/>
    <w:rsid w:val="007E3D9B"/>
    <w:rsid w:val="007F04A8"/>
    <w:rsid w:val="007F0E57"/>
    <w:rsid w:val="007F2FD9"/>
    <w:rsid w:val="007F3AC2"/>
    <w:rsid w:val="007F5016"/>
    <w:rsid w:val="007F5587"/>
    <w:rsid w:val="008024C3"/>
    <w:rsid w:val="00806699"/>
    <w:rsid w:val="00810629"/>
    <w:rsid w:val="00813311"/>
    <w:rsid w:val="00822EE8"/>
    <w:rsid w:val="00824245"/>
    <w:rsid w:val="00826097"/>
    <w:rsid w:val="00830B06"/>
    <w:rsid w:val="00832E3E"/>
    <w:rsid w:val="0083360F"/>
    <w:rsid w:val="00833AE0"/>
    <w:rsid w:val="00843CFF"/>
    <w:rsid w:val="00846502"/>
    <w:rsid w:val="008503DD"/>
    <w:rsid w:val="00852D02"/>
    <w:rsid w:val="0085488A"/>
    <w:rsid w:val="008569E9"/>
    <w:rsid w:val="0085736C"/>
    <w:rsid w:val="00862CCF"/>
    <w:rsid w:val="008630DE"/>
    <w:rsid w:val="00865DED"/>
    <w:rsid w:val="008700C8"/>
    <w:rsid w:val="0087367D"/>
    <w:rsid w:val="00885880"/>
    <w:rsid w:val="008864F9"/>
    <w:rsid w:val="008A1F20"/>
    <w:rsid w:val="008A2BA9"/>
    <w:rsid w:val="008A3647"/>
    <w:rsid w:val="008A38D5"/>
    <w:rsid w:val="008A3E9C"/>
    <w:rsid w:val="008A56EE"/>
    <w:rsid w:val="008A5C34"/>
    <w:rsid w:val="008A6777"/>
    <w:rsid w:val="008B3C09"/>
    <w:rsid w:val="008B61CE"/>
    <w:rsid w:val="008B7D2A"/>
    <w:rsid w:val="008C046E"/>
    <w:rsid w:val="008C399F"/>
    <w:rsid w:val="008C4B45"/>
    <w:rsid w:val="008C68B8"/>
    <w:rsid w:val="008C7932"/>
    <w:rsid w:val="008D0519"/>
    <w:rsid w:val="008D3522"/>
    <w:rsid w:val="008D5B39"/>
    <w:rsid w:val="008E076C"/>
    <w:rsid w:val="008E2433"/>
    <w:rsid w:val="008E472A"/>
    <w:rsid w:val="008F259D"/>
    <w:rsid w:val="008F3FD9"/>
    <w:rsid w:val="00903C05"/>
    <w:rsid w:val="00910B41"/>
    <w:rsid w:val="009121D2"/>
    <w:rsid w:val="009143B7"/>
    <w:rsid w:val="00915392"/>
    <w:rsid w:val="00915C32"/>
    <w:rsid w:val="00921268"/>
    <w:rsid w:val="00925CAF"/>
    <w:rsid w:val="00932CDA"/>
    <w:rsid w:val="00934153"/>
    <w:rsid w:val="0093429E"/>
    <w:rsid w:val="0093498F"/>
    <w:rsid w:val="0093554B"/>
    <w:rsid w:val="00935969"/>
    <w:rsid w:val="00937687"/>
    <w:rsid w:val="00940C22"/>
    <w:rsid w:val="009413FC"/>
    <w:rsid w:val="00957798"/>
    <w:rsid w:val="009578A7"/>
    <w:rsid w:val="00960EA8"/>
    <w:rsid w:val="00961020"/>
    <w:rsid w:val="00961814"/>
    <w:rsid w:val="00961A62"/>
    <w:rsid w:val="00963BCE"/>
    <w:rsid w:val="00964033"/>
    <w:rsid w:val="009678F7"/>
    <w:rsid w:val="0097736D"/>
    <w:rsid w:val="00981E9D"/>
    <w:rsid w:val="00986325"/>
    <w:rsid w:val="0099677E"/>
    <w:rsid w:val="009A022B"/>
    <w:rsid w:val="009A2FE3"/>
    <w:rsid w:val="009A3F18"/>
    <w:rsid w:val="009B1CA4"/>
    <w:rsid w:val="009C0765"/>
    <w:rsid w:val="009C34D9"/>
    <w:rsid w:val="009C34FD"/>
    <w:rsid w:val="009C373B"/>
    <w:rsid w:val="009D16DF"/>
    <w:rsid w:val="009D1805"/>
    <w:rsid w:val="009D4CDC"/>
    <w:rsid w:val="009D5B9C"/>
    <w:rsid w:val="009E17B3"/>
    <w:rsid w:val="009E4FE2"/>
    <w:rsid w:val="009E535E"/>
    <w:rsid w:val="009F2349"/>
    <w:rsid w:val="009F6346"/>
    <w:rsid w:val="009F7246"/>
    <w:rsid w:val="00A10454"/>
    <w:rsid w:val="00A1092B"/>
    <w:rsid w:val="00A14814"/>
    <w:rsid w:val="00A152BE"/>
    <w:rsid w:val="00A15C70"/>
    <w:rsid w:val="00A16904"/>
    <w:rsid w:val="00A205C2"/>
    <w:rsid w:val="00A21351"/>
    <w:rsid w:val="00A2307F"/>
    <w:rsid w:val="00A239F8"/>
    <w:rsid w:val="00A30C04"/>
    <w:rsid w:val="00A31092"/>
    <w:rsid w:val="00A314EF"/>
    <w:rsid w:val="00A33260"/>
    <w:rsid w:val="00A338A6"/>
    <w:rsid w:val="00A34593"/>
    <w:rsid w:val="00A3753D"/>
    <w:rsid w:val="00A52931"/>
    <w:rsid w:val="00A53F2B"/>
    <w:rsid w:val="00A57EBC"/>
    <w:rsid w:val="00A65AE7"/>
    <w:rsid w:val="00A65ED1"/>
    <w:rsid w:val="00A67B64"/>
    <w:rsid w:val="00A73D9E"/>
    <w:rsid w:val="00A74288"/>
    <w:rsid w:val="00A745C1"/>
    <w:rsid w:val="00A7642F"/>
    <w:rsid w:val="00A77A6B"/>
    <w:rsid w:val="00A83134"/>
    <w:rsid w:val="00A84918"/>
    <w:rsid w:val="00A8717E"/>
    <w:rsid w:val="00A90CA2"/>
    <w:rsid w:val="00A928B1"/>
    <w:rsid w:val="00A96660"/>
    <w:rsid w:val="00A9757A"/>
    <w:rsid w:val="00AA0036"/>
    <w:rsid w:val="00AA3689"/>
    <w:rsid w:val="00AB0C54"/>
    <w:rsid w:val="00AB30DB"/>
    <w:rsid w:val="00AB3293"/>
    <w:rsid w:val="00AC15E2"/>
    <w:rsid w:val="00AC4156"/>
    <w:rsid w:val="00AC5FB2"/>
    <w:rsid w:val="00AD2CC9"/>
    <w:rsid w:val="00AD5EB5"/>
    <w:rsid w:val="00AE6E1E"/>
    <w:rsid w:val="00AF0360"/>
    <w:rsid w:val="00AF237A"/>
    <w:rsid w:val="00AF427C"/>
    <w:rsid w:val="00AF5B85"/>
    <w:rsid w:val="00AF7457"/>
    <w:rsid w:val="00B00C5C"/>
    <w:rsid w:val="00B03888"/>
    <w:rsid w:val="00B135CD"/>
    <w:rsid w:val="00B14B9F"/>
    <w:rsid w:val="00B2151F"/>
    <w:rsid w:val="00B21ECE"/>
    <w:rsid w:val="00B2472A"/>
    <w:rsid w:val="00B26B74"/>
    <w:rsid w:val="00B34A88"/>
    <w:rsid w:val="00B3632C"/>
    <w:rsid w:val="00B41F7B"/>
    <w:rsid w:val="00B42A04"/>
    <w:rsid w:val="00B44EA4"/>
    <w:rsid w:val="00B45949"/>
    <w:rsid w:val="00B4726A"/>
    <w:rsid w:val="00B509E3"/>
    <w:rsid w:val="00B52564"/>
    <w:rsid w:val="00B5765F"/>
    <w:rsid w:val="00B65EB4"/>
    <w:rsid w:val="00B66A85"/>
    <w:rsid w:val="00B70107"/>
    <w:rsid w:val="00B7051F"/>
    <w:rsid w:val="00B7086C"/>
    <w:rsid w:val="00B71AA3"/>
    <w:rsid w:val="00B818B9"/>
    <w:rsid w:val="00B83731"/>
    <w:rsid w:val="00B83E86"/>
    <w:rsid w:val="00B8462C"/>
    <w:rsid w:val="00B85AFD"/>
    <w:rsid w:val="00B86A06"/>
    <w:rsid w:val="00B8790D"/>
    <w:rsid w:val="00BA3EBD"/>
    <w:rsid w:val="00BA4764"/>
    <w:rsid w:val="00BA5930"/>
    <w:rsid w:val="00BA7BF1"/>
    <w:rsid w:val="00BB029E"/>
    <w:rsid w:val="00BB3AB6"/>
    <w:rsid w:val="00BB3CD2"/>
    <w:rsid w:val="00BB7908"/>
    <w:rsid w:val="00BC04C3"/>
    <w:rsid w:val="00BC0815"/>
    <w:rsid w:val="00BC2683"/>
    <w:rsid w:val="00BC4955"/>
    <w:rsid w:val="00BC4F29"/>
    <w:rsid w:val="00BC5059"/>
    <w:rsid w:val="00BC609C"/>
    <w:rsid w:val="00BD0328"/>
    <w:rsid w:val="00BD2658"/>
    <w:rsid w:val="00BD41A7"/>
    <w:rsid w:val="00BD4B41"/>
    <w:rsid w:val="00BD5918"/>
    <w:rsid w:val="00BD5BC9"/>
    <w:rsid w:val="00BD6B0B"/>
    <w:rsid w:val="00BD6B10"/>
    <w:rsid w:val="00BE263F"/>
    <w:rsid w:val="00BE412F"/>
    <w:rsid w:val="00BE6BC0"/>
    <w:rsid w:val="00BF0FC9"/>
    <w:rsid w:val="00BF167A"/>
    <w:rsid w:val="00BF3C49"/>
    <w:rsid w:val="00BF3ED7"/>
    <w:rsid w:val="00C05282"/>
    <w:rsid w:val="00C11D17"/>
    <w:rsid w:val="00C16737"/>
    <w:rsid w:val="00C17A0D"/>
    <w:rsid w:val="00C2181E"/>
    <w:rsid w:val="00C227B9"/>
    <w:rsid w:val="00C22C66"/>
    <w:rsid w:val="00C233F4"/>
    <w:rsid w:val="00C236D3"/>
    <w:rsid w:val="00C320FC"/>
    <w:rsid w:val="00C3274C"/>
    <w:rsid w:val="00C3760A"/>
    <w:rsid w:val="00C37E79"/>
    <w:rsid w:val="00C40209"/>
    <w:rsid w:val="00C42A82"/>
    <w:rsid w:val="00C4490A"/>
    <w:rsid w:val="00C56A02"/>
    <w:rsid w:val="00C6554B"/>
    <w:rsid w:val="00C65D7C"/>
    <w:rsid w:val="00C70941"/>
    <w:rsid w:val="00C752A5"/>
    <w:rsid w:val="00C7684F"/>
    <w:rsid w:val="00C771F6"/>
    <w:rsid w:val="00C77370"/>
    <w:rsid w:val="00C81E55"/>
    <w:rsid w:val="00C9056D"/>
    <w:rsid w:val="00C92392"/>
    <w:rsid w:val="00C93264"/>
    <w:rsid w:val="00C97998"/>
    <w:rsid w:val="00CA14D1"/>
    <w:rsid w:val="00CA6A69"/>
    <w:rsid w:val="00CB1297"/>
    <w:rsid w:val="00CB1EDA"/>
    <w:rsid w:val="00CB28EC"/>
    <w:rsid w:val="00CB292D"/>
    <w:rsid w:val="00CB4D2B"/>
    <w:rsid w:val="00CB667E"/>
    <w:rsid w:val="00CC15DF"/>
    <w:rsid w:val="00CC6B55"/>
    <w:rsid w:val="00CC7361"/>
    <w:rsid w:val="00CC743D"/>
    <w:rsid w:val="00CD01CE"/>
    <w:rsid w:val="00CD0CC4"/>
    <w:rsid w:val="00CE1CFA"/>
    <w:rsid w:val="00CE449B"/>
    <w:rsid w:val="00CF1033"/>
    <w:rsid w:val="00CF2B8E"/>
    <w:rsid w:val="00CF30D7"/>
    <w:rsid w:val="00CF5B6F"/>
    <w:rsid w:val="00CF798C"/>
    <w:rsid w:val="00D021A2"/>
    <w:rsid w:val="00D02963"/>
    <w:rsid w:val="00D046D2"/>
    <w:rsid w:val="00D07BDD"/>
    <w:rsid w:val="00D10E02"/>
    <w:rsid w:val="00D12012"/>
    <w:rsid w:val="00D123ED"/>
    <w:rsid w:val="00D2337C"/>
    <w:rsid w:val="00D25112"/>
    <w:rsid w:val="00D26F32"/>
    <w:rsid w:val="00D317B3"/>
    <w:rsid w:val="00D31E95"/>
    <w:rsid w:val="00D33B2B"/>
    <w:rsid w:val="00D365BC"/>
    <w:rsid w:val="00D41C6D"/>
    <w:rsid w:val="00D4324B"/>
    <w:rsid w:val="00D47442"/>
    <w:rsid w:val="00D505F4"/>
    <w:rsid w:val="00D52D5A"/>
    <w:rsid w:val="00D62FED"/>
    <w:rsid w:val="00D6554E"/>
    <w:rsid w:val="00D6796D"/>
    <w:rsid w:val="00D84BE9"/>
    <w:rsid w:val="00D8629E"/>
    <w:rsid w:val="00D8718B"/>
    <w:rsid w:val="00D873C2"/>
    <w:rsid w:val="00D905C3"/>
    <w:rsid w:val="00D92090"/>
    <w:rsid w:val="00D93917"/>
    <w:rsid w:val="00D95427"/>
    <w:rsid w:val="00DA622D"/>
    <w:rsid w:val="00DA7955"/>
    <w:rsid w:val="00DB053D"/>
    <w:rsid w:val="00DB0F43"/>
    <w:rsid w:val="00DB46A6"/>
    <w:rsid w:val="00DB57ED"/>
    <w:rsid w:val="00DB5D83"/>
    <w:rsid w:val="00DC25DE"/>
    <w:rsid w:val="00DC54CF"/>
    <w:rsid w:val="00DD00FB"/>
    <w:rsid w:val="00DD38CD"/>
    <w:rsid w:val="00DD6603"/>
    <w:rsid w:val="00DE6882"/>
    <w:rsid w:val="00DF023C"/>
    <w:rsid w:val="00DF1262"/>
    <w:rsid w:val="00DF2513"/>
    <w:rsid w:val="00DF3BA9"/>
    <w:rsid w:val="00DF7762"/>
    <w:rsid w:val="00E016D5"/>
    <w:rsid w:val="00E01FF0"/>
    <w:rsid w:val="00E1023E"/>
    <w:rsid w:val="00E1286B"/>
    <w:rsid w:val="00E16E32"/>
    <w:rsid w:val="00E178EC"/>
    <w:rsid w:val="00E24D5A"/>
    <w:rsid w:val="00E24D9A"/>
    <w:rsid w:val="00E2754E"/>
    <w:rsid w:val="00E37681"/>
    <w:rsid w:val="00E37F97"/>
    <w:rsid w:val="00E40305"/>
    <w:rsid w:val="00E4367D"/>
    <w:rsid w:val="00E47BC5"/>
    <w:rsid w:val="00E50083"/>
    <w:rsid w:val="00E5289D"/>
    <w:rsid w:val="00E55E11"/>
    <w:rsid w:val="00E57781"/>
    <w:rsid w:val="00E73AE9"/>
    <w:rsid w:val="00E77DF3"/>
    <w:rsid w:val="00E80BA5"/>
    <w:rsid w:val="00E851E4"/>
    <w:rsid w:val="00E9016F"/>
    <w:rsid w:val="00E95798"/>
    <w:rsid w:val="00E96E24"/>
    <w:rsid w:val="00E97832"/>
    <w:rsid w:val="00EA1F87"/>
    <w:rsid w:val="00EA67D8"/>
    <w:rsid w:val="00EA6866"/>
    <w:rsid w:val="00EB1E81"/>
    <w:rsid w:val="00EB6A2C"/>
    <w:rsid w:val="00ED20BB"/>
    <w:rsid w:val="00ED54D9"/>
    <w:rsid w:val="00ED5A73"/>
    <w:rsid w:val="00ED627C"/>
    <w:rsid w:val="00ED6856"/>
    <w:rsid w:val="00EF3F39"/>
    <w:rsid w:val="00EF3FE8"/>
    <w:rsid w:val="00EF5976"/>
    <w:rsid w:val="00EF621C"/>
    <w:rsid w:val="00EF6377"/>
    <w:rsid w:val="00EF6918"/>
    <w:rsid w:val="00F07A47"/>
    <w:rsid w:val="00F15AE1"/>
    <w:rsid w:val="00F17BF9"/>
    <w:rsid w:val="00F17F15"/>
    <w:rsid w:val="00F210B0"/>
    <w:rsid w:val="00F23732"/>
    <w:rsid w:val="00F32F7F"/>
    <w:rsid w:val="00F35834"/>
    <w:rsid w:val="00F36CEE"/>
    <w:rsid w:val="00F37CAD"/>
    <w:rsid w:val="00F44545"/>
    <w:rsid w:val="00F518D1"/>
    <w:rsid w:val="00F51A24"/>
    <w:rsid w:val="00F53112"/>
    <w:rsid w:val="00F532FE"/>
    <w:rsid w:val="00F560B9"/>
    <w:rsid w:val="00F67F37"/>
    <w:rsid w:val="00F71DEA"/>
    <w:rsid w:val="00F71FA8"/>
    <w:rsid w:val="00F74423"/>
    <w:rsid w:val="00F74B01"/>
    <w:rsid w:val="00F848C0"/>
    <w:rsid w:val="00F85FE9"/>
    <w:rsid w:val="00F863DE"/>
    <w:rsid w:val="00F86E6E"/>
    <w:rsid w:val="00F900BF"/>
    <w:rsid w:val="00F909A8"/>
    <w:rsid w:val="00F90BB6"/>
    <w:rsid w:val="00F91D7D"/>
    <w:rsid w:val="00F92F2D"/>
    <w:rsid w:val="00F9313C"/>
    <w:rsid w:val="00F9366A"/>
    <w:rsid w:val="00FA1CE2"/>
    <w:rsid w:val="00FB53B7"/>
    <w:rsid w:val="00FB55B7"/>
    <w:rsid w:val="00FC0A84"/>
    <w:rsid w:val="00FC198E"/>
    <w:rsid w:val="00FC32CF"/>
    <w:rsid w:val="00FC417A"/>
    <w:rsid w:val="00FC593A"/>
    <w:rsid w:val="00FC649E"/>
    <w:rsid w:val="00FD12E2"/>
    <w:rsid w:val="00FD508E"/>
    <w:rsid w:val="00FE36B3"/>
    <w:rsid w:val="00FF3407"/>
    <w:rsid w:val="00FF37D0"/>
    <w:rsid w:val="00FF3CA3"/>
    <w:rsid w:val="00FF548D"/>
    <w:rsid w:val="00FF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795C"/>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5DE"/>
  </w:style>
  <w:style w:type="paragraph" w:styleId="Heading1">
    <w:name w:val="heading 1"/>
    <w:basedOn w:val="Normal"/>
    <w:next w:val="Normal"/>
    <w:link w:val="Heading1Char"/>
    <w:uiPriority w:val="9"/>
    <w:qFormat/>
    <w:rsid w:val="004367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4367A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pPr>
      <w:spacing w:after="100"/>
    </w:pPr>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microsoft.com/office/2007/relationships/hdphoto" Target="media/hdphoto4.wdp"/><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5.jpg"/><Relationship Id="rId17" Type="http://schemas.microsoft.com/office/2007/relationships/hdphoto" Target="media/hdphoto2.wdp"/><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png"/><Relationship Id="rId28" Type="http://schemas.openxmlformats.org/officeDocument/2006/relationships/hyperlink" Target="https://github.com/dashy0070/Hybrid_Post_Quantum_TLS_Banking_Application"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glossaryDocument" Target="glossary/document.xml"/><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64D008-C5ED-4FD5-8CA3-A04414045134}"/>
      </w:docPartPr>
      <w:docPartBody>
        <w:p w:rsidR="008346FC" w:rsidRDefault="00E00D40">
          <w:r w:rsidRPr="00210737">
            <w:rPr>
              <w:rStyle w:val="PlaceholderText"/>
            </w:rPr>
            <w:t>Click or tap here to enter text.</w:t>
          </w:r>
        </w:p>
      </w:docPartBody>
    </w:docPart>
    <w:docPart>
      <w:docPartPr>
        <w:name w:val="65274592657B4A9289A8DE11568870CC"/>
        <w:category>
          <w:name w:val="General"/>
          <w:gallery w:val="placeholder"/>
        </w:category>
        <w:types>
          <w:type w:val="bbPlcHdr"/>
        </w:types>
        <w:behaviors>
          <w:behavior w:val="content"/>
        </w:behaviors>
        <w:guid w:val="{EE41746C-6ABD-4FE7-895A-1A5AB232D958}"/>
      </w:docPartPr>
      <w:docPartBody>
        <w:p w:rsidR="006C5E50" w:rsidRDefault="0080629B" w:rsidP="0080629B">
          <w:pPr>
            <w:pStyle w:val="65274592657B4A9289A8DE11568870CC"/>
          </w:pPr>
          <w:r w:rsidRPr="00210737">
            <w:rPr>
              <w:rStyle w:val="PlaceholderText"/>
            </w:rPr>
            <w:t>Click or tap here to enter text.</w:t>
          </w:r>
        </w:p>
      </w:docPartBody>
    </w:docPart>
    <w:docPart>
      <w:docPartPr>
        <w:name w:val="E8B11B822ACA4DA3B3EFEEDCE429B0BD"/>
        <w:category>
          <w:name w:val="General"/>
          <w:gallery w:val="placeholder"/>
        </w:category>
        <w:types>
          <w:type w:val="bbPlcHdr"/>
        </w:types>
        <w:behaviors>
          <w:behavior w:val="content"/>
        </w:behaviors>
        <w:guid w:val="{078911E0-C20B-441B-803B-BFAFF205C90C}"/>
      </w:docPartPr>
      <w:docPartBody>
        <w:p w:rsidR="006C5E50" w:rsidRDefault="0080629B" w:rsidP="0080629B">
          <w:pPr>
            <w:pStyle w:val="E8B11B822ACA4DA3B3EFEEDCE429B0BD"/>
          </w:pPr>
          <w:r w:rsidRPr="00210737">
            <w:rPr>
              <w:rStyle w:val="PlaceholderText"/>
            </w:rPr>
            <w:t>Click or tap here to enter text.</w:t>
          </w:r>
        </w:p>
      </w:docPartBody>
    </w:docPart>
    <w:docPart>
      <w:docPartPr>
        <w:name w:val="2BAA9DAD19864236881C91DC6E0489A4"/>
        <w:category>
          <w:name w:val="General"/>
          <w:gallery w:val="placeholder"/>
        </w:category>
        <w:types>
          <w:type w:val="bbPlcHdr"/>
        </w:types>
        <w:behaviors>
          <w:behavior w:val="content"/>
        </w:behaviors>
        <w:guid w:val="{D3400130-9588-4979-97C6-D99B3BB25A28}"/>
      </w:docPartPr>
      <w:docPartBody>
        <w:p w:rsidR="006C5E50" w:rsidRDefault="0080629B" w:rsidP="0080629B">
          <w:pPr>
            <w:pStyle w:val="2BAA9DAD19864236881C91DC6E0489A4"/>
          </w:pPr>
          <w:r w:rsidRPr="00210737">
            <w:rPr>
              <w:rStyle w:val="PlaceholderText"/>
            </w:rPr>
            <w:t>Click or tap here to enter text.</w:t>
          </w:r>
        </w:p>
      </w:docPartBody>
    </w:docPart>
    <w:docPart>
      <w:docPartPr>
        <w:name w:val="63322364AC5F4F1AB86168BB213BD8EB"/>
        <w:category>
          <w:name w:val="General"/>
          <w:gallery w:val="placeholder"/>
        </w:category>
        <w:types>
          <w:type w:val="bbPlcHdr"/>
        </w:types>
        <w:behaviors>
          <w:behavior w:val="content"/>
        </w:behaviors>
        <w:guid w:val="{93A1DC09-085D-4B5A-8C9C-15385AA748CB}"/>
      </w:docPartPr>
      <w:docPartBody>
        <w:p w:rsidR="006C5E50" w:rsidRDefault="0080629B" w:rsidP="0080629B">
          <w:pPr>
            <w:pStyle w:val="63322364AC5F4F1AB86168BB213BD8EB"/>
          </w:pPr>
          <w:r w:rsidRPr="00210737">
            <w:rPr>
              <w:rStyle w:val="PlaceholderText"/>
            </w:rPr>
            <w:t>Click or tap here to enter text.</w:t>
          </w:r>
        </w:p>
      </w:docPartBody>
    </w:docPart>
    <w:docPart>
      <w:docPartPr>
        <w:name w:val="91E78CE26DC54B2187E822B17B8A650D"/>
        <w:category>
          <w:name w:val="General"/>
          <w:gallery w:val="placeholder"/>
        </w:category>
        <w:types>
          <w:type w:val="bbPlcHdr"/>
        </w:types>
        <w:behaviors>
          <w:behavior w:val="content"/>
        </w:behaviors>
        <w:guid w:val="{8C1D771E-03E4-4059-BE1E-07B6E5361C71}"/>
      </w:docPartPr>
      <w:docPartBody>
        <w:p w:rsidR="006C5E50" w:rsidRDefault="0080629B" w:rsidP="0080629B">
          <w:pPr>
            <w:pStyle w:val="91E78CE26DC54B2187E822B17B8A650D"/>
          </w:pPr>
          <w:r w:rsidRPr="00210737">
            <w:rPr>
              <w:rStyle w:val="PlaceholderText"/>
            </w:rPr>
            <w:t>Click or tap here to enter text.</w:t>
          </w:r>
        </w:p>
      </w:docPartBody>
    </w:docPart>
    <w:docPart>
      <w:docPartPr>
        <w:name w:val="A1C438423BB4448AA3A8A35480E6F620"/>
        <w:category>
          <w:name w:val="General"/>
          <w:gallery w:val="placeholder"/>
        </w:category>
        <w:types>
          <w:type w:val="bbPlcHdr"/>
        </w:types>
        <w:behaviors>
          <w:behavior w:val="content"/>
        </w:behaviors>
        <w:guid w:val="{4B3C0C87-5D6D-4D40-A7CB-DBE01B40919D}"/>
      </w:docPartPr>
      <w:docPartBody>
        <w:p w:rsidR="006C5E50" w:rsidRDefault="0080629B" w:rsidP="0080629B">
          <w:pPr>
            <w:pStyle w:val="A1C438423BB4448AA3A8A35480E6F620"/>
          </w:pPr>
          <w:r w:rsidRPr="002107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40"/>
    <w:rsid w:val="000D11F5"/>
    <w:rsid w:val="004D7A8D"/>
    <w:rsid w:val="00640C2D"/>
    <w:rsid w:val="006C5E50"/>
    <w:rsid w:val="00754A14"/>
    <w:rsid w:val="00801DF4"/>
    <w:rsid w:val="0080629B"/>
    <w:rsid w:val="00806ABC"/>
    <w:rsid w:val="008346FC"/>
    <w:rsid w:val="00885880"/>
    <w:rsid w:val="009B6BF7"/>
    <w:rsid w:val="00A31092"/>
    <w:rsid w:val="00B53883"/>
    <w:rsid w:val="00C13035"/>
    <w:rsid w:val="00C46D68"/>
    <w:rsid w:val="00D4261C"/>
    <w:rsid w:val="00E00D40"/>
    <w:rsid w:val="00E80BA5"/>
    <w:rsid w:val="00ED20BB"/>
    <w:rsid w:val="00FC417A"/>
    <w:rsid w:val="00FD0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629B"/>
    <w:rPr>
      <w:color w:val="666666"/>
    </w:rPr>
  </w:style>
  <w:style w:type="paragraph" w:customStyle="1" w:styleId="65274592657B4A9289A8DE11568870CC">
    <w:name w:val="65274592657B4A9289A8DE11568870CC"/>
    <w:rsid w:val="0080629B"/>
  </w:style>
  <w:style w:type="paragraph" w:customStyle="1" w:styleId="E8B11B822ACA4DA3B3EFEEDCE429B0BD">
    <w:name w:val="E8B11B822ACA4DA3B3EFEEDCE429B0BD"/>
    <w:rsid w:val="0080629B"/>
  </w:style>
  <w:style w:type="paragraph" w:customStyle="1" w:styleId="2BAA9DAD19864236881C91DC6E0489A4">
    <w:name w:val="2BAA9DAD19864236881C91DC6E0489A4"/>
    <w:rsid w:val="0080629B"/>
  </w:style>
  <w:style w:type="paragraph" w:customStyle="1" w:styleId="63322364AC5F4F1AB86168BB213BD8EB">
    <w:name w:val="63322364AC5F4F1AB86168BB213BD8EB"/>
    <w:rsid w:val="0080629B"/>
  </w:style>
  <w:style w:type="paragraph" w:customStyle="1" w:styleId="91E78CE26DC54B2187E822B17B8A650D">
    <w:name w:val="91E78CE26DC54B2187E822B17B8A650D"/>
    <w:rsid w:val="0080629B"/>
  </w:style>
  <w:style w:type="paragraph" w:customStyle="1" w:styleId="A1C438423BB4448AA3A8A35480E6F620">
    <w:name w:val="A1C438423BB4448AA3A8A35480E6F620"/>
    <w:rsid w:val="00806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quot;citationID&quot;:&quot;MENDELEY_CITATION_aa207d27-0ec5-420e-b19c-4e7ea904afa2&quot;,&quot;properties&quot;:{&quot;noteIndex&quot;:0},&quot;isEdited&quot;:false,&quot;manualOverride&quot;:{&quot;isManuallyOverridden&quot;:false,&quot;citeprocText&quot;:&quot;[1]&quot;,&quot;manualOverrideText&quot;:&quot;&quot;},&quot;citationTag&quot;:&quot;MENDELEY_CITATION_v3_eyJjaXRhdGlvbklEIjoiTUVOREVMRVlfQ0lUQVRJT05fYWEyMDdkMjctMGVjNS00MjBlLWIxOWMtNGU3ZWE5MDRhZmEy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ID&quot;:&quot;MENDELEY_CITATION_ec4ae1a8-8185-4616-a916-1926464db14b&quot;,&quot;properties&quot;:{&quot;noteIndex&quot;:0},&quot;isEdited&quot;:false,&quot;manualOverride&quot;:{&quot;isManuallyOverridden&quot;:false,&quot;citeprocText&quot;:&quot;[2]&quot;,&quot;manualOverrideText&quot;:&quot;&quot;},&quot;citationTag&quot;:&quot;MENDELEY_CITATION_v3_eyJjaXRhdGlvbklEIjoiTUVOREVMRVlfQ0lUQVRJT05fZWM0YWUxYTgtODE4NS00NjE2LWE5MTYtMTkyNjQ2NGRiMTRi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V19&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citationID&quot;:&quot;MENDELEY_CITATION_8db62744-e5ab-4dd3-b932-ec5777f38100&quot;,&quot;properties&quot;:{&quot;noteIndex&quot;:0},&quot;isEdited&quot;:false,&quot;manualOverride&quot;:{&quot;isManuallyOverridden&quot;:false,&quot;citeprocText&quot;:&quot;[3], [4]&quot;,&quot;manualOverrideText&quot;:&quot;&quot;},&quot;citationTag&quot;:&quot;MENDELEY_CITATION_v3_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&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id&quot;:&quot;e8b72325-85a0-3130-b5b0-1db2cf4be49a&quot;,&quot;itemData&quot;:{&quot;type&quot;:&quot;article-journal&quot;,&quot;id&quot;:&quot;e8b72325-85a0-3130-b5b0-1db2cf4be49a&quot;,&quot;title&quot;:&quot;Post-Quantum Cryptography for Secure Banking Transactions&quot;,&quot;author&quot;:[{&quot;family&quot;:&quot;Ogundola&quot;,&quot;given&quot;:&quot;T O&quot;,&quot;parse-names&quot;:false,&quot;dropping-particle&quot;:&quot;&quot;,&quot;non-dropping-particle&quot;:&quot;&quot;}],&quot;container-title&quot;:&quot;International Journal of Scientific Research in Modern Technology&quot;,&quot;issued&quot;:{&quot;date-parts&quot;:[[2025,7]]},&quot;page&quot;:&quot;40-42&quot;,&quot;issue&quot;:&quot;6&quot;,&quot;volume&quot;:&quot;4&quot;,&quot;container-title-short&quot;:&quot;&quot;},&quot;isTemporary&quot;:false}]},{&quot;citationID&quot;:&quot;MENDELEY_CITATION_41977779-813d-4bde-9dc5-ac3530526672&quot;,&quot;properties&quot;:{&quot;noteIndex&quot;:0},&quot;isEdited&quot;:false,&quot;manualOverride&quot;:{&quot;isManuallyOverridden&quot;:false,&quot;citeprocText&quot;:&quot;[5], [6]&quot;,&quot;manualOverrideText&quot;:&quot;&quot;},&quot;citationItems&quot;:[{&quot;id&quot;:&quot;d1987255-8465-3ed6-b988-edab0d5f738e&quot;,&quot;itemData&quot;:{&quot;type&quot;:&quot;paper-conference&quot;,&quot;id&quot;:&quot;d1987255-8465-3ed6-b988-edab0d5f738e&quot;,&quot;title&quot;:&quot;Post-quantum protocols for banking applications&quot;,&quot;author&quot;:[{&quot;family&quot;:&quot;Bettale&quot;,&quot;given&quot;:&quot;L&quot;,&quot;parse-names&quot;:false,&quot;dropping-particle&quot;:&quot;&quot;,&quot;non-dropping-particle&quot;:&quot;&quot;},{&quot;family&quot;:&quot;Oliveira&quot;,&quot;given&quot;:&quot;M&quot;,&quot;parse-names&quot;:false,&quot;dropping-particle&quot;:&quot;De&quot;,&quot;non-dropping-particle&quot;:&quot;&quot;},{&quot;family&quot;:&quot;Dottax&quot;,&quot;given&quot;:&quot;E&quot;,&quot;parse-names&quot;:false,&quot;dropping-particle&quot;:&quot;&quot;,&quot;non-dropping-particle&quot;:&quot;&quot;}],&quot;container-title&quot;:&quot;Proceedings of the 4th NIST Post-Quantum Cryptography Standardization Conference&quot;,&quot;issued&quot;:{&quot;date-parts&quot;:[[2022]]},&quot;page&quot;:&quot;1-18&quot;,&quot;container-title-short&quot;:&quot;&quot;},&quot;isTemporary&quot;:false},{&quot;id&quot;:&quot;c8ecfc89-08d2-3e8e-986c-e7ce8ce9850f&quot;,&quot;itemData&quot;:{&quot;type&quot;:&quot;article-journal&quot;,&quot;id&quot;:&quot;c8ecfc89-08d2-3e8e-986c-e7ce8ce9850f&quot;,&quot;title&quot;:&quot;Seamless Transition to Post-Quantum TLS 1.3: A Hybrid Approach Using Identity-Based Encryption&quot;,&quot;author&quot;:[{&quot;family&quot;:&quot;Astrizi &quot;,&quot;given&quot;:&quot;Thiago Leucz&quot;,&quot;parse-names&quot;:false,&quot;dropping-particle&quot;:&quot;&quot;,&quot;non-dropping-particle&quot;:&quot;&quot;},{&quot;family&quot;:&quot;Custódio &quot;,&quot;given&quot;:&quot;Ricardo&quot;,&quot;parse-names&quot;:false,&quot;dropping-particle&quot;:&quot;&quot;,&quot;non-dropping-particle&quot;:&quot;&quot;}],&quot;container-title&quot;:&quot;Sensors&quot;,&quot;DOI&quot;:&quot;10.3390/s24227300&quot;,&quot;ISSN&quot;:&quot;14248220&quot;,&quot;PMID&quot;:&quot;39599077&quot;,&quot;issued&quot;:{&quot;date-parts&quot;:[[2024,11,1]]},&quot;abstract&quot;:&quot;We propose a novel solution to streamline the migration of existing Transport Layer Security (TLS) protocol implementations to a post-quantum Key Encapsulation Mechanism for Transport Layer Security (KEMTLS). By leveraging Identity-Based Encryption (IBE), our solution minimizes the necessary modifications to the surrounding infrastructure, enabling the reuse of existing keys and certificates. We provide a proof-of-concept implementation and performance analysis, demonstrating the practical feasibility and effectiveness of our proposed approach.&quot;,&quot;publisher&quot;:&quot;Multidisciplinary Digital Publishing Institute (MDPI)&quot;,&quot;issue&quot;:&quot;22&quot;,&quot;volume&quot;:&quot;24&quot;,&quot;container-title-short&quot;:&quot;&quot;},&quot;isTemporary&quot;:false}],&quot;citationTag&quot;:&quot;MENDELEY_CITATION_v3_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&quot;},{&quot;citationID&quot;:&quot;MENDELEY_CITATION_713144f0-645d-4dc1-b122-129bf3111d2c&quot;,&quot;properties&quot;:{&quot;noteIndex&quot;:0},&quot;isEdited&quot;:false,&quot;manualOverride&quot;:{&quot;isManuallyOverridden&quot;:false,&quot;citeprocText&quot;:&quot;[2], [8]&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id&quot;:&quot;6921eed8-e6f8-3c0e-8574-9f679f8224ff&quot;,&quot;itemData&quot;:{&quot;type&quot;:&quot;article-journal&quot;,&quot;id&quot;:&quot;6921eed8-e6f8-3c0e-8574-9f679f8224ff&quot;,&quot;title&quot;:&quot;Quantum-Resilient Infrastructure: Migrating US Financial Payment System to Post-Quantum Cryptography (PQC) Standards to Prevent 'Harvest Now, Decrypt Later' Attacks&quot;,&quot;container-title&quot;:&quot;International Journal of Computer Applications Technology and Research&quot;,&quot;DOI&quot;:&quot;10.7753/ijcatr1312.1016&quot;,&quot;issued&quot;:{&quot;date-parts&quot;:[[2026,1,2]]},&quot;publisher&quot;:&quot;Association of Technology and Science&quot;,&quot;container-title-short&quot;:&quot;&quot;},&quot;isTemporary&quot;:false}],&quot;citationTag&quot;:&quot;MENDELEY_CITATION_v3_eyJjaXRhdGlvbklEIjoiTUVOREVMRVlfQ0lUQVRJT05fNzEzMTQ0ZjAtNjQ1ZC00ZGMxLWIxMjItMTI5YmYzMTExZDJjIiwicHJvcGVydGllcyI6eyJub3RlSW5kZXgiOjB9LCJpc0VkaXRlZCI6ZmFsc2UsIm1hbnVhbE92ZXJyaWRlIjp7ImlzTWFudWFsbHlPdmVycmlkZGVuIjpmYWxzZSwiY2l0ZXByb2NUZXh0IjoiWzJdLCBbOF0iLCJtYW51YWxPdmVycmlkZVRleHQiOiIifSwiY2l0YXRpb25JdGVtcyI6W3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&quot;},{&quot;citationID&quot;:&quot;MENDELEY_CITATION_b644df17-b288-4a11-a93b-f8dfe5dfa5d2&quot;,&quot;properties&quot;:{&quot;noteIndex&quot;:0},&quot;isEdited&quot;:false,&quot;manualOverride&quot;:{&quot;isManuallyOverridden&quot;:false,&quot;citeprocText&quot;:&quot;[10], [11]&quot;,&quot;manualOverrideText&quot;:&quot;&quot;},&quot;citationTag&quot;:&quot;MENDELEY_CITATION_v3_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&quot;,&quot;citationItems&quot;:[{&quot;id&quot;:&quot;ef101a4c-f612-3437-825a-aaa44cb7c239&quot;,&quot;itemData&quot;:{&quot;type&quot;:&quot;article-journal&quot;,&quot;id&quot;:&quot;ef101a4c-f612-3437-825a-aaa44cb7c239&quot;,&quot;title&quot;:&quot;Post-Quantum Cryptography for Secure Banking Transactions&quot;,&quot;author&quot;:[{&quot;family&quot;:&quot;Ogundola&quot;,&quot;given&quot;:&quot;Timothy Olatunji&quot;,&quot;parse-names&quot;:false,&quot;dropping-particle&quot;:&quot;&quot;,&quot;non-dropping-particle&quot;:&quot;&quot;}],&quot;container-title&quot;:&quot;International Journal of Scientific Research and Modern Technology&quot;,&quot;DOI&quot;:&quot;10.38124/ijsrmt.v4i6.594&quot;,&quot;issued&quot;:{&quot;date-parts&quot;:[[2025,7,5]]},&quot;page&quot;:&quot;40-42&quot;,&quot;abstract&quot;:&quot;Quantum computers are growing faster every year, and that progress puts today’s classical encryption at serious risk. Once these machines reach full power, staple protocols like RSA and elliptic-curve cryptography SSDs become tomorrow's digital lockpicks, threatening the secrecy of everyday online banking. In response, many researchers are rallying behind post-quantum cryptography (PQC), a fresh toolkit meant to shrug off quantum decoding tricks. This paper examines how prepared the banking world is for that shift, using a systematic review of literature, pilots, regulations, and benchmarks issued between 2018 and 2025. Results show firms are already alert, testing hybrid systems alongside NIST-approved lattice schemes such as CRYSTALS-Kyber and Dilithium on the road to safer financial transactions. Serious roadblocks linger, such as sluggish system speed, outdated code that cant easily swap algorithms, and a design process that ignores most users. On top of that, regulators and intergovernmental groups are stepping up to define what quantum-proofing looks like and when banks must do it. The paper therefore argues that hooking post-quantum cryptography into everyday banking is doable, and the industry cares about it, yet it still needs joint spending on new hardware, clear rules, and tutorials for customers. Suggested actions are to build crypto-agile platforms, roll out mixed classical-plus-quantum methods in the meantime, and get all players talking so that online and mobile payments stay safe, smooth, and ready for whatever the quantum future brings.&quot;,&quot;publisher&quot;:&quot;International Journal of Innovative Science and Research Technology&quot;,&quot;container-title-short&quot;:&quot;&quot;},&quot;isTemporary&quot;:false},{&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citationID&quot;:&quot;MENDELEY_CITATION_61e63f3f-9e9f-466f-8278-4738aac44dbd&quot;,&quot;properties&quot;:{&quot;noteIndex&quot;:0},&quot;isEdited&quot;:false,&quot;manualOverride&quot;:{&quot;isManuallyOverridden&quot;:false,&quot;citeprocText&quot;:&quot;[12]&quot;,&quot;manualOverrideText&quot;:&quot;&quot;},&quot;citationTag&quot;:&quot;MENDELEY_CITATION_v3_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4987108b-aa7e-35f8-9f38-4c02a663146a&quot;,&quot;itemData&quot;:{&quot;type&quot;:&quot;article-journal&quot;,&quot;id&quot;:&quot;4987108b-aa7e-35f8-9f38-4c02a663146a&quot;,&quot;title&quot;:&quot;Commercial National Security Algorithm Suite 2.0 (CNSA 2.0) Cybersecurity Advisory&quot;,&quot;author&quot;:[{&quot;family&quot;:&quot;National Security Agency (NSA) (CNSA 2.0)&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609753c-c132-4bd0-933d-34baa65f6f02&quot;,&quot;properties&quot;:{&quot;noteIndex&quot;:0},&quot;isEdited&quot;:false,&quot;manualOverride&quot;:{&quot;isManuallyOverridden&quot;:false,&quot;citeprocText&quot;:&quot;[3], [13]&quot;,&quot;manualOverrideText&quot;:&quot;&quot;},&quot;citationTag&quot;:&quot;MENDELEY_CITATION_v3_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b08ef49a-ffd6-42ac-ba7c-5cb4090eec81&quot;,&quot;properties&quot;:{&quot;noteIndex&quot;:0},&quot;isEdited&quot;:false,&quot;manualOverride&quot;:{&quot;isManuallyOverridden&quot;:false,&quot;citeprocText&quot;:&quot;[14], [15]&quot;,&quot;manualOverrideText&quot;:&quot;&quot;},&quot;citationTag&quot;:&quot;MENDELEY_CITATION_v3_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&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citationID&quot;:&quot;MENDELEY_CITATION_214df6d5-1e38-468b-9df7-c481131e6af6&quot;,&quot;properties&quot;:{&quot;noteIndex&quot;:0},&quot;isEdited&quot;:false,&quot;manualOverride&quot;:{&quot;isManuallyOverridden&quot;:false,&quot;citeprocText&quot;:&quot;[2], [9]&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isTemporary&quot;:false}],&quot;citationTag&quot;:&quot;MENDELEY_CITATION_v3_eyJjaXRhdGlvbklEIjoiTUVOREVMRVlfQ0lUQVRJT05fMjE0ZGY2ZDUtMWUzOC00NjhiLTlkZjctYzQ4MTEzMWU2YWY2IiwicHJvcGVydGllcyI6eyJub3RlSW5kZXgiOjB9LCJpc0VkaXRlZCI6ZmFsc2UsIm1hbnVhbE92ZXJyaWRlIjp7ImlzTWFudWFsbHlPdmVycmlkZGVuIjpmYWxzZSwiY2l0ZXByb2NUZXh0IjoiWzJdLCBbOV0iLCJtYW51YWxPdmVycmlkZVRleHQiOiIifSwiY2l0YXRpb25JdGVtcyI6W3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&quot;},{&quot;citationID&quot;:&quot;MENDELEY_CITATION_110c4fe5-6555-44a6-9d56-47fb4c0500d5&quot;,&quot;properties&quot;:{&quot;noteIndex&quot;:0},&quot;isEdited&quot;:false,&quot;manualOverride&quot;:{&quot;isManuallyOverridden&quot;:false,&quot;citeprocText&quot;:&quot;[1]&quot;,&quot;manualOverrideText&quot;:&quot;&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Tag&quot;:&quot;MENDELEY_CITATION_v3_eyJjaXRhdGlvbklEIjoiTUVOREVMRVlfQ0lUQVRJT05fMTEwYzRmZTUtNjU1NS00NGE2LTlkNTYtNDdmYjRjMDUwMGQ1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D&quot;:&quot;MENDELEY_CITATION_28fcb40d-fad3-49bb-b178-efacd0d78506&quot;,&quot;properties&quot;:{&quot;noteIndex&quot;:0},&quot;isEdited&quot;:false,&quot;manualOverride&quot;:{&quot;isManuallyOverridden&quot;:false,&quot;citeprocText&quot;:&quot;[3], [6], [16]&quot;,&quot;manualOverrideText&quot;:&quot;&quot;},&quot;citationTag&quot;:&quot;MENDELEY_CITATION_v3_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id&quot;:&quot;c8ecfc89-08d2-3e8e-986c-e7ce8ce9850f&quot;,&quot;itemData&quot;:{&quot;type&quot;:&quot;article-journal&quot;,&quot;id&quot;:&quot;c8ecfc89-08d2-3e8e-986c-e7ce8ce9850f&quot;,&quot;title&quot;:&quot;Seamless Transition to Post-Quantum TLS 1.3: A Hybrid Approach Using Identity-Based Encryption&quot;,&quot;author&quot;:[{&quot;family&quot;:&quot;Astrizi &quot;,&quot;given&quot;:&quot;Thiago Leucz&quot;,&quot;parse-names&quot;:false,&quot;dropping-particle&quot;:&quot;&quot;,&quot;non-dropping-particle&quot;:&quot;&quot;},{&quot;family&quot;:&quot;Custódio &quot;,&quot;given&quot;:&quot;Ricardo&quot;,&quot;parse-names&quot;:false,&quot;dropping-particle&quot;:&quot;&quot;,&quot;non-dropping-particle&quot;:&quot;&quot;}],&quot;container-title&quot;:&quot;Sensors&quot;,&quot;DOI&quot;:&quot;10.3390/s24227300&quot;,&quot;ISSN&quot;:&quot;14248220&quot;,&quot;PMID&quot;:&quot;39599077&quot;,&quot;issued&quot;:{&quot;date-parts&quot;:[[2024,11,1]]},&quot;abstract&quot;:&quot;We propose a novel solution to streamline the migration of existing Transport Layer Security (TLS) protocol implementations to a post-quantum Key Encapsulation Mechanism for Transport Layer Security (KEMTLS). By leveraging Identity-Based Encryption (IBE), our solution minimizes the necessary modifications to the surrounding infrastructure, enabling the reuse of existing keys and certificates. We provide a proof-of-concept implementation and performance analysis, demonstrating the practical feasibility and effectiveness of our proposed approach.&quot;,&quot;publisher&quot;:&quot;Multidisciplinary Digital Publishing Institute (MDPI)&quot;,&quot;issue&quot;:&quot;22&quot;,&quot;volume&quot;:&quot;24&quot;,&quot;container-title-short&quot;:&quot;&quot;},&quot;isTemporary&quot;:false}]},{&quot;citationID&quot;:&quot;MENDELEY_CITATION_46456c22-9651-4ccc-81f3-ab35086ede3f&quot;,&quot;properties&quot;:{&quot;noteIndex&quot;:0},&quot;isEdited&quot;:false,&quot;manualOverride&quot;:{&quot;isManuallyOverridden&quot;:false,&quot;citeprocText&quot;:&quot;[1]&quot;,&quot;manualOverrideText&quot;:&quot;&quot;},&quot;citationTag&quot;:&quot;MENDELEY_CITATION_v3_eyJjaXRhdGlvbklEIjoiTUVOREVMRVlfQ0lUQVRJT05fNDY0NTZjMjItOTY1MS00Y2NjLTgxZjMtYWIzNTA4NmVkZTNm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ID&quot;:&quot;MENDELEY_CITATION_9fa8b0f7-5e50-4c34-b3d9-da062a3ea4d1&quot;,&quot;properties&quot;:{&quot;noteIndex&quot;:0},&quot;isEdited&quot;:false,&quot;manualOverride&quot;:{&quot;isManuallyOverridden&quot;:false,&quot;citeprocText&quot;:&quot;[14], [15], [17]&quot;,&quot;manualOverrideText&quot;:&quot;&quot;},&quot;citationTag&quot;:&quot;MENDELEY_CITATION_v3_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iwiY29udGFpbmVyLXRpdGxlLXNob3J0IjoiIn0sImlzVGVtcG9yYXJ5IjpmYWxzZX1dfQ==&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63c964fb-6bcd-4f7f-8347-9ddcf5a6832e&quot;,&quot;properties&quot;:{&quot;noteIndex&quot;:0},&quot;isEdited&quot;:false,&quot;manualOverride&quot;:{&quot;isManuallyOverridden&quot;:false,&quot;citeprocText&quot;:&quot;[15], [17], [18]&quot;,&quot;manualOverrideText&quot;:&quot;&quot;},&quot;citationTag&quot;:&quot;MENDELEY_CITATION_v3_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&quot;,&quot;citationItems&quot;:[{&quot;id&quot;:&quot;3d8ce02d-8841-3b81-b108-5515451a31c0&quot;,&quot;itemData&quot;:{&quot;type&quot;:&quot;article-journal&quot;,&quot;id&quot;:&quot;3d8ce02d-8841-3b81-b108-5515451a31c0&quot;,&quot;title&quot;:&quot;A performance evaluation framework for post-quantum TLS&quot;,&quot;author&quot;:[{&quot;family&quot;:&quot;Montenegro&quot;,&quot;given&quot;:&quot;J A&quot;,&quot;parse-names&quot;:false,&quot;dropping-particle&quot;:&quot;&quot;,&quot;non-dropping-particle&quot;:&quot;&quot;},{&quot;family&quot;:&quot;Rios&quot;,&quot;given&quot;:&quot;R&quot;,&quot;parse-names&quot;:false,&quot;dropping-particle&quot;:&quot;&quot;,&quot;non-dropping-particle&quot;:&quot;&quot;},{&quot;family&quot;:&quot;Lopez-Cerezo&quot;,&quot;given&quot;:&quot;J&quot;,&quot;parse-names&quot;:false,&quot;dropping-particle&quot;:&quot;&quot;,&quot;non-dropping-particle&quot;:&quot;&quot;}],&quot;container-title&quot;:&quot;Future Generation Computer Systems&quot;,&quot;issued&quot;:{&quot;date-parts&quot;:[[2026,2]]},&quot;page&quot;:&quot;108062&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5e0cf4e0-6b1e-4327-96cd-2e0d990a5f82&quot;,&quot;properties&quot;:{&quot;noteIndex&quot;:0},&quot;isEdited&quot;:false,&quot;manualOverride&quot;:{&quot;isManuallyOverridden&quot;:false,&quot;citeprocText&quot;:&quot;[2], [19]&quot;,&quot;manualOverrideText&quot;:&quot;&quot;},&quot;citationTag&quot;:&quot;MENDELEY_CITATION_v3_eyJjaXRhdGlvbklEIjoiTUVOREVMRVlfQ0lUQVRJT05fNWUwY2Y0ZTAtNmIxZS00MzI3LTk2Y2QtMmUwZDk5MGE1ZjgyIiwicHJvcGVydGllcyI6eyJub3RlSW5kZXgiOjB9LCJpc0VkaXRlZCI6ZmFsc2UsIm1hbnVhbE92ZXJyaWRlIjp7ImlzTWFudWFsbHlPdmVycmlkZGVuIjpmYWxzZSwiY2l0ZXByb2NUZXh0IjoiWzJdLCBbMTl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&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citationID&quot;:&quot;MENDELEY_CITATION_10a860b4-6bf8-4391-8a41-0da6db2bb25b&quot;,&quot;properties&quot;:{&quot;noteIndex&quot;:0},&quot;isEdited&quot;:false,&quot;manualOverride&quot;:{&quot;isManuallyOverridden&quot;:false,&quot;citeprocText&quot;:&quot;[3]&quot;,&quot;manualOverrideText&quot;:&quot;&quot;},&quot;citationTag&quot;:&quot;MENDELEY_CITATION_v3_eyJjaXRhdGlvbklEIjoiTUVOREVMRVlfQ0lUQVRJT05fMTBhODYwYjQtNmJmOC00MzkxLThhNDEtMGRhNmRiMmJiMjVi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52b1e031-8b88-48d9-a8df-ce87c7e5ad3a&quot;,&quot;properties&quot;:{&quot;noteIndex&quot;:0},&quot;isEdited&quot;:false,&quot;manualOverride&quot;:{&quot;isManuallyOverridden&quot;:false,&quot;citeprocText&quot;:&quot;[9], [20]&quot;,&quot;manualOverrideText&quot;:&quot;&quot;},&quot;citationTag&quot;:&quot;MENDELEY_CITATION_v3_eyJjaXRhdGlvbklEIjoiTUVOREVMRVlfQ0lUQVRJT05fNTJiMWUwMzEtOGI4OC00OGQ5LWE4ZGYtY2U4N2M3ZTVhZDNhIiwicHJvcGVydGllcyI6eyJub3RlSW5kZXgiOjB9LCJpc0VkaXRlZCI6ZmFsc2UsIm1hbnVhbE92ZXJyaWRlIjp7ImlzTWFudWFsbHlPdmVycmlkZGVuIjpmYWxzZSwiY2l0ZXByb2NUZXh0IjoiWzldLCBbMjB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YWFhM2Y2NmEtYmY1Zi0zY2ZiLWEzYjAtZjJjMDcyZTAxZDViIiwiaXRlbURhdGEiOnsidHlwZSI6InJlcG9ydCIsImlkIjoiYWFhM2Y2NmEtYmY1Zi0zY2ZiLWEzYjAtZjJjMDcyZTAxZDViIiwidGl0bGUiOiJUaGUgc3RhdGUgb2YgcG9zdC1xdWFudHVtIGNyeXB0b2dyYXBoeSBvbiB0aGUgd2ViIiwiYXV0aG9yIjpbeyJmYW1pbHkiOiJMYWJzIiwiZ2l2ZW4iOiJGNSIsInBhcnNlLW5hbWVzIjpmYWxzZSwiZHJvcHBpbmctcGFydGljbGUiOiIiLCJub24tZHJvcHBpbmctcGFydGljbGUiOiIifV0sImlzc3VlZCI6eyJkYXRlLXBhcnRzIjpbWzIwMjMsMTFdXX0sImNvbnRhaW5lci10aXRsZS1zaG9ydCI6IiJ9LCJpc1RlbXBvcmFyeSI6ZmFsc2V9XX0=&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aaa3f66a-bf5f-3cfb-a3b0-f2c072e01d5b&quot;,&quot;itemData&quot;:{&quot;type&quot;:&quot;report&quot;,&quot;id&quot;:&quot;aaa3f66a-bf5f-3cfb-a3b0-f2c072e01d5b&quot;,&quot;title&quot;:&quot;The state of post-quantum cryptography on the web&quot;,&quot;author&quot;:[{&quot;family&quot;:&quot;Labs&quot;,&quot;given&quot;:&quot;F5&quot;,&quot;parse-names&quot;:false,&quot;dropping-particle&quot;:&quot;&quot;,&quot;non-dropping-particle&quot;:&quot;&quot;}],&quot;issued&quot;:{&quot;date-parts&quot;:[[2023,11]]},&quot;container-title-short&quot;:&quot;&quot;},&quot;isTemporary&quot;:false}]},{&quot;citationID&quot;:&quot;MENDELEY_CITATION_09d7af73-e29c-4084-947f-fab0e12102c0&quot;,&quot;properties&quot;:{&quot;noteIndex&quot;:0},&quot;isEdited&quot;:false,&quot;manualOverride&quot;:{&quot;isManuallyOverridden&quot;:false,&quot;citeprocText&quot;:&quot;[10]&quot;,&quot;manualOverrideText&quot;:&quot;&quot;},&quot;citationItems&quot;:[{&quot;id&quot;:&quot;ef101a4c-f612-3437-825a-aaa44cb7c239&quot;,&quot;itemData&quot;:{&quot;type&quot;:&quot;article-journal&quot;,&quot;id&quot;:&quot;ef101a4c-f612-3437-825a-aaa44cb7c239&quot;,&quot;title&quot;:&quot;Post-Quantum Cryptography for Secure Banking Transactions&quot;,&quot;author&quot;:[{&quot;family&quot;:&quot;Ogundola&quot;,&quot;given&quot;:&quot;Timothy Olatunji&quot;,&quot;parse-names&quot;:false,&quot;dropping-particle&quot;:&quot;&quot;,&quot;non-dropping-particle&quot;:&quot;&quot;}],&quot;container-title&quot;:&quot;International Journal of Scientific Research and Modern Technology&quot;,&quot;DOI&quot;:&quot;10.38124/ijsrmt.v4i6.594&quot;,&quot;issued&quot;:{&quot;date-parts&quot;:[[2025,7,5]]},&quot;page&quot;:&quot;40-42&quot;,&quot;abstract&quot;:&quot;Quantum computers are growing faster every year, and that progress puts today’s classical encryption at serious risk. Once these machines reach full power, staple protocols like RSA and elliptic-curve cryptography SSDs become tomorrow's digital lockpicks, threatening the secrecy of everyday online banking. In response, many researchers are rallying behind post-quantum cryptography (PQC), a fresh toolkit meant to shrug off quantum decoding tricks. This paper examines how prepared the banking world is for that shift, using a systematic review of literature, pilots, regulations, and benchmarks issued between 2018 and 2025. Results show firms are already alert, testing hybrid systems alongside NIST-approved lattice schemes such as CRYSTALS-Kyber and Dilithium on the road to safer financial transactions. Serious roadblocks linger, such as sluggish system speed, outdated code that cant easily swap algorithms, and a design process that ignores most users. On top of that, regulators and intergovernmental groups are stepping up to define what quantum-proofing looks like and when banks must do it. The paper therefore argues that hooking post-quantum cryptography into everyday banking is doable, and the industry cares about it, yet it still needs joint spending on new hardware, clear rules, and tutorials for customers. Suggested actions are to build crypto-agile platforms, roll out mixed classical-plus-quantum methods in the meantime, and get all players talking so that online and mobile payments stay safe, smooth, and ready for whatever the quantum future brings.&quot;,&quot;publisher&quot;:&quot;International Journal of Innovative Science and Research Technology&quot;,&quot;container-title-short&quot;:&quot;&quot;},&quot;isTemporary&quot;:false}],&quot;citationTag&quot;:&quot;MENDELEY_CITATION_v3_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&quot;},{&quot;citationID&quot;:&quot;MENDELEY_CITATION_53ead880-9df3-44bb-baf9-7ef5d80eee9e&quot;,&quot;properties&quot;:{&quot;noteIndex&quot;:0},&quot;isEdited&quot;:false,&quot;manualOverride&quot;:{&quot;isManuallyOverridden&quot;:false,&quot;citeprocText&quot;:&quot;[11], [21]&quot;,&quot;manualOverrideText&quot;:&quot;&quot;},&quot;citationItems&quot;:[{&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suppress-author&quot;:false,&quot;composite&quot;:false,&quot;author-only&quot;:false},{&quot;id&quot;:&quot;08b00b0d-2607-38e5-8eb6-577e18d8718b&quot;,&quot;itemData&quot;:{&quot;type&quot;:&quot;report&quot;,&quot;id&quot;:&quot;08b00b0d-2607-38e5-8eb6-577e18d8718b&quot;,&quot;title&quot;:&quot;Quantum attack simulations on TLS handshakes&quot;,&quot;author&quot;:[{&quot;family&quot;:&quot;Team&quot;,&quot;given&quot;:&quot;I B M Quantum&quot;,&quot;parse-names&quot;:false,&quot;dropping-particle&quot;:&quot;&quot;,&quot;non-dropping-particle&quot;:&quot;&quot;}],&quot;issued&quot;:{&quot;date-parts&quot;:[[2023]]}},&quot;isTemporary&quot;:false}],&quot;citationTag&quot;:&quot;MENDELEY_CITATION_v3_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&quot;},{&quot;citationID&quot;:&quot;MENDELEY_CITATION_17dd261f-3924-4085-90fd-cb1318a5bfbc&quot;,&quot;properties&quot;:{&quot;noteIndex&quot;:0},&quot;isEdited&quot;:false,&quot;manualOverride&quot;:{&quot;isManuallyOverridden&quot;:false,&quot;citeprocText&quot;:&quot;[22], [23]&quot;,&quot;manualOverrideText&quot;:&quot;&quot;},&quot;citationTag&quot;:&quot;MENDELEY_CITATION_v3_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&quot;,&quot;citationItems&quot;:[{&quot;id&quot;:&quot;5c988471-bf14-399e-9cb7-6202f2f05f20&quot;,&quot;itemData&quot;:{&quot;type&quot;:&quot;report&quot;,&quot;id&quot;:&quot;5c988471-bf14-399e-9cb7-6202f2f05f20&quot;,&quot;title&quot;:&quot;Post-quantum TLS&quot;,&quot;author&quot;:[{&quot;family&quot;:&quot;Wiggers&quot;,&quot;given&quot;:&quot;T&quot;,&quot;parse-names&quot;:false,&quot;dropping-particle&quot;:&quot;&quot;,&quot;non-dropping-particle&quot;:&quot;&quot;}],&quot;issued&quot;:{&quot;date-parts&quot;:[[2023]]},&quot;container-title-short&quot;:&quot;&quot;},&quot;isTemporary&quot;:false},{&quot;id&quot;:&quot;68330abc-4f3c-3642-a59e-c4e78e890dbe&quot;,&quot;itemData&quot;:{&quot;type&quot;:&quot;report&quot;,&quot;id&quot;:&quot;68330abc-4f3c-3642-a59e-c4e78e890dbe&quot;,&quot;title&quot;:&quot;Post-Quantum TLS&quot;,&quot;author&quot;:[{&quot;family&quot;:&quot;Wiggers&quot;,&quot;given&quot;:&quot;Thom&quot;,&quot;parse-names&quot;:false,&quot;dropping-particle&quot;:&quot;&quot;,&quot;non-dropping-particle&quot;:&quot;&quot;}],&quot;container-title-short&quot;:&quot;&quot;},&quot;isTemporary&quot;:false}]},{&quot;citationID&quot;:&quot;MENDELEY_CITATION_f0e623a8-57ef-4fa5-bbe5-447402286d02&quot;,&quot;properties&quot;:{&quot;noteIndex&quot;:0},&quot;isEdited&quot;:false,&quot;manualOverride&quot;:{&quot;isManuallyOverridden&quot;:false,&quot;citeprocText&quot;:&quot;[5], [14], [15]&quot;,&quot;manualOverrideText&quot;:&quot;&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d1987255-8465-3ed6-b988-edab0d5f738e&quot;,&quot;itemData&quot;:{&quot;type&quot;:&quot;paper-conference&quot;,&quot;id&quot;:&quot;d1987255-8465-3ed6-b988-edab0d5f738e&quot;,&quot;title&quot;:&quot;Post-quantum protocols for banking applications&quot;,&quot;author&quot;:[{&quot;family&quot;:&quot;Bettale&quot;,&quot;given&quot;:&quot;L&quot;,&quot;parse-names&quot;:false,&quot;dropping-particle&quot;:&quot;&quot;,&quot;non-dropping-particle&quot;:&quot;&quot;},{&quot;family&quot;:&quot;Oliveira&quot;,&quot;given&quot;:&quot;M&quot;,&quot;parse-names&quot;:false,&quot;dropping-particle&quot;:&quot;De&quot;,&quot;non-dropping-particle&quot;:&quot;&quot;},{&quot;family&quot;:&quot;Dottax&quot;,&quot;given&quot;:&quot;E&quot;,&quot;parse-names&quot;:false,&quot;dropping-particle&quot;:&quot;&quot;,&quot;non-dropping-particle&quot;:&quot;&quot;}],&quot;container-title&quot;:&quot;Proceedings of the 4th NIST Post-Quantum Cryptography Standardization Conference&quot;,&quot;issued&quot;:{&quot;date-parts&quot;:[[2022]]},&quot;page&quot;:&quot;1-18&quot;,&quot;container-title-short&quot;:&quot;&quot;},&quot;isTemporary&quot;:false}],&quot;citationTag&quot;:&quot;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&quot;},{&quot;citationID&quot;:&quot;MENDELEY_CITATION_37c6ecb2-160d-4c5e-bdfd-22598acbbde9&quot;,&quot;properties&quot;:{&quot;noteIndex&quot;:0},&quot;isEdited&quot;:false,&quot;manualOverride&quot;:{&quot;isManuallyOverridden&quot;:false,&quot;citeprocText&quot;:&quot;[2]&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citationTag&quot;:&quot;MENDELEY_CITATION_v3_eyJjaXRhdGlvbklEIjoiTUVOREVMRVlfQ0lUQVRJT05fMzdjNmVjYjItMTYwZC00YzVlLWJkZmQtMjI1OThhY2JiZGU5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LCJzdXBwcmVzcy1hdXRob3IiOmZhbHNlLCJjb21wb3NpdGUiOmZhbHNlLCJhdXRob3Itb25seSI6ZmFsc2V9XX0=&quot;},{&quot;citationID&quot;:&quot;MENDELEY_CITATION_5be63649-72d4-458f-bd47-1c1395612d8a&quot;,&quot;properties&quot;:{&quot;noteIndex&quot;:0},&quot;isEdited&quot;:false,&quot;manualOverride&quot;:{&quot;isManuallyOverridden&quot;:false,&quot;citeprocText&quot;:&quot;[19], [24]&quot;,&quot;manualOverrideText&quot;:&quot;&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Tag&quot;:&quot;MENDELEY_CITATION_v3_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D&quot;:&quot;MENDELEY_CITATION_36051d2c-6518-437b-a093-8fb5bee0a310&quot;,&quot;properties&quot;:{&quot;noteIndex&quot;:0},&quot;isEdited&quot;:false,&quot;manualOverride&quot;:{&quot;isManuallyOverridden&quot;:false,&quot;citeprocText&quot;:&quot;[3]&quot;,&quot;manualOverrideText&quot;:&quot;&quot;},&quot;citationTag&quot;:&quot;MENDELEY_CITATION_v3_eyJjaXRhdGlvbklEIjoiTUVOREVMRVlfQ0lUQVRJT05fMzYwNTFkMmMtNjUxOC00MzdiLWEwOTMtOGZiNWJlZTBhMzEw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dca10bb2-b9c2-4cc7-81be-860e2d732ddb&quot;,&quot;properties&quot;:{&quot;noteIndex&quot;:0},&quot;isEdited&quot;:false,&quot;manualOverride&quot;:{&quot;isManuallyOverridden&quot;:false,&quot;citeprocText&quot;:&quot;[2], [25]&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id&quot;:&quot;870aab74-709e-316d-bc6d-32a14a73f62e&quot;,&quot;itemData&quot;:{&quot;type&quot;:&quot;article-journal&quot;,&quot;id&quot;:&quot;870aab74-709e-316d-bc6d-32a14a73f62e&quot;,&quot;title&quot;:&quot;International Organization for Standardization, \&quot;Information security, cybersecurity and privacy protection — Information security management systems — Requirements,\&quot; ISO/IEC Standard 27001:2022, Geneva, Switzerland, Oct. 2022&quot;,&quot;author&quot;:[{&quot;family&quot;:&quot;ISO/IEC (27001:2022)&quot;,&quot;given&quot;:&quot;&quot;,&quot;parse-names&quot;:false,&quot;dropping-particle&quot;:&quot;&quot;,&quot;non-dropping-particle&quot;:&quot;&quot;}],&quot;issued&quot;:{&quot;date-parts&quot;:[[2022]]}},&quot;isTemporary&quot;:false}],&quot;citationTag&quot;:&quot;MENDELEY_CITATION_v3_eyJjaXRhdGlvbklEIjoiTUVOREVMRVlfQ0lUQVRJT05fZGNhMTBiYjItYjljMi00Y2M3LTgxYmUtODYwZTJkNzMyZGRiIiwicHJvcGVydGllcyI6eyJub3RlSW5kZXgiOjB9LCJpc0VkaXRlZCI6ZmFsc2UsIm1hbnVhbE92ZXJyaWRlIjp7ImlzTWFudWFsbHlPdmVycmlkZGVuIjpmYWxzZSwiY2l0ZXByb2NUZXh0IjoiWzJdLCBbMjV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&quot;},{&quot;citationID&quot;:&quot;MENDELEY_CITATION_c822b3ca-a036-4e3a-8e7b-6ab835fb1160&quot;,&quot;properties&quot;:{&quot;noteIndex&quot;:0},&quot;isEdited&quot;:false,&quot;manualOverride&quot;:{&quot;isManuallyOverridden&quot;:false,&quot;citeprocText&quot;:&quot;[26]&quot;,&quot;manualOverrideText&quot;:&quot;&quot;},&quot;citationTag&quot;:&quot;MENDELEY_CITATION_v3_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&quot;,&quot;citationItems&quot;:[{&quot;id&quot;:&quot;fee570d6-54d1-3887-9e11-77726658ca4e&quot;,&quot;itemData&quot;:{&quot;type&quot;:&quot;article-journal&quot;,&quot;id&quot;:&quot;fee570d6-54d1-3887-9e11-77726658ca4e&quot;,&quot;title&quot;:&quot;Payment Card Industry Data Security Standard v4.0.1&quot;,&quot;author&quot;:[{&quot;family&quot;:&quot;PCI SSC (PCI DSS v4.0.1)&quot;,&quot;given&quot;:&quot;&quot;,&quot;parse-names&quot;:false,&quot;dropping-particle&quot;:&quot;&quot;,&quot;non-dropping-particle&quot;:&quot;&quot;}],&quot;issued&quot;:{&quot;date-parts&quot;:[[2024]]},&quot;container-title-short&quot;:&quot;&quot;},&quot;isTemporary&quot;:false}]},{&quot;citationID&quot;:&quot;MENDELEY_CITATION_5455bd62-7f71-4b10-90ac-0fc35e41461c&quot;,&quot;properties&quot;:{&quot;noteIndex&quot;:0},&quot;isEdited&quot;:false,&quot;manualOverride&quot;:{&quot;isManuallyOverridden&quot;:false,&quot;citeprocText&quot;:&quot;[25]&quot;,&quot;manualOverrideText&quot;:&quot;&quot;},&quot;citationTag&quot;:&quot;MENDELEY_CITATION_v3_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&quot;,&quot;citationItems&quot;:[{&quot;id&quot;:&quot;870aab74-709e-316d-bc6d-32a14a73f62e&quot;,&quot;itemData&quot;:{&quot;type&quot;:&quot;article-journal&quot;,&quot;id&quot;:&quot;870aab74-709e-316d-bc6d-32a14a73f62e&quot;,&quot;title&quot;:&quot;International Organization for Standardization, \&quot;Information security, cybersecurity and privacy protection — Information security management systems — Requirements,\&quot; ISO/IEC Standard 27001:2022, Geneva, Switzerland, Oct. 2022&quot;,&quot;author&quot;:[{&quot;family&quot;:&quot;ISO/IEC (27001:2022)&quot;,&quot;given&quot;:&quot;&quot;,&quot;parse-names&quot;:false,&quot;dropping-particle&quot;:&quot;&quot;,&quot;non-dropping-particle&quot;:&quot;&quot;}],&quot;issued&quot;:{&quot;date-parts&quot;:[[2022]]},&quot;container-title-short&quot;:&quot;&quot;},&quot;isTemporary&quot;:false}]},{&quot;citationID&quot;:&quot;MENDELEY_CITATION_d6620d84-2686-49d0-821f-eccab84d6475&quot;,&quot;properties&quot;:{&quot;noteIndex&quot;:0},&quot;isEdited&quot;:false,&quot;manualOverride&quot;:{&quot;isManuallyOverridden&quot;:false,&quot;citeprocText&quot;:&quot;[3]&quot;,&quot;manualOverrideText&quot;:&quot;&quot;},&quot;citationTag&quot;:&quot;MENDELEY_CITATION_v3_eyJjaXRhdGlvbklEIjoiTUVOREVMRVlfQ0lUQVRJT05fZDY2MjBkODQtMjY4Ni00OWQwLTgyMWYtZWNjYWI4NGQ2NDc1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3376c7ca-e9d3-4155-b36a-5915bd7c978d&quot;,&quot;properties&quot;:{&quot;noteIndex&quot;:0},&quot;isEdited&quot;:false,&quot;manualOverride&quot;:{&quot;isManuallyOverridden&quot;:false,&quot;citeprocText&quot;:&quot;[17], [18]&quot;,&quot;manualOverrideText&quot;:&quot;&quot;},&quot;citationItems&quot;:[{&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isTemporary&quot;:false},{&quot;id&quot;:&quot;3d8ce02d-8841-3b81-b108-5515451a31c0&quot;,&quot;itemData&quot;:{&quot;type&quot;:&quot;article-journal&quot;,&quot;id&quot;:&quot;3d8ce02d-8841-3b81-b108-5515451a31c0&quot;,&quot;title&quot;:&quot;A performance evaluation framework for post-quantum TLS&quot;,&quot;author&quot;:[{&quot;family&quot;:&quot;Montenegro&quot;,&quot;given&quot;:&quot;J A&quot;,&quot;parse-names&quot;:false,&quot;dropping-particle&quot;:&quot;&quot;,&quot;non-dropping-particle&quot;:&quot;&quot;},{&quot;family&quot;:&quot;Rios&quot;,&quot;given&quot;:&quot;R&quot;,&quot;parse-names&quot;:false,&quot;dropping-particle&quot;:&quot;&quot;,&quot;non-dropping-particle&quot;:&quot;&quot;},{&quot;family&quot;:&quot;Lopez-Cerezo&quot;,&quot;given&quot;:&quot;J&quot;,&quot;parse-names&quot;:false,&quot;dropping-particle&quot;:&quot;&quot;,&quot;non-dropping-particle&quot;:&quot;&quot;}],&quot;container-title&quot;:&quot;Future Generation Computer Systems&quot;,&quot;issued&quot;:{&quot;date-parts&quot;:[[2026,2]]},&quot;page&quot;:&quot;108062&quot;,&quot;volume&quot;:&quot;175&quot;},&quot;isTemporary&quot;:false}],&quot;citationTag&quot;:&quot;MENDELEY_CITATION_v3_eyJjaXRhdGlvbklEIjoiTUVOREVMRVlfQ0lUQVRJT05fMzM3NmM3Y2EtZTlkMy00MTU1LWIzNmEtNTkxNWJkN2M5NzhkIiwicHJvcGVydGllcyI6eyJub3RlSW5kZXgiOjB9LCJpc0VkaXRlZCI6ZmFsc2UsIm1hbnVhbE92ZXJyaWRlIjp7ImlzTWFudWFsbHlPdmVycmlkZGVuIjpmYWxzZSwiY2l0ZXByb2NUZXh0IjoiWzE3XSwgWzE4XSIsIm1hbnVhbE92ZXJyaWRlVGV4dCI6IiJ9LCJjaXRhdGlvbkl0ZW1zIjpb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&quot;},{&quot;citationID&quot;:&quot;MENDELEY_CITATION_b90380ee-9b3f-4ccc-ab0b-b2daf54c952d&quot;,&quot;properties&quot;:{&quot;noteIndex&quot;:0},&quot;isEdited&quot;:false,&quot;manualOverride&quot;:{&quot;isManuallyOverridden&quot;:false,&quot;citeprocText&quot;:&quot;[9], [24]&quot;,&quot;manualOverrideText&quot;:&quot;&quot;},&quot;citationTag&quot;:&quot;MENDELEY_CITATION_v3_eyJjaXRhdGlvbklEIjoiTUVOREVMRVlfQ0lUQVRJT05fYjkwMzgwZWUtOWIzZi00Y2NjLWFiMGItYjJkYWY1NGM5NTJkIiwicHJvcGVydGllcyI6eyJub3RlSW5kZXgiOjB9LCJpc0VkaXRlZCI6ZmFsc2UsIm1hbnVhbE92ZXJyaWRlIjp7ImlzTWFudWFsbHlPdmVycmlkZGVuIjpmYWxzZSwiY2l0ZXByb2NUZXh0IjoiWzldLCBbMjR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ID&quot;:&quot;MENDELEY_CITATION_9bcf1a42-2e34-467b-ad7c-383410b7bb2c&quot;,&quot;properties&quot;:{&quot;noteIndex&quot;:0},&quot;isEdited&quot;:false,&quot;manualOverride&quot;:{&quot;isManuallyOverridden&quot;:false,&quot;citeprocText&quot;:&quot;[19]&quot;,&quot;manualOverrideText&quot;:&quot;&quot;},&quot;citationTag&quot;:&quot;MENDELEY_CITATION_v3_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&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citationID&quot;:&quot;MENDELEY_CITATION_47cad0b2-8ae9-49e8-a778-086112574e7f&quot;,&quot;properties&quot;:{&quot;noteIndex&quot;:0},&quot;isEdited&quot;:false,&quot;manualOverride&quot;:{&quot;isManuallyOverridden&quot;:false,&quot;citeprocText&quot;:&quot;[11]&quot;,&quot;manualOverrideText&quot;:&quot;&quot;},&quot;citationTag&quot;:&quot;MENDELEY_CITATION_v3_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&quot;,&quot;citationItems&quot;:[{&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citationID&quot;:&quot;MENDELEY_CITATION_b52b8be1-f832-40e3-8815-15019a43bb22&quot;,&quot;properties&quot;:{&quot;noteIndex&quot;:0},&quot;isEdited&quot;:false,&quot;manualOverride&quot;:{&quot;isManuallyOverridden&quot;:false,&quot;citeprocText&quot;:&quot;[13]&quot;,&quot;manualOverrideText&quot;:&quot;&quot;},&quot;citationTag&quot;:&quot;MENDELEY_CITATION_v3_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&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citationID&quot;:&quot;MENDELEY_CITATION_ff9e76d9-c0b7-414e-a3c6-a83e0a39eb9b&quot;,&quot;properties&quot;:{&quot;noteIndex&quot;:0},&quot;isEdited&quot;:false,&quot;manualOverride&quot;:{&quot;isManuallyOverridden&quot;:false,&quot;citeprocText&quot;:&quot;[27]&quot;,&quot;manualOverrideText&quot;:&quot;&quot;},&quot;citationItems&quot;:[{&quot;id&quot;:&quot;e2650be2-7a25-3052-b6ec-205d64bd9193&quot;,&quot;itemData&quot;:{&quot;type&quot;:&quot;article-journal&quot;,&quot;id&quot;:&quot;e2650be2-7a25-3052-b6ec-205d64bd9193&quot;,&quot;title&quot;:&quot;Quantum-resistant transport layer security&quot;,&quot;author&quot;:[{&quot;family&quot;:&quot;García&quot;,&quot;given&quot;:&quot;C Rubio&quot;,&quot;parse-names&quot;:false,&quot;dropping-particle&quot;:&quot;&quot;,&quot;non-dropping-particle&quot;:&quot;&quot;},{&quot;family&quot;:&quot;Rommel&quot;,&quot;given&quot;:&quot;S&quot;,&quot;parse-names&quot;:false,&quot;dropping-particle&quot;:&quot;&quot;,&quot;non-dropping-particle&quot;:&quot;&quot;},{&quot;family&quot;:&quot;Takarabt&quot;,&quot;given&quot;:&quot;S&quot;,&quot;parse-names&quot;:false,&quot;dropping-particle&quot;:&quot;&quot;,&quot;non-dropping-particle&quot;:&quot;&quot;},{&quot;family&quot;:&quot;Olmos&quot;,&quot;given&quot;:&quot;J J&quot;,&quot;parse-names&quot;:false,&quot;dropping-particle&quot;:&quot;V&quot;,&quot;non-dropping-particle&quot;:&quot;&quot;},{&quot;family&quot;:&quot;Guilley&quot;,&quot;given&quot;:&quot;S&quot;,&quot;parse-names&quot;:false,&quot;dropping-particle&quot;:&quot;&quot;,&quot;non-dropping-particle&quot;:&quot;&quot;},{&quot;family&quot;:&quot;Nguyen&quot;,&quot;given&quot;:&quot;P&quot;,&quot;parse-names&quot;:false,&quot;dropping-particle&quot;:&quot;&quot;,&quot;non-dropping-particle&quot;:&quot;&quot;},{&quot;family&quot;:&quot;Monroy&quot;,&quot;given&quot;:&quot;I T&quot;,&quot;parse-names&quot;:false,&quot;dropping-particle&quot;:&quot;&quot;,&quot;non-dropping-particle&quot;:&quot;&quot;}],&quot;container-title&quot;:&quot;Computer Communications&quot;,&quot;container-title-short&quot;:&quot;Comput. Commun.&quot;,&quot;issued&quot;:{&quot;date-parts&quot;:[[2024,1]]},&quot;page&quot;:&quot;345-358&quot;,&quot;volume&quot;:&quot;213&quot;},&quot;isTemporary&quot;:false}],&quot;citationTag&quot;:&quot;MENDELEY_CITATION_v3_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&quot;},{&quot;citationID&quot;:&quot;MENDELEY_CITATION_aadcd321-652f-4de3-b8d9-917634fadf81&quot;,&quot;properties&quot;:{&quot;noteIndex&quot;:0},&quot;isEdited&quot;:false,&quot;manualOverride&quot;:{&quot;isManuallyOverridden&quot;:false,&quot;citeprocText&quot;:&quot;[20]&quot;,&quot;manualOverrideText&quot;:&quot;&quot;},&quot;citationTag&quot;:&quot;MENDELEY_CITATION_v3_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&quot;,&quot;citationItems&quot;:[{&quot;id&quot;:&quot;aaa3f66a-bf5f-3cfb-a3b0-f2c072e01d5b&quot;,&quot;itemData&quot;:{&quot;type&quot;:&quot;report&quot;,&quot;id&quot;:&quot;aaa3f66a-bf5f-3cfb-a3b0-f2c072e01d5b&quot;,&quot;title&quot;:&quot;The state of post-quantum cryptography on the web&quot;,&quot;author&quot;:[{&quot;family&quot;:&quot;Labs&quot;,&quot;given&quot;:&quot;F5&quot;,&quot;parse-names&quot;:false,&quot;dropping-particle&quot;:&quot;&quot;,&quot;non-dropping-particle&quot;:&quot;&quot;}],&quot;issued&quot;:{&quot;date-parts&quot;:[[2023,11]]},&quot;container-title-short&quot;:&quot;&quot;},&quot;isTemporary&quot;:false}]},{&quot;citationID&quot;:&quot;MENDELEY_CITATION_4bd54f34-05b5-44b8-a09c-1bef0c0722bc&quot;,&quot;properties&quot;:{&quot;noteIndex&quot;:0},&quot;isEdited&quot;:false,&quot;manualOverride&quot;:{&quot;isManuallyOverridden&quot;:false,&quot;citeprocText&quot;:&quot;[16], [28]&quot;,&quot;manualOverrideText&quot;:&quot;&quot;},&quot;citationTag&quot;:&quot;MENDELEY_CITATION_v3_eyJjaXRhdGlvbklEIjoiTUVOREVMRVlfQ0lUQVRJT05fNGJkNTRmMzQtMDViNS00NGI4LWEwOWMtMWJlZjBjMDcyMmJjIiwicHJvcGVydGllcyI6eyJub3RlSW5kZXgiOjB9LCJpc0VkaXRlZCI6ZmFsc2UsIm1hbnVhbE92ZXJyaWRlIjp7ImlzTWFudWFsbHlPdmVycmlkZGVuIjpmYWxzZSwiY2l0ZXByb2NUZXh0IjoiWzE2XSwgWzI4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d4e9636a-cfaf-44b3-8204-0a18df03d9bc&quot;,&quot;properties&quot;:{&quot;noteIndex&quot;:0},&quot;isEdited&quot;:false,&quot;manualOverride&quot;:{&quot;isManuallyOverridden&quot;:false,&quot;citeprocText&quot;:&quot;[28]&quot;,&quot;manualOverrideText&quot;:&quot;&quot;},&quot;citationTag&quot;:&quot;MENDELEY_CITATION_v3_eyJjaXRhdGlvbklEIjoiTUVOREVMRVlfQ0lUQVRJT05fZDRlOTYzNmEtY2ZhZi00NGIzLTgyMDQtMGExOGRmMDNkOWJjIiwicHJvcGVydGllcyI6eyJub3RlSW5kZXgiOjB9LCJpc0VkaXRlZCI6ZmFsc2UsIm1hbnVhbE92ZXJyaWRlIjp7ImlzTWFudWFsbHlPdmVycmlkZGVuIjpmYWxzZSwiY2l0ZXByb2NUZXh0IjoiWzI4XSIsIm1hbnVhbE92ZXJyaWRlVGV4dCI6IiJ9LCJjaXRhdGlvbkl0ZW1zIjpb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275135ad-0c13-49a2-bd71-6155edef810f&quot;,&quot;properties&quot;:{&quot;noteIndex&quot;:0},&quot;isEdited&quot;:false,&quot;manualOverride&quot;:{&quot;isManuallyOverridden&quot;:false,&quot;citeprocText&quot;:&quot;[2]&quot;,&quot;manualOverrideText&quot;:&quot;&quot;},&quot;citationTag&quot;:&quot;MENDELEY_CITATION_v3_eyJjaXRhdGlvbklEIjoiTUVOREVMRVlfQ0lUQVRJT05fMjc1MTM1YWQtMGMxMy00OWEyLWJkNzEtNjE1NWVkZWY4MTBm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V19&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citationID&quot;:&quot;MENDELEY_CITATION_c9d10c48-95ec-4832-9566-abd6c369d8e9&quot;,&quot;properties&quot;:{&quot;noteIndex&quot;:0},&quot;isEdited&quot;:false,&quot;manualOverride&quot;:{&quot;isManuallyOverridden&quot;:false,&quot;citeprocText&quot;:&quot;[13]&quot;,&quot;manualOverrideText&quot;:&quot;&quot;},&quot;citationTag&quot;:&quot;MENDELEY_CITATION_v3_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&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citationID&quot;:&quot;MENDELEY_CITATION_ba9a4b84-cfbb-452f-8653-c8e136318f2d&quot;,&quot;properties&quot;:{&quot;noteIndex&quot;:0},&quot;isEdited&quot;:false,&quot;manualOverride&quot;:{&quot;isManuallyOverridden&quot;:false,&quot;citeprocText&quot;:&quot;[16], [28]&quot;,&quot;manualOverrideText&quot;:&quot;&quot;},&quot;citationTag&quot;:&quot;MENDELEY_CITATION_v3_eyJjaXRhdGlvbklEIjoiTUVOREVMRVlfQ0lUQVRJT05fYmE5YTRiODQtY2ZiYi00NTJmLTg2NTMtYzhlMTM2MzE4ZjJkIiwicHJvcGVydGllcyI6eyJub3RlSW5kZXgiOjB9LCJpc0VkaXRlZCI6ZmFsc2UsIm1hbnVhbE92ZXJyaWRlIjp7ImlzTWFudWFsbHlPdmVycmlkZGVuIjpmYWxzZSwiY2l0ZXByb2NUZXh0IjoiWzE2XSwgWzI4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0bd64d01-2dc8-4bc1-8d88-02d818e40faa&quot;,&quot;properties&quot;:{&quot;noteIndex&quot;:0},&quot;isEdited&quot;:false,&quot;manualOverride&quot;:{&quot;isManuallyOverridden&quot;:false,&quot;citeprocText&quot;:&quot;[16], [21]&quot;,&quot;manualOverrideText&quot;:&quot;&quot;},&quot;citationTag&quot;:&quot;MENDELEY_CITATION_v3_eyJjaXRhdGlvbklEIjoiTUVOREVMRVlfQ0lUQVRJT05fMGJkNjRkMDEtMmRjOC00YmMxLThkODgtMDJkODE4ZTQwZmFhIiwicHJvcGVydGllcyI6eyJub3RlSW5kZXgiOjB9LCJpc0VkaXRlZCI6ZmFsc2UsIm1hbnVhbE92ZXJyaWRlIjp7ImlzTWFudWFsbHlPdmVycmlkZGVuIjpmYWxzZSwiY2l0ZXByb2NUZXh0IjoiWzE2XSwgWzIx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A4YjAwYjBkLTI2MDctMzhlNS04ZWI2LTU3N2UxOGQ4NzE4YiIsIml0ZW1EYXRhIjp7InR5cGUiOiJyZXBvcnQiLCJpZCI6IjA4YjAwYjBkLTI2MDctMzhlNS04ZWI2LTU3N2UxOGQ4NzE4YiIsInRpdGxlIjoiUXVhbnR1bSBhdHRhY2sgc2ltdWxhdGlvbnMgb24gVExTIGhhbmRzaGFrZXMiLCJhdXRob3IiOlt7ImZhbWlseSI6IlRlYW0iLCJnaXZlbiI6IkkgQiBNIFF1YW50dW0iLCJwYXJzZS1uYW1lcyI6ZmFsc2UsImRyb3BwaW5nLXBhcnRpY2xlIjoiIiwibm9uLWRyb3BwaW5nLXBhcnRpY2xlIjoiIn1dLCJpc3N1ZWQiOnsiZGF0ZS1wYXJ0cyI6W1syMDIzXV19LCJjb250YWluZXItdGl0bGUtc2hvcnQiOiIifSwiaXNUZW1wb3JhcnkiOmZhbHNlfV19&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08b00b0d-2607-38e5-8eb6-577e18d8718b&quot;,&quot;itemData&quot;:{&quot;type&quot;:&quot;report&quot;,&quot;id&quot;:&quot;08b00b0d-2607-38e5-8eb6-577e18d8718b&quot;,&quot;title&quot;:&quot;Quantum attack simulations on TLS handshakes&quot;,&quot;author&quot;:[{&quot;family&quot;:&quot;Team&quot;,&quot;given&quot;:&quot;I B M Quantum&quot;,&quot;parse-names&quot;:false,&quot;dropping-particle&quot;:&quot;&quot;,&quot;non-dropping-particle&quot;:&quot;&quot;}],&quot;issued&quot;:{&quot;date-parts&quot;:[[2023]]},&quot;container-title-short&quot;:&quot;&quot;},&quot;isTemporary&quot;:false}]},{&quot;citationID&quot;:&quot;MENDELEY_CITATION_799115e4-a265-4d43-9385-e95874012b6d&quot;,&quot;properties&quot;:{&quot;noteIndex&quot;:0},&quot;isEdited&quot;:false,&quot;manualOverride&quot;:{&quot;isManuallyOverridden&quot;:false,&quot;citeprocText&quot;:&quot;[16], [17]&quot;,&quot;manualOverrideText&quot;:&quot;&quot;},&quot;citationTag&quot;:&quot;MENDELEY_CITATION_v3_eyJjaXRhdGlvbklEIjoiTUVOREVMRVlfQ0lUQVRJT05fNzk5MTE1ZTQtYTI2NS00ZDQzLTkzODUtZTk1ODc0MDEyYjZkIiwicHJvcGVydGllcyI6eyJub3RlSW5kZXgiOjB9LCJpc0VkaXRlZCI6ZmFsc2UsIm1hbnVhbE92ZXJyaWRlIjp7ImlzTWFudWFsbHlPdmVycmlkZGVuIjpmYWxzZSwiY2l0ZXByb2NUZXh0IjoiWzE2XSwgWzE3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i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ec228156-3093-4d11-aa63-b2b221a1bdb0&quot;,&quot;properties&quot;:{&quot;noteIndex&quot;:0},&quot;isEdited&quot;:false,&quot;manualOverride&quot;:{&quot;isManuallyOverridden&quot;:false,&quot;citeprocText&quot;:&quot;[9], [24]&quot;,&quot;manualOverrideText&quot;:&quot;&quot;},&quot;citationTag&quot;:&quot;MENDELEY_CITATION_v3_eyJjaXRhdGlvbklEIjoiTUVOREVMRVlfQ0lUQVRJT05fZWMyMjgxNTYtMzA5My00ZDExLWFhNjMtYjJiMjIxYTFiZGIwIiwicHJvcGVydGllcyI6eyJub3RlSW5kZXgiOjB9LCJpc0VkaXRlZCI6ZmFsc2UsIm1hbnVhbE92ZXJyaWRlIjp7ImlzTWFudWFsbHlPdmVycmlkZGVuIjpmYWxzZSwiY2l0ZXByb2NUZXh0IjoiWzldLCBbMjR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ID&quot;:&quot;MENDELEY_CITATION_8d987101-a50d-497a-be55-523a53da0415&quot;,&quot;properties&quot;:{&quot;noteIndex&quot;:0},&quot;isEdited&quot;:false,&quot;manualOverride&quot;:{&quot;isManuallyOverridden&quot;:false,&quot;citeprocText&quot;:&quot;[2], [19]&quot;,&quot;manualOverrideText&quot;:&quot;&quot;},&quot;citationTag&quot;:&quot;MENDELEY_CITATION_v3_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V9XX0=&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61</Pages>
  <Words>10980</Words>
  <Characters>62590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28</cp:revision>
  <cp:lastPrinted>2026-08-28T08:00:00Z</cp:lastPrinted>
  <dcterms:created xsi:type="dcterms:W3CDTF">2026-08-28T09:22:00Z</dcterms:created>
  <dcterms:modified xsi:type="dcterms:W3CDTF">2026-09-06T17:34:00Z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