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44"/>
          <w:szCs w:val="44"/>
        </w:rPr>
        <w:t xml:space="preserve">Anaplan to Flexera One</w:t>
      </w:r>
    </w:p>
    <w:p>
      <w:pPr>
        <w:pBdr>
          <w:bottom w:val="single" w:color="1F3864" w:sz="12" w:space="10"/>
        </w:pBdr>
        <w:spacing w:after="200"/>
      </w:pPr>
      <w:r>
        <w:rPr>
          <w:rFonts w:ascii="Calibri" w:cs="Calibri" w:eastAsia="Calibri" w:hAnsi="Calibri"/>
          <w:color w:val="595959"/>
          <w:sz w:val="30"/>
          <w:szCs w:val="30"/>
        </w:rPr>
        <w:t xml:space="preserve">Effective Licence Position — API Specification</w:t>
      </w:r>
    </w:p>
    <w:tbl>
      <w:tblPr>
        <w:tblW w:type="dxa" w:w="9000"/>
        <w:tblBorders>
          <w:top w:val="single" w:color="BFC9D9" w:sz="4"/>
          <w:left w:val="single" w:color="BFC9D9" w:sz="4"/>
          <w:bottom w:val="single" w:color="BFC9D9" w:sz="4"/>
          <w:right w:val="single" w:color="BFC9D9" w:sz="4"/>
          <w:insideH w:val="single" w:color="BFC9D9" w:sz="4"/>
          <w:insideV w:val="single" w:color="BFC9D9" w:sz="4"/>
        </w:tblBorders>
        <w:tblLayout w:type="fixed"/>
      </w:tblPr>
      <w:tblGrid>
        <w:gridCol w:w="1900"/>
        <w:gridCol w:w="7100"/>
      </w:tblGrid>
      <w:tr>
        <w:trPr>
          <w:tblHeader/>
        </w:trPr>
        <w:tc>
          <w:tcPr>
            <w:tcW w:type="dxa" w:w="1900"/>
            <w:shd w:fill="1F3864" w:val="clear"/>
            <w:tcMar>
              <w:top w:type="dxa" w:w="60"/>
              <w:left w:type="dxa" w:w="110"/>
              <w:bottom w:type="dxa" w:w="60"/>
              <w:right w:type="dxa" w:w="110"/>
            </w:tcMar>
          </w:tcPr>
          <w:p>
            <w:pPr>
              <w:spacing w:after="50" w:before="50" w:line="260"/>
            </w:pPr>
            <w:r>
              <w:rPr>
                <w:rFonts w:ascii="Calibri" w:cs="Calibri" w:eastAsia="Calibri" w:hAnsi="Calibri"/>
                <w:b/>
                <w:bCs/>
                <w:color w:val="FFFFFF"/>
                <w:sz w:val="19"/>
                <w:szCs w:val="19"/>
              </w:rPr>
              <w:t xml:space="preserve">Field</w:t>
            </w:r>
          </w:p>
        </w:tc>
        <w:tc>
          <w:tcPr>
            <w:tcW w:type="dxa" w:w="7100"/>
            <w:shd w:fill="1F3864" w:val="clear"/>
            <w:tcMar>
              <w:top w:type="dxa" w:w="60"/>
              <w:left w:type="dxa" w:w="110"/>
              <w:bottom w:type="dxa" w:w="60"/>
              <w:right w:type="dxa" w:w="110"/>
            </w:tcMar>
          </w:tcPr>
          <w:p>
            <w:pPr>
              <w:spacing w:after="50" w:before="50" w:line="260"/>
            </w:pPr>
            <w:r>
              <w:rPr>
                <w:rFonts w:ascii="Calibri" w:cs="Calibri" w:eastAsia="Calibri" w:hAnsi="Calibri"/>
                <w:b/>
                <w:bCs/>
                <w:color w:val="FFFFFF"/>
                <w:sz w:val="19"/>
                <w:szCs w:val="19"/>
              </w:rPr>
              <w:t xml:space="preserve">Detail</w:t>
            </w:r>
          </w:p>
        </w:tc>
      </w:tr>
      <w:tr>
        <w:trPr>
          <w:tblHeader w:val="false"/>
        </w:trPr>
        <w:tc>
          <w:tcPr>
            <w:tcW w:type="dxa" w:w="19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Purpose</w:t>
            </w:r>
          </w:p>
        </w:tc>
        <w:tc>
          <w:tcPr>
            <w:tcW w:type="dxa" w:w="71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Define the Anaplan APIs required to extract nine user and licence attributes into Flexera One for an Effective Licence Position.</w:t>
            </w:r>
          </w:p>
        </w:tc>
      </w:tr>
      <w:tr>
        <w:trPr>
          <w:tblHeader w:val="false"/>
        </w:trPr>
        <w:tc>
          <w:tcPr>
            <w:tcW w:type="dxa" w:w="19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Scope</w:t>
            </w:r>
          </w:p>
        </w:tc>
        <w:tc>
          <w:tcPr>
            <w:tcW w:type="dxa" w:w="71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Authentication layer, user and licence data extraction, CSV output. Anaplan is the licensed product being measured.</w:t>
            </w:r>
          </w:p>
        </w:tc>
      </w:tr>
      <w:tr>
        <w:trPr>
          <w:tblHeader w:val="false"/>
        </w:trPr>
        <w:tc>
          <w:tcPr>
            <w:tcW w:type="dxa" w:w="19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Status</w:t>
            </w:r>
          </w:p>
        </w:tc>
        <w:tc>
          <w:tcPr>
            <w:tcW w:type="dxa" w:w="71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Draft for review. Items marked ⚠ require confirmation in the client tenant.</w:t>
            </w:r>
          </w:p>
        </w:tc>
      </w:tr>
      <w:tr>
        <w:trPr>
          <w:tblHeader w:val="false"/>
        </w:trPr>
        <w:tc>
          <w:tcPr>
            <w:tcW w:type="dxa" w:w="19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Date</w:t>
            </w:r>
          </w:p>
        </w:tc>
        <w:tc>
          <w:tcPr>
            <w:tcW w:type="dxa" w:w="71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August 2026</w:t>
            </w:r>
          </w:p>
        </w:tc>
      </w:tr>
    </w:tbl>
    <w:p>
      <w:pPr>
        <w:spacing w:after="160"/>
      </w:pPr>
    </w:p>
    <w:p>
      <w:pPr>
        <w:spacing w:after="120" w:line="276"/>
      </w:pPr>
      <w:r>
        <w:rPr>
          <w:rFonts w:ascii="Calibri" w:cs="Calibri" w:eastAsia="Calibri" w:hAnsi="Calibri"/>
          <w:i/>
          <w:iCs/>
          <w:color w:val="595959"/>
          <w:sz w:val="21"/>
          <w:szCs w:val="21"/>
        </w:rPr>
        <w:t xml:space="preserve">All statements in this document are referenced to Anaplan's published documentation. Reference codes appear in square brackets and resolve in Section 10.</w:t>
      </w:r>
    </w:p>
    <w:p>
      <w:pPr>
        <w:pStyle w:val="Heading1"/>
        <w:pBdr>
          <w:bottom w:val="single" w:color="BFC9D9" w:sz="8" w:space="6"/>
        </w:pBdr>
        <w:spacing w:after="160" w:before="360"/>
      </w:pPr>
      <w:r>
        <w:rPr>
          <w:rFonts w:ascii="Calibri" w:cs="Calibri" w:eastAsia="Calibri" w:hAnsi="Calibri"/>
          <w:b/>
          <w:bCs/>
          <w:color w:val="1F3864"/>
          <w:sz w:val="28"/>
          <w:szCs w:val="28"/>
        </w:rPr>
        <w:t xml:space="preserve">1. Summary</w:t>
      </w:r>
    </w:p>
    <w:p>
      <w:pPr>
        <w:spacing w:after="120" w:line="276"/>
      </w:pPr>
      <w:r>
        <w:rPr>
          <w:rFonts w:ascii="Calibri" w:cs="Calibri" w:eastAsia="Calibri" w:hAnsi="Calibri"/>
          <w:color w:val="1A1A1A"/>
          <w:sz w:val="21"/>
          <w:szCs w:val="21"/>
        </w:rPr>
        <w:t xml:space="preserve">Nine attributes are in scope. They are sourced from three Anaplan API surfaces, with two attributes derived during transformation.</w:t>
      </w:r>
    </w:p>
    <w:p>
      <w:pPr>
        <w:spacing w:after="160"/>
      </w:pPr>
    </w:p>
    <w:tbl>
      <w:tblPr>
        <w:tblW w:type="dxa" w:w="9000"/>
        <w:tblBorders>
          <w:top w:val="single" w:color="BFC9D9" w:sz="4"/>
          <w:left w:val="single" w:color="BFC9D9" w:sz="4"/>
          <w:bottom w:val="single" w:color="BFC9D9" w:sz="4"/>
          <w:right w:val="single" w:color="BFC9D9" w:sz="4"/>
          <w:insideH w:val="single" w:color="BFC9D9" w:sz="4"/>
          <w:insideV w:val="single" w:color="BFC9D9" w:sz="4"/>
        </w:tblBorders>
        <w:tblLayout w:type="fixed"/>
      </w:tblPr>
      <w:tblGrid>
        <w:gridCol w:w="3400"/>
        <w:gridCol w:w="2400"/>
        <w:gridCol w:w="3200"/>
      </w:tblGrid>
      <w:tr>
        <w:trPr>
          <w:tblHeader/>
        </w:trPr>
        <w:tc>
          <w:tcPr>
            <w:tcW w:type="dxa" w:w="3400"/>
            <w:shd w:fill="1F3864" w:val="clear"/>
            <w:tcMar>
              <w:top w:type="dxa" w:w="60"/>
              <w:left w:type="dxa" w:w="110"/>
              <w:bottom w:type="dxa" w:w="60"/>
              <w:right w:type="dxa" w:w="110"/>
            </w:tcMar>
          </w:tcPr>
          <w:p>
            <w:pPr>
              <w:spacing w:after="50" w:before="50" w:line="260"/>
            </w:pPr>
            <w:r>
              <w:rPr>
                <w:rFonts w:ascii="Calibri" w:cs="Calibri" w:eastAsia="Calibri" w:hAnsi="Calibri"/>
                <w:b/>
                <w:bCs/>
                <w:color w:val="FFFFFF"/>
                <w:sz w:val="19"/>
                <w:szCs w:val="19"/>
              </w:rPr>
              <w:t xml:space="preserve">Source</w:t>
            </w:r>
          </w:p>
        </w:tc>
        <w:tc>
          <w:tcPr>
            <w:tcW w:type="dxa" w:w="2400"/>
            <w:shd w:fill="1F3864" w:val="clear"/>
            <w:tcMar>
              <w:top w:type="dxa" w:w="60"/>
              <w:left w:type="dxa" w:w="110"/>
              <w:bottom w:type="dxa" w:w="60"/>
              <w:right w:type="dxa" w:w="110"/>
            </w:tcMar>
          </w:tcPr>
          <w:p>
            <w:pPr>
              <w:spacing w:after="50" w:before="50" w:line="260"/>
            </w:pPr>
            <w:r>
              <w:rPr>
                <w:rFonts w:ascii="Calibri" w:cs="Calibri" w:eastAsia="Calibri" w:hAnsi="Calibri"/>
                <w:b/>
                <w:bCs/>
                <w:color w:val="FFFFFF"/>
                <w:sz w:val="19"/>
                <w:szCs w:val="19"/>
              </w:rPr>
              <w:t xml:space="preserve">Attributes delivered</w:t>
            </w:r>
          </w:p>
        </w:tc>
        <w:tc>
          <w:tcPr>
            <w:tcW w:type="dxa" w:w="3200"/>
            <w:shd w:fill="1F3864" w:val="clear"/>
            <w:tcMar>
              <w:top w:type="dxa" w:w="60"/>
              <w:left w:type="dxa" w:w="110"/>
              <w:bottom w:type="dxa" w:w="60"/>
              <w:right w:type="dxa" w:w="110"/>
            </w:tcMar>
          </w:tcPr>
          <w:p>
            <w:pPr>
              <w:spacing w:after="50" w:before="50" w:line="260"/>
            </w:pPr>
            <w:r>
              <w:rPr>
                <w:rFonts w:ascii="Calibri" w:cs="Calibri" w:eastAsia="Calibri" w:hAnsi="Calibri"/>
                <w:b/>
                <w:bCs/>
                <w:color w:val="FFFFFF"/>
                <w:sz w:val="19"/>
                <w:szCs w:val="19"/>
              </w:rPr>
              <w:t xml:space="preserve">Note</w:t>
            </w:r>
          </w:p>
        </w:tc>
      </w:tr>
      <w:tr>
        <w:trPr>
          <w:tblHeader w:val="false"/>
        </w:trPr>
        <w:tc>
          <w:tcPr>
            <w:tcW w:type="dxa" w:w="34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Integration API v2</w:t>
            </w:r>
          </w:p>
        </w:tc>
        <w:tc>
          <w:tcPr>
            <w:tcW w:type="dxa" w:w="24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User ID, User State, Assigned Zone</w:t>
            </w:r>
          </w:p>
        </w:tc>
        <w:tc>
          <w:tcPr>
            <w:tcW w:type="dxa" w:w="32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Tenant-wide roster in a single call</w:t>
            </w:r>
          </w:p>
        </w:tc>
      </w:tr>
      <w:tr>
        <w:trPr>
          <w:tblHeader w:val="false"/>
        </w:trPr>
        <w:tc>
          <w:tcPr>
            <w:tcW w:type="dxa" w:w="34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Administration API — Export Users</w:t>
            </w:r>
          </w:p>
        </w:tc>
        <w:tc>
          <w:tcPr>
            <w:tcW w:type="dxa" w:w="24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Licence Type, Licence State, Last Active Date</w:t>
            </w:r>
          </w:p>
        </w:tc>
        <w:tc>
          <w:tcPr>
            <w:tcW w:type="dxa" w:w="32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 Endpoint path to be confirmed</w:t>
            </w:r>
          </w:p>
        </w:tc>
      </w:tr>
      <w:tr>
        <w:trPr>
          <w:tblHeader w:val="false"/>
        </w:trPr>
        <w:tc>
          <w:tcPr>
            <w:tcW w:type="dxa" w:w="34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SCIM API</w:t>
            </w:r>
          </w:p>
        </w:tc>
        <w:tc>
          <w:tcPr>
            <w:tcW w:type="dxa" w:w="24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Account Creation Date</w:t>
            </w:r>
          </w:p>
        </w:tc>
        <w:tc>
          <w:tcPr>
            <w:tcW w:type="dxa" w:w="32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Requires Enterprise tier and SSO</w:t>
            </w:r>
          </w:p>
        </w:tc>
      </w:tr>
      <w:tr>
        <w:trPr>
          <w:tblHeader w:val="false"/>
        </w:trPr>
        <w:tc>
          <w:tcPr>
            <w:tcW w:type="dxa" w:w="34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Derived in transform</w:t>
            </w:r>
          </w:p>
        </w:tc>
        <w:tc>
          <w:tcPr>
            <w:tcW w:type="dxa" w:w="24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User Type, Last Model Activity Date</w:t>
            </w:r>
          </w:p>
        </w:tc>
        <w:tc>
          <w:tcPr>
            <w:tcW w:type="dxa" w:w="32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No Anaplan equivalent exists</w:t>
            </w:r>
          </w:p>
        </w:tc>
      </w:tr>
    </w:tbl>
    <w:p>
      <w:pPr>
        <w:spacing w:after="160"/>
      </w:pPr>
    </w:p>
    <w:p>
      <w:pPr>
        <w:spacing w:after="120" w:line="276"/>
      </w:pPr>
      <w:r>
        <w:rPr>
          <w:rFonts w:ascii="Calibri" w:cs="Calibri" w:eastAsia="Calibri" w:hAnsi="Calibri"/>
          <w:color w:val="1A1A1A"/>
          <w:sz w:val="21"/>
          <w:szCs w:val="21"/>
        </w:rPr>
        <w:t xml:space="preserve">The Integration API v2 user object contains id, userName and active only. It carries no licence attributes and no timestamps, which is why two further surfaces are required. [R6] [R9]</w:t>
      </w:r>
    </w:p>
    <w:p>
      <w:pPr>
        <w:pStyle w:val="Heading1"/>
        <w:pBdr>
          <w:bottom w:val="single" w:color="BFC9D9" w:sz="8" w:space="6"/>
        </w:pBdr>
        <w:spacing w:after="160" w:before="360"/>
      </w:pPr>
      <w:r>
        <w:rPr>
          <w:rFonts w:ascii="Calibri" w:cs="Calibri" w:eastAsia="Calibri" w:hAnsi="Calibri"/>
          <w:b/>
          <w:bCs/>
          <w:color w:val="1F3864"/>
          <w:sz w:val="28"/>
          <w:szCs w:val="28"/>
        </w:rPr>
        <w:t xml:space="preserve">2. Authentication</w:t>
      </w:r>
    </w:p>
    <w:p>
      <w:pPr>
        <w:spacing w:after="120" w:line="276"/>
      </w:pPr>
      <w:r>
        <w:rPr>
          <w:rFonts w:ascii="Calibri" w:cs="Calibri" w:eastAsia="Calibri" w:hAnsi="Calibri"/>
          <w:color w:val="1A1A1A"/>
          <w:sz w:val="21"/>
          <w:szCs w:val="21"/>
        </w:rPr>
        <w:t xml:space="preserve">All authentication calls are made against https://auth.anaplan.com. No data extraction is possible without a valid token.</w:t>
      </w:r>
    </w:p>
    <w:p>
      <w:pPr>
        <w:spacing w:after="160"/>
      </w:pPr>
    </w:p>
    <w:tbl>
      <w:tblPr>
        <w:tblW w:type="dxa" w:w="9000"/>
        <w:tblBorders>
          <w:top w:val="single" w:color="BFC9D9" w:sz="4"/>
          <w:left w:val="single" w:color="BFC9D9" w:sz="4"/>
          <w:bottom w:val="single" w:color="BFC9D9" w:sz="4"/>
          <w:right w:val="single" w:color="BFC9D9" w:sz="4"/>
          <w:insideH w:val="single" w:color="BFC9D9" w:sz="4"/>
          <w:insideV w:val="single" w:color="BFC9D9" w:sz="4"/>
        </w:tblBorders>
        <w:tblLayout w:type="fixed"/>
      </w:tblPr>
      <w:tblGrid>
        <w:gridCol w:w="2600"/>
        <w:gridCol w:w="6400"/>
      </w:tblGrid>
      <w:tr>
        <w:trPr>
          <w:tblHeader/>
        </w:trPr>
        <w:tc>
          <w:tcPr>
            <w:tcW w:type="dxa" w:w="2600"/>
            <w:shd w:fill="1F3864" w:val="clear"/>
            <w:tcMar>
              <w:top w:type="dxa" w:w="60"/>
              <w:left w:type="dxa" w:w="110"/>
              <w:bottom w:type="dxa" w:w="60"/>
              <w:right w:type="dxa" w:w="110"/>
            </w:tcMar>
          </w:tcPr>
          <w:p>
            <w:pPr>
              <w:spacing w:after="50" w:before="50" w:line="260"/>
            </w:pPr>
            <w:r>
              <w:rPr>
                <w:rFonts w:ascii="Calibri" w:cs="Calibri" w:eastAsia="Calibri" w:hAnsi="Calibri"/>
                <w:b/>
                <w:bCs/>
                <w:color w:val="FFFFFF"/>
                <w:sz w:val="19"/>
                <w:szCs w:val="19"/>
              </w:rPr>
              <w:t xml:space="preserve">Purpose</w:t>
            </w:r>
          </w:p>
        </w:tc>
        <w:tc>
          <w:tcPr>
            <w:tcW w:type="dxa" w:w="6400"/>
            <w:shd w:fill="1F3864" w:val="clear"/>
            <w:tcMar>
              <w:top w:type="dxa" w:w="60"/>
              <w:left w:type="dxa" w:w="110"/>
              <w:bottom w:type="dxa" w:w="60"/>
              <w:right w:type="dxa" w:w="110"/>
            </w:tcMar>
          </w:tcPr>
          <w:p>
            <w:pPr>
              <w:spacing w:after="50" w:before="50" w:line="260"/>
            </w:pPr>
            <w:r>
              <w:rPr>
                <w:rFonts w:ascii="Calibri" w:cs="Calibri" w:eastAsia="Calibri" w:hAnsi="Calibri"/>
                <w:b/>
                <w:bCs/>
                <w:color w:val="FFFFFF"/>
                <w:sz w:val="19"/>
                <w:szCs w:val="19"/>
              </w:rPr>
              <w:t xml:space="preserve">Endpoint</w:t>
            </w:r>
          </w:p>
        </w:tc>
      </w:tr>
      <w:tr>
        <w:trPr>
          <w:tblHeader w:val="false"/>
        </w:trPr>
        <w:tc>
          <w:tcPr>
            <w:tcW w:type="dxa" w:w="26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Create token (basic)</w:t>
            </w:r>
          </w:p>
        </w:tc>
        <w:tc>
          <w:tcPr>
            <w:tcW w:type="dxa" w:w="6400"/>
            <w:shd w:fill="FFFFFF" w:val="clear"/>
            <w:tcMar>
              <w:top w:type="dxa" w:w="60"/>
              <w:left w:type="dxa" w:w="110"/>
              <w:bottom w:type="dxa" w:w="60"/>
              <w:right w:type="dxa" w:w="110"/>
            </w:tcMar>
          </w:tcPr>
          <w:p>
            <w:pPr>
              <w:spacing w:after="50" w:before="50" w:line="260"/>
            </w:pPr>
            <w:r>
              <w:rPr>
                <w:rFonts w:ascii="Consolas" w:cs="Consolas" w:eastAsia="Consolas" w:hAnsi="Consolas"/>
                <w:color w:val="1A1A1A"/>
                <w:sz w:val="16"/>
                <w:szCs w:val="16"/>
              </w:rPr>
              <w:t xml:space="preserve">POST /token/authenticate</w:t>
            </w:r>
            <w:r>
              <w:rPr>
                <w:rFonts w:ascii="Calibri" w:cs="Calibri" w:eastAsia="Calibri" w:hAnsi="Calibri"/>
                <w:color w:val="1A1A1A"/>
                <w:sz w:val="19"/>
                <w:szCs w:val="19"/>
              </w:rPr>
              <w:t xml:space="preserve">  with --user {user}:'{password}'</w:t>
            </w:r>
          </w:p>
        </w:tc>
      </w:tr>
      <w:tr>
        <w:trPr>
          <w:tblHeader w:val="false"/>
        </w:trPr>
        <w:tc>
          <w:tcPr>
            <w:tcW w:type="dxa" w:w="26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Create token (certificate)</w:t>
            </w:r>
          </w:p>
        </w:tc>
        <w:tc>
          <w:tcPr>
            <w:tcW w:type="dxa" w:w="6400"/>
            <w:shd w:fill="FFFFFF" w:val="clear"/>
            <w:tcMar>
              <w:top w:type="dxa" w:w="60"/>
              <w:left w:type="dxa" w:w="110"/>
              <w:bottom w:type="dxa" w:w="60"/>
              <w:right w:type="dxa" w:w="110"/>
            </w:tcMar>
          </w:tcPr>
          <w:p>
            <w:pPr>
              <w:spacing w:after="50" w:before="50" w:line="260"/>
            </w:pPr>
            <w:r>
              <w:rPr>
                <w:rFonts w:ascii="Consolas" w:cs="Consolas" w:eastAsia="Consolas" w:hAnsi="Consolas"/>
                <w:color w:val="1A1A1A"/>
                <w:sz w:val="16"/>
                <w:szCs w:val="16"/>
              </w:rPr>
              <w:t xml:space="preserve">POST /token/authenticate</w:t>
            </w:r>
            <w:r>
              <w:rPr>
                <w:rFonts w:ascii="Calibri" w:cs="Calibri" w:eastAsia="Calibri" w:hAnsi="Calibri"/>
                <w:color w:val="1A1A1A"/>
                <w:sz w:val="19"/>
                <w:szCs w:val="19"/>
              </w:rPr>
              <w:t xml:space="preserve">  header Authorization: CACertificate {base64 PEM}</w:t>
            </w:r>
          </w:p>
        </w:tc>
      </w:tr>
      <w:tr>
        <w:trPr>
          <w:tblHeader w:val="false"/>
        </w:trPr>
        <w:tc>
          <w:tcPr>
            <w:tcW w:type="dxa" w:w="26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Refresh token</w:t>
            </w:r>
          </w:p>
        </w:tc>
        <w:tc>
          <w:tcPr>
            <w:tcW w:type="dxa" w:w="6400"/>
            <w:shd w:fill="FFFFFF" w:val="clear"/>
            <w:tcMar>
              <w:top w:type="dxa" w:w="60"/>
              <w:left w:type="dxa" w:w="110"/>
              <w:bottom w:type="dxa" w:w="60"/>
              <w:right w:type="dxa" w:w="110"/>
            </w:tcMar>
          </w:tcPr>
          <w:p>
            <w:pPr>
              <w:spacing w:after="50" w:before="50" w:line="260"/>
            </w:pPr>
            <w:r>
              <w:rPr>
                <w:rFonts w:ascii="Consolas" w:cs="Consolas" w:eastAsia="Consolas" w:hAnsi="Consolas"/>
                <w:color w:val="1A1A1A"/>
                <w:sz w:val="16"/>
                <w:szCs w:val="16"/>
              </w:rPr>
              <w:t xml:space="preserve">POST /token/refresh</w:t>
            </w:r>
            <w:r>
              <w:rPr>
                <w:rFonts w:ascii="Calibri" w:cs="Calibri" w:eastAsia="Calibri" w:hAnsi="Calibri"/>
                <w:color w:val="1A1A1A"/>
                <w:sz w:val="19"/>
                <w:szCs w:val="19"/>
              </w:rPr>
              <w:t xml:space="preserve">  header Authorization: AnaplanAuthToken {token}</w:t>
            </w:r>
          </w:p>
        </w:tc>
      </w:tr>
      <w:tr>
        <w:trPr>
          <w:tblHeader w:val="false"/>
        </w:trPr>
        <w:tc>
          <w:tcPr>
            <w:tcW w:type="dxa" w:w="26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Validate token</w:t>
            </w:r>
          </w:p>
        </w:tc>
        <w:tc>
          <w:tcPr>
            <w:tcW w:type="dxa" w:w="6400"/>
            <w:shd w:fill="FFFFFF" w:val="clear"/>
            <w:tcMar>
              <w:top w:type="dxa" w:w="60"/>
              <w:left w:type="dxa" w:w="110"/>
              <w:bottom w:type="dxa" w:w="60"/>
              <w:right w:type="dxa" w:w="110"/>
            </w:tcMar>
          </w:tcPr>
          <w:p>
            <w:pPr>
              <w:spacing w:after="50" w:before="50" w:line="260"/>
            </w:pPr>
            <w:r>
              <w:rPr>
                <w:rFonts w:ascii="Consolas" w:cs="Consolas" w:eastAsia="Consolas" w:hAnsi="Consolas"/>
                <w:color w:val="1A1A1A"/>
                <w:sz w:val="16"/>
                <w:szCs w:val="16"/>
              </w:rPr>
              <w:t xml:space="preserve">GET /token/validate</w:t>
            </w:r>
          </w:p>
        </w:tc>
      </w:tr>
      <w:tr>
        <w:trPr>
          <w:tblHeader w:val="false"/>
        </w:trPr>
        <w:tc>
          <w:tcPr>
            <w:tcW w:type="dxa" w:w="26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Logout</w:t>
            </w:r>
          </w:p>
        </w:tc>
        <w:tc>
          <w:tcPr>
            <w:tcW w:type="dxa" w:w="64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Issued at end of each run</w:t>
            </w:r>
          </w:p>
        </w:tc>
      </w:tr>
    </w:tbl>
    <w:p>
      <w:pPr>
        <w:spacing w:after="160"/>
      </w:pPr>
    </w:p>
    <w:p>
      <w:pPr>
        <w:pStyle w:val="Heading2"/>
        <w:spacing w:after="120" w:before="260"/>
      </w:pPr>
      <w:r>
        <w:rPr>
          <w:rFonts w:ascii="Calibri" w:cs="Calibri" w:eastAsia="Calibri" w:hAnsi="Calibri"/>
          <w:b/>
          <w:bCs/>
          <w:color w:val="1F3864"/>
          <w:sz w:val="23"/>
          <w:szCs w:val="23"/>
        </w:rPr>
        <w:t xml:space="preserve">Response structure</w:t>
      </w:r>
    </w:p>
    <w:p>
      <w:pPr>
        <w:shd w:fill="F4F5F7" w:val="clear"/>
        <w:spacing w:after="0" w:line="240"/>
        <w:ind w:left="288"/>
      </w:pPr>
      <w:r>
        <w:rPr>
          <w:rFonts w:ascii="Consolas" w:cs="Consolas" w:eastAsia="Consolas" w:hAnsi="Consolas"/>
          <w:color w:val="222222"/>
          <w:sz w:val="17"/>
          <w:szCs w:val="17"/>
        </w:rPr>
        <w:t xml:space="preserve">{</w:t>
      </w:r>
    </w:p>
    <w:p>
      <w:pPr>
        <w:shd w:fill="F4F5F7" w:val="clear"/>
        <w:spacing w:after="0" w:line="240"/>
        <w:ind w:left="288"/>
      </w:pPr>
      <w:r>
        <w:rPr>
          <w:rFonts w:ascii="Consolas" w:cs="Consolas" w:eastAsia="Consolas" w:hAnsi="Consolas"/>
          <w:color w:val="222222"/>
          <w:sz w:val="17"/>
          <w:szCs w:val="17"/>
        </w:rPr>
        <w:t xml:space="preserve">  "meta":   { "validationUrl": "https://auth.anaplan.com/token/validate" },</w:t>
      </w:r>
    </w:p>
    <w:p>
      <w:pPr>
        <w:shd w:fill="F4F5F7" w:val="clear"/>
        <w:spacing w:after="0" w:line="240"/>
        <w:ind w:left="288"/>
      </w:pPr>
      <w:r>
        <w:rPr>
          <w:rFonts w:ascii="Consolas" w:cs="Consolas" w:eastAsia="Consolas" w:hAnsi="Consolas"/>
          <w:color w:val="222222"/>
          <w:sz w:val="17"/>
          <w:szCs w:val="17"/>
        </w:rPr>
        <w:t xml:space="preserve">  "status": "SUCCESS",</w:t>
      </w:r>
    </w:p>
    <w:p>
      <w:pPr>
        <w:shd w:fill="F4F5F7" w:val="clear"/>
        <w:spacing w:after="0" w:line="240"/>
        <w:ind w:left="288"/>
      </w:pPr>
      <w:r>
        <w:rPr>
          <w:rFonts w:ascii="Consolas" w:cs="Consolas" w:eastAsia="Consolas" w:hAnsi="Consolas"/>
          <w:color w:val="222222"/>
          <w:sz w:val="17"/>
          <w:szCs w:val="17"/>
        </w:rPr>
        <w:t xml:space="preserve">  "tokenInfo": {</w:t>
      </w:r>
    </w:p>
    <w:p>
      <w:pPr>
        <w:shd w:fill="F4F5F7" w:val="clear"/>
        <w:spacing w:after="0" w:line="240"/>
        <w:ind w:left="288"/>
      </w:pPr>
      <w:r>
        <w:rPr>
          <w:rFonts w:ascii="Consolas" w:cs="Consolas" w:eastAsia="Consolas" w:hAnsi="Consolas"/>
          <w:color w:val="222222"/>
          <w:sz w:val="17"/>
          <w:szCs w:val="17"/>
        </w:rPr>
        <w:t xml:space="preserve">    "tokenId":        "…",</w:t>
      </w:r>
    </w:p>
    <w:p>
      <w:pPr>
        <w:shd w:fill="F4F5F7" w:val="clear"/>
        <w:spacing w:after="0" w:line="240"/>
        <w:ind w:left="288"/>
      </w:pPr>
      <w:r>
        <w:rPr>
          <w:rFonts w:ascii="Consolas" w:cs="Consolas" w:eastAsia="Consolas" w:hAnsi="Consolas"/>
          <w:color w:val="222222"/>
          <w:sz w:val="17"/>
          <w:szCs w:val="17"/>
        </w:rPr>
        <w:t xml:space="preserve">    "tokenValue":     "{token}",</w:t>
      </w:r>
    </w:p>
    <w:p>
      <w:pPr>
        <w:shd w:fill="F4F5F7" w:val="clear"/>
        <w:spacing w:after="0" w:line="240"/>
        <w:ind w:left="288"/>
      </w:pPr>
      <w:r>
        <w:rPr>
          <w:rFonts w:ascii="Consolas" w:cs="Consolas" w:eastAsia="Consolas" w:hAnsi="Consolas"/>
          <w:color w:val="222222"/>
          <w:sz w:val="17"/>
          <w:szCs w:val="17"/>
        </w:rPr>
        <w:t xml:space="preserve">    "expiresAt":      1571088565713,</w:t>
      </w:r>
    </w:p>
    <w:p>
      <w:pPr>
        <w:shd w:fill="F4F5F7" w:val="clear"/>
        <w:spacing w:after="0" w:line="240"/>
        <w:ind w:left="288"/>
      </w:pPr>
      <w:r>
        <w:rPr>
          <w:rFonts w:ascii="Consolas" w:cs="Consolas" w:eastAsia="Consolas" w:hAnsi="Consolas"/>
          <w:color w:val="222222"/>
          <w:sz w:val="17"/>
          <w:szCs w:val="17"/>
        </w:rPr>
        <w:t xml:space="preserve">    "refreshTokenId": "…"</w:t>
      </w:r>
    </w:p>
    <w:p>
      <w:pPr>
        <w:shd w:fill="F4F5F7" w:val="clear"/>
        <w:spacing w:after="0" w:line="240"/>
        <w:ind w:left="288"/>
      </w:pPr>
      <w:r>
        <w:rPr>
          <w:rFonts w:ascii="Consolas" w:cs="Consolas" w:eastAsia="Consolas" w:hAnsi="Consolas"/>
          <w:color w:val="222222"/>
          <w:sz w:val="17"/>
          <w:szCs w:val="17"/>
        </w:rPr>
        <w:t xml:space="preserve">  }</w:t>
      </w:r>
    </w:p>
    <w:p>
      <w:pPr>
        <w:shd w:fill="F4F5F7" w:val="clear"/>
        <w:spacing w:after="160" w:line="240"/>
        <w:ind w:left="288"/>
      </w:pPr>
      <w:r>
        <w:rPr>
          <w:rFonts w:ascii="Consolas" w:cs="Consolas" w:eastAsia="Consolas" w:hAnsi="Consolas"/>
          <w:color w:val="222222"/>
          <w:sz w:val="17"/>
          <w:szCs w:val="17"/>
        </w:rPr>
        <w:t xml:space="preserve">}</w:t>
      </w:r>
    </w:p>
    <w:p>
      <w:pPr>
        <w:pStyle w:val="Heading2"/>
        <w:spacing w:after="120" w:before="260"/>
      </w:pPr>
      <w:r>
        <w:rPr>
          <w:rFonts w:ascii="Calibri" w:cs="Calibri" w:eastAsia="Calibri" w:hAnsi="Calibri"/>
          <w:b/>
          <w:bCs/>
          <w:color w:val="1F3864"/>
          <w:sz w:val="23"/>
          <w:szCs w:val="23"/>
        </w:rPr>
        <w:t xml:space="preserve">Operating rules</w:t>
      </w:r>
    </w:p>
    <w:p>
      <w:pPr>
        <w:pStyle w:val="ListParagraph"/>
        <w:numPr>
          <w:ilvl w:val="0"/>
          <w:numId w:val="2"/>
        </w:numPr>
        <w:spacing w:after="80" w:line="276"/>
      </w:pPr>
      <w:r>
        <w:rPr>
          <w:rFonts w:ascii="Calibri" w:cs="Calibri" w:eastAsia="Calibri" w:hAnsi="Calibri"/>
          <w:color w:val="1A1A1A"/>
          <w:sz w:val="21"/>
          <w:szCs w:val="21"/>
        </w:rPr>
        <w:t xml:space="preserve">Tokens are valid for 35 minutes. Cache tokenValue, track expiresAt (epoch milliseconds) and refresh at approximately 30 minutes. [R4]</w:t>
      </w:r>
    </w:p>
    <w:p>
      <w:pPr>
        <w:pStyle w:val="ListParagraph"/>
        <w:numPr>
          <w:ilvl w:val="0"/>
          <w:numId w:val="2"/>
        </w:numPr>
        <w:spacing w:after="80" w:line="276"/>
      </w:pPr>
      <w:r>
        <w:rPr>
          <w:rFonts w:ascii="Calibri" w:cs="Calibri" w:eastAsia="Calibri" w:hAnsi="Calibri"/>
          <w:color w:val="1A1A1A"/>
          <w:sz w:val="21"/>
          <w:szCs w:val="21"/>
        </w:rPr>
        <w:t xml:space="preserve">A new token must not be requested for every call. Anaplan states that requests may fail if this is done, and that the platform performs better with a single token per 35-minute session. [R4]</w:t>
      </w:r>
    </w:p>
    <w:p>
      <w:pPr>
        <w:pStyle w:val="ListParagraph"/>
        <w:numPr>
          <w:ilvl w:val="0"/>
          <w:numId w:val="2"/>
        </w:numPr>
        <w:spacing w:after="80" w:line="276"/>
      </w:pPr>
      <w:r>
        <w:rPr>
          <w:rFonts w:ascii="Calibri" w:cs="Calibri" w:eastAsia="Calibri" w:hAnsi="Calibri"/>
          <w:color w:val="1A1A1A"/>
          <w:sz w:val="21"/>
          <w:szCs w:val="21"/>
        </w:rPr>
        <w:t xml:space="preserve">Where single sign-on is enabled, basic authentication requires the service account to be designated an Exception User. Certificate authentication is recommended instead, and also avoids the 90-day password expiry. [R6]</w:t>
      </w:r>
    </w:p>
    <w:p>
      <w:pPr>
        <w:spacing w:after="160"/>
      </w:pPr>
    </w:p>
    <w:p>
      <w:pPr>
        <w:spacing w:after="120" w:line="276"/>
      </w:pPr>
      <w:r>
        <w:rPr>
          <w:rFonts w:ascii="Calibri" w:cs="Calibri" w:eastAsia="Calibri" w:hAnsi="Calibri"/>
          <w:color w:val="1A1A1A"/>
          <w:sz w:val="21"/>
          <w:szCs w:val="21"/>
        </w:rPr>
        <w:t xml:space="preserve">All subsequent data requests carry the header Authorization: AnaplanAuthToken {tokenValue}.</w:t>
      </w:r>
    </w:p>
    <w:p>
      <w:r>
        <w:br w:type="page"/>
      </w:r>
    </w:p>
    <w:p>
      <w:pPr>
        <w:pStyle w:val="Heading1"/>
        <w:pBdr>
          <w:bottom w:val="single" w:color="BFC9D9" w:sz="8" w:space="6"/>
        </w:pBdr>
        <w:spacing w:after="160" w:before="360"/>
      </w:pPr>
      <w:r>
        <w:rPr>
          <w:rFonts w:ascii="Calibri" w:cs="Calibri" w:eastAsia="Calibri" w:hAnsi="Calibri"/>
          <w:b/>
          <w:bCs/>
          <w:color w:val="1F3864"/>
          <w:sz w:val="28"/>
          <w:szCs w:val="28"/>
        </w:rPr>
        <w:t xml:space="preserve">3. Attribute to endpoint mapping</w:t>
      </w:r>
    </w:p>
    <w:p>
      <w:pPr>
        <w:spacing w:after="120" w:line="276"/>
      </w:pPr>
      <w:r>
        <w:rPr>
          <w:rFonts w:ascii="Calibri" w:cs="Calibri" w:eastAsia="Calibri" w:hAnsi="Calibri"/>
          <w:color w:val="1A1A1A"/>
          <w:sz w:val="21"/>
          <w:szCs w:val="21"/>
        </w:rPr>
        <w:t xml:space="preserve">Base URL for all data calls: https://api.anaplan.com</w:t>
      </w:r>
    </w:p>
    <w:p>
      <w:pPr>
        <w:spacing w:after="160"/>
      </w:pPr>
    </w:p>
    <w:tbl>
      <w:tblPr>
        <w:tblW w:type="dxa" w:w="9000"/>
        <w:tblBorders>
          <w:top w:val="single" w:color="BFC9D9" w:sz="4"/>
          <w:left w:val="single" w:color="BFC9D9" w:sz="4"/>
          <w:bottom w:val="single" w:color="BFC9D9" w:sz="4"/>
          <w:right w:val="single" w:color="BFC9D9" w:sz="4"/>
          <w:insideH w:val="single" w:color="BFC9D9" w:sz="4"/>
          <w:insideV w:val="single" w:color="BFC9D9" w:sz="4"/>
        </w:tblBorders>
        <w:tblLayout w:type="fixed"/>
      </w:tblPr>
      <w:tblGrid>
        <w:gridCol w:w="500"/>
        <w:gridCol w:w="2100"/>
        <w:gridCol w:w="3900"/>
        <w:gridCol w:w="2500"/>
      </w:tblGrid>
      <w:tr>
        <w:trPr>
          <w:tblHeader/>
        </w:trPr>
        <w:tc>
          <w:tcPr>
            <w:tcW w:type="dxa" w:w="500"/>
            <w:shd w:fill="1F3864" w:val="clear"/>
            <w:tcMar>
              <w:top w:type="dxa" w:w="60"/>
              <w:left w:type="dxa" w:w="110"/>
              <w:bottom w:type="dxa" w:w="60"/>
              <w:right w:type="dxa" w:w="110"/>
            </w:tcMar>
          </w:tcPr>
          <w:p>
            <w:pPr>
              <w:spacing w:after="50" w:before="50" w:line="260"/>
            </w:pPr>
            <w:r>
              <w:rPr>
                <w:rFonts w:ascii="Calibri" w:cs="Calibri" w:eastAsia="Calibri" w:hAnsi="Calibri"/>
                <w:b/>
                <w:bCs/>
                <w:color w:val="FFFFFF"/>
                <w:sz w:val="19"/>
                <w:szCs w:val="19"/>
              </w:rPr>
              <w:t xml:space="preserve">#</w:t>
            </w:r>
          </w:p>
        </w:tc>
        <w:tc>
          <w:tcPr>
            <w:tcW w:type="dxa" w:w="2100"/>
            <w:shd w:fill="1F3864" w:val="clear"/>
            <w:tcMar>
              <w:top w:type="dxa" w:w="60"/>
              <w:left w:type="dxa" w:w="110"/>
              <w:bottom w:type="dxa" w:w="60"/>
              <w:right w:type="dxa" w:w="110"/>
            </w:tcMar>
          </w:tcPr>
          <w:p>
            <w:pPr>
              <w:spacing w:after="50" w:before="50" w:line="260"/>
            </w:pPr>
            <w:r>
              <w:rPr>
                <w:rFonts w:ascii="Calibri" w:cs="Calibri" w:eastAsia="Calibri" w:hAnsi="Calibri"/>
                <w:b/>
                <w:bCs/>
                <w:color w:val="FFFFFF"/>
                <w:sz w:val="19"/>
                <w:szCs w:val="19"/>
              </w:rPr>
              <w:t xml:space="preserve">Attribute</w:t>
            </w:r>
          </w:p>
        </w:tc>
        <w:tc>
          <w:tcPr>
            <w:tcW w:type="dxa" w:w="3900"/>
            <w:shd w:fill="1F3864" w:val="clear"/>
            <w:tcMar>
              <w:top w:type="dxa" w:w="60"/>
              <w:left w:type="dxa" w:w="110"/>
              <w:bottom w:type="dxa" w:w="60"/>
              <w:right w:type="dxa" w:w="110"/>
            </w:tcMar>
          </w:tcPr>
          <w:p>
            <w:pPr>
              <w:spacing w:after="50" w:before="50" w:line="260"/>
            </w:pPr>
            <w:r>
              <w:rPr>
                <w:rFonts w:ascii="Calibri" w:cs="Calibri" w:eastAsia="Calibri" w:hAnsi="Calibri"/>
                <w:b/>
                <w:bCs/>
                <w:color w:val="FFFFFF"/>
                <w:sz w:val="19"/>
                <w:szCs w:val="19"/>
              </w:rPr>
              <w:t xml:space="preserve">Endpoint</w:t>
            </w:r>
          </w:p>
        </w:tc>
        <w:tc>
          <w:tcPr>
            <w:tcW w:type="dxa" w:w="2500"/>
            <w:shd w:fill="1F3864" w:val="clear"/>
            <w:tcMar>
              <w:top w:type="dxa" w:w="60"/>
              <w:left w:type="dxa" w:w="110"/>
              <w:bottom w:type="dxa" w:w="60"/>
              <w:right w:type="dxa" w:w="110"/>
            </w:tcMar>
          </w:tcPr>
          <w:p>
            <w:pPr>
              <w:spacing w:after="50" w:before="50" w:line="260"/>
            </w:pPr>
            <w:r>
              <w:rPr>
                <w:rFonts w:ascii="Calibri" w:cs="Calibri" w:eastAsia="Calibri" w:hAnsi="Calibri"/>
                <w:b/>
                <w:bCs/>
                <w:color w:val="FFFFFF"/>
                <w:sz w:val="19"/>
                <w:szCs w:val="19"/>
              </w:rPr>
              <w:t xml:space="preserve">Field</w:t>
            </w:r>
          </w:p>
        </w:tc>
      </w:tr>
      <w:tr>
        <w:trPr>
          <w:tblHeader w:val="false"/>
        </w:trPr>
        <w:tc>
          <w:tcPr>
            <w:tcW w:type="dxa" w:w="5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1</w:t>
            </w:r>
          </w:p>
        </w:tc>
        <w:tc>
          <w:tcPr>
            <w:tcW w:type="dxa" w:w="21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User ID (email)</w:t>
            </w:r>
          </w:p>
        </w:tc>
        <w:tc>
          <w:tcPr>
            <w:tcW w:type="dxa" w:w="3900"/>
            <w:shd w:fill="FFFFFF" w:val="clear"/>
            <w:tcMar>
              <w:top w:type="dxa" w:w="60"/>
              <w:left w:type="dxa" w:w="110"/>
              <w:bottom w:type="dxa" w:w="60"/>
              <w:right w:type="dxa" w:w="110"/>
            </w:tcMar>
          </w:tcPr>
          <w:p>
            <w:pPr>
              <w:spacing w:after="50" w:before="50" w:line="260"/>
            </w:pPr>
            <w:r>
              <w:rPr>
                <w:rFonts w:ascii="Consolas" w:cs="Consolas" w:eastAsia="Consolas" w:hAnsi="Consolas"/>
                <w:color w:val="1A1A1A"/>
                <w:sz w:val="16"/>
                <w:szCs w:val="16"/>
              </w:rPr>
              <w:t xml:space="preserve">GET /2/0/users</w:t>
            </w:r>
          </w:p>
        </w:tc>
        <w:tc>
          <w:tcPr>
            <w:tcW w:type="dxa" w:w="2500"/>
            <w:shd w:fill="FFFFFF" w:val="clear"/>
            <w:tcMar>
              <w:top w:type="dxa" w:w="60"/>
              <w:left w:type="dxa" w:w="110"/>
              <w:bottom w:type="dxa" w:w="60"/>
              <w:right w:type="dxa" w:w="110"/>
            </w:tcMar>
          </w:tcPr>
          <w:p>
            <w:pPr>
              <w:spacing w:after="50" w:before="50" w:line="260"/>
            </w:pPr>
            <w:r>
              <w:rPr>
                <w:rFonts w:ascii="Consolas" w:cs="Consolas" w:eastAsia="Consolas" w:hAnsi="Consolas"/>
                <w:color w:val="1A1A1A"/>
                <w:sz w:val="16"/>
                <w:szCs w:val="16"/>
              </w:rPr>
              <w:t xml:space="preserve">userName</w:t>
            </w:r>
          </w:p>
        </w:tc>
      </w:tr>
      <w:tr>
        <w:trPr>
          <w:tblHeader w:val="false"/>
        </w:trPr>
        <w:tc>
          <w:tcPr>
            <w:tcW w:type="dxa" w:w="5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2</w:t>
            </w:r>
          </w:p>
        </w:tc>
        <w:tc>
          <w:tcPr>
            <w:tcW w:type="dxa" w:w="21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User State</w:t>
            </w:r>
          </w:p>
        </w:tc>
        <w:tc>
          <w:tcPr>
            <w:tcW w:type="dxa" w:w="3900"/>
            <w:shd w:fill="FFFFFF" w:val="clear"/>
            <w:tcMar>
              <w:top w:type="dxa" w:w="60"/>
              <w:left w:type="dxa" w:w="110"/>
              <w:bottom w:type="dxa" w:w="60"/>
              <w:right w:type="dxa" w:w="110"/>
            </w:tcMar>
          </w:tcPr>
          <w:p>
            <w:pPr>
              <w:spacing w:after="50" w:before="50" w:line="260"/>
            </w:pPr>
            <w:r>
              <w:rPr>
                <w:rFonts w:ascii="Consolas" w:cs="Consolas" w:eastAsia="Consolas" w:hAnsi="Consolas"/>
                <w:color w:val="1A1A1A"/>
                <w:sz w:val="16"/>
                <w:szCs w:val="16"/>
              </w:rPr>
              <w:t xml:space="preserve">GET /2/0/users</w:t>
            </w:r>
          </w:p>
        </w:tc>
        <w:tc>
          <w:tcPr>
            <w:tcW w:type="dxa" w:w="2500"/>
            <w:shd w:fill="FFFFFF" w:val="clear"/>
            <w:tcMar>
              <w:top w:type="dxa" w:w="60"/>
              <w:left w:type="dxa" w:w="110"/>
              <w:bottom w:type="dxa" w:w="60"/>
              <w:right w:type="dxa" w:w="110"/>
            </w:tcMar>
          </w:tcPr>
          <w:p>
            <w:pPr>
              <w:spacing w:after="50" w:before="50" w:line="260"/>
            </w:pPr>
            <w:r>
              <w:rPr>
                <w:rFonts w:ascii="Consolas" w:cs="Consolas" w:eastAsia="Consolas" w:hAnsi="Consolas"/>
                <w:color w:val="1A1A1A"/>
                <w:sz w:val="16"/>
                <w:szCs w:val="16"/>
              </w:rPr>
              <w:t xml:space="preserve">active</w:t>
            </w:r>
          </w:p>
        </w:tc>
      </w:tr>
      <w:tr>
        <w:trPr>
          <w:tblHeader w:val="false"/>
        </w:trPr>
        <w:tc>
          <w:tcPr>
            <w:tcW w:type="dxa" w:w="5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3</w:t>
            </w:r>
          </w:p>
        </w:tc>
        <w:tc>
          <w:tcPr>
            <w:tcW w:type="dxa" w:w="21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Assigned Zone</w:t>
            </w:r>
          </w:p>
        </w:tc>
        <w:tc>
          <w:tcPr>
            <w:tcW w:type="dxa" w:w="3900"/>
            <w:shd w:fill="FFFFFF" w:val="clear"/>
            <w:tcMar>
              <w:top w:type="dxa" w:w="60"/>
              <w:left w:type="dxa" w:w="110"/>
              <w:bottom w:type="dxa" w:w="60"/>
              <w:right w:type="dxa" w:w="110"/>
            </w:tcMar>
          </w:tcPr>
          <w:p>
            <w:pPr>
              <w:spacing w:after="50" w:before="50" w:line="260"/>
            </w:pPr>
            <w:r>
              <w:rPr>
                <w:rFonts w:ascii="Consolas" w:cs="Consolas" w:eastAsia="Consolas" w:hAnsi="Consolas"/>
                <w:color w:val="1A1A1A"/>
                <w:sz w:val="16"/>
                <w:szCs w:val="16"/>
              </w:rPr>
              <w:t xml:space="preserve">GET /2/0/users/{userId}/workspaces</w:t>
            </w:r>
          </w:p>
        </w:tc>
        <w:tc>
          <w:tcPr>
            <w:tcW w:type="dxa" w:w="25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Workspace name — see Section 6</w:t>
            </w:r>
          </w:p>
        </w:tc>
      </w:tr>
      <w:tr>
        <w:trPr>
          <w:tblHeader w:val="false"/>
        </w:trPr>
        <w:tc>
          <w:tcPr>
            <w:tcW w:type="dxa" w:w="5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4</w:t>
            </w:r>
          </w:p>
        </w:tc>
        <w:tc>
          <w:tcPr>
            <w:tcW w:type="dxa" w:w="21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Licence Type</w:t>
            </w:r>
          </w:p>
        </w:tc>
        <w:tc>
          <w:tcPr>
            <w:tcW w:type="dxa" w:w="39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Administration API — Export Users ⚠</w:t>
            </w:r>
          </w:p>
        </w:tc>
        <w:tc>
          <w:tcPr>
            <w:tcW w:type="dxa" w:w="25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Licence type</w:t>
            </w:r>
          </w:p>
        </w:tc>
      </w:tr>
      <w:tr>
        <w:trPr>
          <w:tblHeader w:val="false"/>
        </w:trPr>
        <w:tc>
          <w:tcPr>
            <w:tcW w:type="dxa" w:w="5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5</w:t>
            </w:r>
          </w:p>
        </w:tc>
        <w:tc>
          <w:tcPr>
            <w:tcW w:type="dxa" w:w="21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Licence State</w:t>
            </w:r>
          </w:p>
        </w:tc>
        <w:tc>
          <w:tcPr>
            <w:tcW w:type="dxa" w:w="39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Administration API — Export Users ⚠</w:t>
            </w:r>
          </w:p>
        </w:tc>
        <w:tc>
          <w:tcPr>
            <w:tcW w:type="dxa" w:w="25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Active / Inactive</w:t>
            </w:r>
          </w:p>
        </w:tc>
      </w:tr>
      <w:tr>
        <w:trPr>
          <w:tblHeader w:val="false"/>
        </w:trPr>
        <w:tc>
          <w:tcPr>
            <w:tcW w:type="dxa" w:w="5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6</w:t>
            </w:r>
          </w:p>
        </w:tc>
        <w:tc>
          <w:tcPr>
            <w:tcW w:type="dxa" w:w="21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Last Active Date</w:t>
            </w:r>
          </w:p>
        </w:tc>
        <w:tc>
          <w:tcPr>
            <w:tcW w:type="dxa" w:w="39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Administration API — Export Users ⚠
Fallback: Audit API USR-8</w:t>
            </w:r>
          </w:p>
        </w:tc>
        <w:tc>
          <w:tcPr>
            <w:tcW w:type="dxa" w:w="25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Last login</w:t>
            </w:r>
          </w:p>
        </w:tc>
      </w:tr>
      <w:tr>
        <w:trPr>
          <w:tblHeader w:val="false"/>
        </w:trPr>
        <w:tc>
          <w:tcPr>
            <w:tcW w:type="dxa" w:w="5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7</w:t>
            </w:r>
          </w:p>
        </w:tc>
        <w:tc>
          <w:tcPr>
            <w:tcW w:type="dxa" w:w="21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Account Creation Date</w:t>
            </w:r>
          </w:p>
        </w:tc>
        <w:tc>
          <w:tcPr>
            <w:tcW w:type="dxa" w:w="3900"/>
            <w:shd w:fill="FFFFFF" w:val="clear"/>
            <w:tcMar>
              <w:top w:type="dxa" w:w="60"/>
              <w:left w:type="dxa" w:w="110"/>
              <w:bottom w:type="dxa" w:w="60"/>
              <w:right w:type="dxa" w:w="110"/>
            </w:tcMar>
          </w:tcPr>
          <w:p>
            <w:pPr>
              <w:spacing w:after="50" w:before="50" w:line="260"/>
            </w:pPr>
            <w:r>
              <w:rPr>
                <w:rFonts w:ascii="Consolas" w:cs="Consolas" w:eastAsia="Consolas" w:hAnsi="Consolas"/>
                <w:color w:val="1A1A1A"/>
                <w:sz w:val="16"/>
                <w:szCs w:val="16"/>
              </w:rPr>
              <w:t xml:space="preserve">GET /scim/1/0/v2/Users</w:t>
            </w:r>
          </w:p>
        </w:tc>
        <w:tc>
          <w:tcPr>
            <w:tcW w:type="dxa" w:w="2500"/>
            <w:shd w:fill="FFFFFF" w:val="clear"/>
            <w:tcMar>
              <w:top w:type="dxa" w:w="60"/>
              <w:left w:type="dxa" w:w="110"/>
              <w:bottom w:type="dxa" w:w="60"/>
              <w:right w:type="dxa" w:w="110"/>
            </w:tcMar>
          </w:tcPr>
          <w:p>
            <w:pPr>
              <w:spacing w:after="50" w:before="50" w:line="260"/>
            </w:pPr>
            <w:r>
              <w:rPr>
                <w:rFonts w:ascii="Consolas" w:cs="Consolas" w:eastAsia="Consolas" w:hAnsi="Consolas"/>
                <w:color w:val="1A1A1A"/>
                <w:sz w:val="16"/>
                <w:szCs w:val="16"/>
              </w:rPr>
              <w:t xml:space="preserve">meta.created</w:t>
            </w:r>
          </w:p>
        </w:tc>
      </w:tr>
      <w:tr>
        <w:trPr>
          <w:tblHeader w:val="false"/>
        </w:trPr>
        <w:tc>
          <w:tcPr>
            <w:tcW w:type="dxa" w:w="5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8</w:t>
            </w:r>
          </w:p>
        </w:tc>
        <w:tc>
          <w:tcPr>
            <w:tcW w:type="dxa" w:w="21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User Type</w:t>
            </w:r>
          </w:p>
        </w:tc>
        <w:tc>
          <w:tcPr>
            <w:tcW w:type="dxa" w:w="39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Derived in transform — see Section 5</w:t>
            </w:r>
          </w:p>
        </w:tc>
        <w:tc>
          <w:tcPr>
            <w:tcW w:type="dxa" w:w="25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Email domain</w:t>
            </w:r>
          </w:p>
        </w:tc>
      </w:tr>
      <w:tr>
        <w:trPr>
          <w:tblHeader w:val="false"/>
        </w:trPr>
        <w:tc>
          <w:tcPr>
            <w:tcW w:type="dxa" w:w="5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9</w:t>
            </w:r>
          </w:p>
        </w:tc>
        <w:tc>
          <w:tcPr>
            <w:tcW w:type="dxa" w:w="21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Last Model Activity Date</w:t>
            </w:r>
          </w:p>
        </w:tc>
        <w:tc>
          <w:tcPr>
            <w:tcW w:type="dxa" w:w="39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Copy of attribute 6, or null</w:t>
            </w:r>
          </w:p>
        </w:tc>
        <w:tc>
          <w:tcPr>
            <w:tcW w:type="dxa" w:w="25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Per agreed definition</w:t>
            </w:r>
          </w:p>
        </w:tc>
      </w:tr>
    </w:tbl>
    <w:p>
      <w:pPr>
        <w:spacing w:after="160"/>
      </w:pPr>
    </w:p>
    <w:p>
      <w:pPr>
        <w:pStyle w:val="Heading2"/>
        <w:spacing w:after="120" w:before="260"/>
      </w:pPr>
      <w:r>
        <w:rPr>
          <w:rFonts w:ascii="Calibri" w:cs="Calibri" w:eastAsia="Calibri" w:hAnsi="Calibri"/>
          <w:b/>
          <w:bCs/>
          <w:color w:val="1F3864"/>
          <w:sz w:val="23"/>
          <w:szCs w:val="23"/>
        </w:rPr>
        <w:t xml:space="preserve">Supporting Integration API v2 calls</w:t>
      </w:r>
    </w:p>
    <w:p>
      <w:pPr>
        <w:shd w:fill="F4F5F7" w:val="clear"/>
        <w:spacing w:after="0" w:line="240"/>
        <w:ind w:left="288"/>
      </w:pPr>
      <w:r>
        <w:rPr>
          <w:rFonts w:ascii="Consolas" w:cs="Consolas" w:eastAsia="Consolas" w:hAnsi="Consolas"/>
          <w:color w:val="222222"/>
          <w:sz w:val="17"/>
          <w:szCs w:val="17"/>
        </w:rPr>
        <w:t xml:space="preserve">GET /2/0/users                          All users in the tenant</w:t>
      </w:r>
    </w:p>
    <w:p>
      <w:pPr>
        <w:shd w:fill="F4F5F7" w:val="clear"/>
        <w:spacing w:after="0" w:line="240"/>
        <w:ind w:left="288"/>
      </w:pPr>
      <w:r>
        <w:rPr>
          <w:rFonts w:ascii="Consolas" w:cs="Consolas" w:eastAsia="Consolas" w:hAnsi="Consolas"/>
          <w:color w:val="222222"/>
          <w:sz w:val="17"/>
          <w:szCs w:val="17"/>
        </w:rPr>
        <w:t xml:space="preserve">GET /2/0/users/{userId}                 Single user record</w:t>
      </w:r>
    </w:p>
    <w:p>
      <w:pPr>
        <w:shd w:fill="F4F5F7" w:val="clear"/>
        <w:spacing w:after="0" w:line="240"/>
        <w:ind w:left="288"/>
      </w:pPr>
      <w:r>
        <w:rPr>
          <w:rFonts w:ascii="Consolas" w:cs="Consolas" w:eastAsia="Consolas" w:hAnsi="Consolas"/>
          <w:color w:val="222222"/>
          <w:sz w:val="17"/>
          <w:szCs w:val="17"/>
        </w:rPr>
        <w:t xml:space="preserve">GET /2/0/users/{userId}/workspaces      User to workspace assignment</w:t>
      </w:r>
    </w:p>
    <w:p>
      <w:pPr>
        <w:shd w:fill="F4F5F7" w:val="clear"/>
        <w:spacing w:after="0" w:line="240"/>
        <w:ind w:left="288"/>
      </w:pPr>
      <w:r>
        <w:rPr>
          <w:rFonts w:ascii="Consolas" w:cs="Consolas" w:eastAsia="Consolas" w:hAnsi="Consolas"/>
          <w:color w:val="222222"/>
          <w:sz w:val="17"/>
          <w:szCs w:val="17"/>
        </w:rPr>
        <w:t xml:space="preserve">GET /2/0/users/{userId}/models          User to model assignment</w:t>
      </w:r>
    </w:p>
    <w:p>
      <w:pPr>
        <w:shd w:fill="F4F5F7" w:val="clear"/>
        <w:spacing w:after="160" w:line="240"/>
        <w:ind w:left="288"/>
      </w:pPr>
      <w:r>
        <w:rPr>
          <w:rFonts w:ascii="Consolas" w:cs="Consolas" w:eastAsia="Consolas" w:hAnsi="Consolas"/>
          <w:color w:val="222222"/>
          <w:sz w:val="17"/>
          <w:szCs w:val="17"/>
        </w:rPr>
        <w:t xml:space="preserve">GET /2/0/workspaces?tenantDetails=true  id, name, active, sizeAllowance, currentSize</w:t>
      </w:r>
    </w:p>
    <w:p>
      <w:pPr>
        <w:pStyle w:val="Heading2"/>
        <w:spacing w:after="120" w:before="260"/>
      </w:pPr>
      <w:r>
        <w:rPr>
          <w:rFonts w:ascii="Calibri" w:cs="Calibri" w:eastAsia="Calibri" w:hAnsi="Calibri"/>
          <w:b/>
          <w:bCs/>
          <w:color w:val="1F3864"/>
          <w:sz w:val="23"/>
          <w:szCs w:val="23"/>
        </w:rPr>
        <w:t xml:space="preserve">Constraints</w:t>
      </w:r>
    </w:p>
    <w:p>
      <w:pPr>
        <w:pStyle w:val="ListParagraph"/>
        <w:numPr>
          <w:ilvl w:val="0"/>
          <w:numId w:val="3"/>
        </w:numPr>
        <w:spacing w:after="80" w:line="276"/>
      </w:pPr>
      <w:r>
        <w:rPr>
          <w:rFonts w:ascii="Calibri" w:cs="Calibri" w:eastAsia="Calibri" w:hAnsi="Calibri"/>
          <w:color w:val="1A1A1A"/>
          <w:sz w:val="21"/>
          <w:szCs w:val="21"/>
        </w:rPr>
        <w:t xml:space="preserve">The calling account must hold Workspace Administrator rights to retrieve the full user list. A non-administrator retrieves only their own record. [R10]</w:t>
      </w:r>
    </w:p>
    <w:p>
      <w:pPr>
        <w:pStyle w:val="ListParagraph"/>
        <w:numPr>
          <w:ilvl w:val="0"/>
          <w:numId w:val="3"/>
        </w:numPr>
        <w:spacing w:after="80" w:line="276"/>
      </w:pPr>
      <w:r>
        <w:rPr>
          <w:rFonts w:ascii="Calibri" w:cs="Calibri" w:eastAsia="Calibri" w:hAnsi="Calibri"/>
          <w:color w:val="1A1A1A"/>
          <w:sz w:val="21"/>
          <w:szCs w:val="21"/>
        </w:rPr>
        <w:t xml:space="preserve">If no offset or limit parameter is supplied, results are restricted to the first page. Pagination must be explicit. [R6]</w:t>
      </w:r>
    </w:p>
    <w:p>
      <w:pPr>
        <w:pStyle w:val="ListParagraph"/>
        <w:numPr>
          <w:ilvl w:val="0"/>
          <w:numId w:val="3"/>
        </w:numPr>
        <w:spacing w:after="80" w:line="276"/>
      </w:pPr>
      <w:r>
        <w:rPr>
          <w:rFonts w:ascii="Calibri" w:cs="Calibri" w:eastAsia="Calibri" w:hAnsi="Calibri"/>
          <w:color w:val="1A1A1A"/>
          <w:sz w:val="21"/>
          <w:szCs w:val="21"/>
        </w:rPr>
        <w:t xml:space="preserve">The Administration API Export Users endpoint path is not published inline in Anapedia; the documentation links to the Postman collection instead. The path, parameters and response schema should be taken from the Administration folder of the official Anaplan Postman collection. [R3] Only the export endpoint is to be used — the import endpoints write to the tenant.</w:t>
      </w:r>
    </w:p>
    <w:p>
      <w:pPr>
        <w:pStyle w:val="Heading1"/>
        <w:pBdr>
          <w:bottom w:val="single" w:color="BFC9D9" w:sz="8" w:space="6"/>
        </w:pBdr>
        <w:spacing w:after="160" w:before="360"/>
      </w:pPr>
      <w:r>
        <w:rPr>
          <w:rFonts w:ascii="Calibri" w:cs="Calibri" w:eastAsia="Calibri" w:hAnsi="Calibri"/>
          <w:b/>
          <w:bCs/>
          <w:color w:val="1F3864"/>
          <w:sz w:val="28"/>
          <w:szCs w:val="28"/>
        </w:rPr>
        <w:t xml:space="preserve">4. Endpoints assessed and excluded</w:t>
      </w:r>
    </w:p>
    <w:p>
      <w:pPr>
        <w:spacing w:after="120" w:line="276"/>
      </w:pPr>
      <w:r>
        <w:rPr>
          <w:rFonts w:ascii="Calibri" w:cs="Calibri" w:eastAsia="Calibri" w:hAnsi="Calibri"/>
          <w:color w:val="1A1A1A"/>
          <w:sz w:val="21"/>
          <w:szCs w:val="21"/>
        </w:rPr>
        <w:t xml:space="preserve">The list and dimension data endpoints were assessed as an alternative route and are not recommended for this extraction.</w:t>
      </w:r>
    </w:p>
    <w:p>
      <w:pPr>
        <w:spacing w:after="160"/>
      </w:pPr>
    </w:p>
    <w:p>
      <w:pPr>
        <w:spacing w:after="120" w:line="276"/>
      </w:pPr>
      <w:r>
        <w:rPr>
          <w:rFonts w:ascii="Calibri" w:cs="Calibri" w:eastAsia="Calibri" w:hAnsi="Calibri"/>
          <w:color w:val="1A1A1A"/>
          <w:sz w:val="21"/>
          <w:szCs w:val="21"/>
        </w:rPr>
        <w:t xml:space="preserve">The endpoint GET /2/0/models/{modelGuid}/dimensions/{dimensionId}/items formally accepts the Users dimension alongside lists, list subsets and line item subsets. [R6] It is technically usable, but unsuitable here for four reasons:</w:t>
      </w:r>
    </w:p>
    <w:p>
      <w:pPr>
        <w:pStyle w:val="ListParagraph"/>
        <w:numPr>
          <w:ilvl w:val="0"/>
          <w:numId w:val="3"/>
        </w:numPr>
        <w:spacing w:after="80" w:line="276"/>
      </w:pPr>
      <w:r>
        <w:rPr>
          <w:rFonts w:ascii="Calibri" w:cs="Calibri" w:eastAsia="Calibri" w:hAnsi="Calibri"/>
          <w:color w:val="1A1A1A"/>
          <w:sz w:val="21"/>
          <w:szCs w:val="21"/>
        </w:rPr>
        <w:t xml:space="preserve">It returns id, name and code only. [R6] None of the nine attributes beyond a display name are available.</w:t>
      </w:r>
    </w:p>
    <w:p>
      <w:pPr>
        <w:pStyle w:val="ListParagraph"/>
        <w:numPr>
          <w:ilvl w:val="0"/>
          <w:numId w:val="3"/>
        </w:numPr>
        <w:spacing w:after="80" w:line="276"/>
      </w:pPr>
      <w:r>
        <w:rPr>
          <w:rFonts w:ascii="Calibri" w:cs="Calibri" w:eastAsia="Calibri" w:hAnsi="Calibri"/>
          <w:color w:val="1A1A1A"/>
          <w:sz w:val="21"/>
          <w:szCs w:val="21"/>
        </w:rPr>
        <w:t xml:space="preserve">The Users list contains only users with access to the specific model, and users assigned the No Access role do not appear at all. [R11] This produces a systematic under-count.</w:t>
      </w:r>
    </w:p>
    <w:p>
      <w:pPr>
        <w:pStyle w:val="ListParagraph"/>
        <w:numPr>
          <w:ilvl w:val="0"/>
          <w:numId w:val="3"/>
        </w:numPr>
        <w:spacing w:after="80" w:line="276"/>
      </w:pPr>
      <w:r>
        <w:rPr>
          <w:rFonts w:ascii="Calibri" w:cs="Calibri" w:eastAsia="Calibri" w:hAnsi="Calibri"/>
          <w:color w:val="1A1A1A"/>
          <w:sz w:val="21"/>
          <w:szCs w:val="21"/>
        </w:rPr>
        <w:t xml:space="preserve">It is model-scoped. Every model in every workspace would need to be traversed to approximate the tenant-wide roster that GET /2/0/users returns in one call.</w:t>
      </w:r>
    </w:p>
    <w:p>
      <w:pPr>
        <w:pStyle w:val="ListParagraph"/>
        <w:numPr>
          <w:ilvl w:val="0"/>
          <w:numId w:val="3"/>
        </w:numPr>
        <w:spacing w:after="80" w:line="276"/>
      </w:pPr>
      <w:r>
        <w:rPr>
          <w:rFonts w:ascii="Calibri" w:cs="Calibri" w:eastAsia="Calibri" w:hAnsi="Calibri"/>
          <w:color w:val="1A1A1A"/>
          <w:sz w:val="21"/>
          <w:szCs w:val="21"/>
        </w:rPr>
        <w:t xml:space="preserve">Workspace Administrator rights are required, and the call disregards view-level hiding and Selective Access. [R6]</w:t>
      </w:r>
    </w:p>
    <w:p>
      <w:pPr>
        <w:spacing w:after="160"/>
      </w:pPr>
    </w:p>
    <w:p>
      <w:pPr>
        <w:spacing w:after="120" w:line="276"/>
      </w:pPr>
      <w:r>
        <w:rPr>
          <w:rFonts w:ascii="Calibri" w:cs="Calibri" w:eastAsia="Calibri" w:hAnsi="Calibri"/>
          <w:color w:val="1A1A1A"/>
          <w:sz w:val="21"/>
          <w:szCs w:val="21"/>
        </w:rPr>
        <w:t xml:space="preserve">The same applies to the /lists and /lists/{listId}/items endpoints, which read model content rather than tenant administration data.</w:t>
      </w:r>
    </w:p>
    <w:p>
      <w:r>
        <w:br w:type="page"/>
      </w:r>
    </w:p>
    <w:p>
      <w:pPr>
        <w:pStyle w:val="Heading1"/>
        <w:pBdr>
          <w:bottom w:val="single" w:color="BFC9D9" w:sz="8" w:space="6"/>
        </w:pBdr>
        <w:spacing w:after="160" w:before="360"/>
      </w:pPr>
      <w:r>
        <w:rPr>
          <w:rFonts w:ascii="Calibri" w:cs="Calibri" w:eastAsia="Calibri" w:hAnsi="Calibri"/>
          <w:b/>
          <w:bCs/>
          <w:color w:val="1F3864"/>
          <w:sz w:val="28"/>
          <w:szCs w:val="28"/>
        </w:rPr>
        <w:t xml:space="preserve">5. User Type — derivation rule</w:t>
      </w:r>
    </w:p>
    <w:p>
      <w:pPr>
        <w:spacing w:after="120" w:line="276"/>
      </w:pPr>
      <w:r>
        <w:rPr>
          <w:rFonts w:ascii="Calibri" w:cs="Calibri" w:eastAsia="Calibri" w:hAnsi="Calibri"/>
          <w:color w:val="1A1A1A"/>
          <w:sz w:val="21"/>
          <w:szCs w:val="21"/>
        </w:rPr>
        <w:t xml:space="preserve">Anaplan does not expose a Customer / Anaplan / Partner / Uncategorised classification. The attribute is constructed during transformation from the email domain in the userName field.</w:t>
      </w:r>
    </w:p>
    <w:p>
      <w:pPr>
        <w:spacing w:after="160"/>
      </w:pPr>
    </w:p>
    <w:tbl>
      <w:tblPr>
        <w:tblW w:type="dxa" w:w="9000"/>
        <w:tblBorders>
          <w:top w:val="single" w:color="BFC9D9" w:sz="4"/>
          <w:left w:val="single" w:color="BFC9D9" w:sz="4"/>
          <w:bottom w:val="single" w:color="BFC9D9" w:sz="4"/>
          <w:right w:val="single" w:color="BFC9D9" w:sz="4"/>
          <w:insideH w:val="single" w:color="BFC9D9" w:sz="4"/>
          <w:insideV w:val="single" w:color="BFC9D9" w:sz="4"/>
        </w:tblBorders>
        <w:tblLayout w:type="fixed"/>
      </w:tblPr>
      <w:tblGrid>
        <w:gridCol w:w="2200"/>
        <w:gridCol w:w="6800"/>
      </w:tblGrid>
      <w:tr>
        <w:trPr>
          <w:tblHeader/>
        </w:trPr>
        <w:tc>
          <w:tcPr>
            <w:tcW w:type="dxa" w:w="2200"/>
            <w:shd w:fill="1F3864" w:val="clear"/>
            <w:tcMar>
              <w:top w:type="dxa" w:w="60"/>
              <w:left w:type="dxa" w:w="110"/>
              <w:bottom w:type="dxa" w:w="60"/>
              <w:right w:type="dxa" w:w="110"/>
            </w:tcMar>
          </w:tcPr>
          <w:p>
            <w:pPr>
              <w:spacing w:after="50" w:before="50" w:line="260"/>
            </w:pPr>
            <w:r>
              <w:rPr>
                <w:rFonts w:ascii="Calibri" w:cs="Calibri" w:eastAsia="Calibri" w:hAnsi="Calibri"/>
                <w:b/>
                <w:bCs/>
                <w:color w:val="FFFFFF"/>
                <w:sz w:val="19"/>
                <w:szCs w:val="19"/>
              </w:rPr>
              <w:t xml:space="preserve">Value</w:t>
            </w:r>
          </w:p>
        </w:tc>
        <w:tc>
          <w:tcPr>
            <w:tcW w:type="dxa" w:w="6800"/>
            <w:shd w:fill="1F3864" w:val="clear"/>
            <w:tcMar>
              <w:top w:type="dxa" w:w="60"/>
              <w:left w:type="dxa" w:w="110"/>
              <w:bottom w:type="dxa" w:w="60"/>
              <w:right w:type="dxa" w:w="110"/>
            </w:tcMar>
          </w:tcPr>
          <w:p>
            <w:pPr>
              <w:spacing w:after="50" w:before="50" w:line="260"/>
            </w:pPr>
            <w:r>
              <w:rPr>
                <w:rFonts w:ascii="Calibri" w:cs="Calibri" w:eastAsia="Calibri" w:hAnsi="Calibri"/>
                <w:b/>
                <w:bCs/>
                <w:color w:val="FFFFFF"/>
                <w:sz w:val="19"/>
                <w:szCs w:val="19"/>
              </w:rPr>
              <w:t xml:space="preserve">Rule</w:t>
            </w:r>
          </w:p>
        </w:tc>
      </w:tr>
      <w:tr>
        <w:trPr>
          <w:tblHeader w:val="false"/>
        </w:trPr>
        <w:tc>
          <w:tcPr>
            <w:tcW w:type="dxa" w:w="22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Anaplan</w:t>
            </w:r>
          </w:p>
        </w:tc>
        <w:tc>
          <w:tcPr>
            <w:tcW w:type="dxa" w:w="68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Email domain is @anaplan.com — vendor support and consulting personnel</w:t>
            </w:r>
          </w:p>
        </w:tc>
      </w:tr>
      <w:tr>
        <w:trPr>
          <w:tblHeader w:val="false"/>
        </w:trPr>
        <w:tc>
          <w:tcPr>
            <w:tcW w:type="dxa" w:w="22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Customer</w:t>
            </w:r>
          </w:p>
        </w:tc>
        <w:tc>
          <w:tcPr>
            <w:tcW w:type="dxa" w:w="68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Email domain matches an owned organisational domain</w:t>
            </w:r>
          </w:p>
        </w:tc>
      </w:tr>
      <w:tr>
        <w:trPr>
          <w:tblHeader w:val="false"/>
        </w:trPr>
        <w:tc>
          <w:tcPr>
            <w:tcW w:type="dxa" w:w="22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Partner</w:t>
            </w:r>
          </w:p>
        </w:tc>
        <w:tc>
          <w:tcPr>
            <w:tcW w:type="dxa" w:w="68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Email domain matches a listed implementation partner</w:t>
            </w:r>
          </w:p>
        </w:tc>
      </w:tr>
      <w:tr>
        <w:trPr>
          <w:tblHeader w:val="false"/>
        </w:trPr>
        <w:tc>
          <w:tcPr>
            <w:tcW w:type="dxa" w:w="22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Uncategorised</w:t>
            </w:r>
          </w:p>
        </w:tc>
        <w:tc>
          <w:tcPr>
            <w:tcW w:type="dxa" w:w="68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All remaining accounts — these should be reviewed individually</w:t>
            </w:r>
          </w:p>
        </w:tc>
      </w:tr>
    </w:tbl>
    <w:p>
      <w:pPr>
        <w:spacing w:after="160"/>
      </w:pPr>
    </w:p>
    <w:p>
      <w:pPr>
        <w:spacing w:after="120" w:line="276"/>
      </w:pPr>
      <w:r>
        <w:rPr>
          <w:rFonts w:ascii="Calibri" w:cs="Calibri" w:eastAsia="Calibri" w:hAnsi="Calibri"/>
          <w:color w:val="1A1A1A"/>
          <w:sz w:val="21"/>
          <w:szCs w:val="21"/>
        </w:rPr>
        <w:t xml:space="preserve">The domain list should be maintained as a versioned lookup file alongside the extraction job rather than hard-coded, so that partner onboarding and domain changes do not require a code release.</w:t>
      </w:r>
    </w:p>
    <w:p>
      <w:pPr>
        <w:pStyle w:val="Heading1"/>
        <w:pBdr>
          <w:bottom w:val="single" w:color="BFC9D9" w:sz="8" w:space="6"/>
        </w:pBdr>
        <w:spacing w:after="160" w:before="360"/>
      </w:pPr>
      <w:r>
        <w:rPr>
          <w:rFonts w:ascii="Calibri" w:cs="Calibri" w:eastAsia="Calibri" w:hAnsi="Calibri"/>
          <w:b/>
          <w:bCs/>
          <w:color w:val="1F3864"/>
          <w:sz w:val="28"/>
          <w:szCs w:val="28"/>
        </w:rPr>
        <w:t xml:space="preserve">6. Assigned Zone — definition required</w:t>
      </w:r>
    </w:p>
    <w:p>
      <w:pPr>
        <w:spacing w:after="120" w:line="276"/>
      </w:pPr>
      <w:r>
        <w:rPr>
          <w:rFonts w:ascii="Calibri" w:cs="Calibri" w:eastAsia="Calibri" w:hAnsi="Calibri"/>
          <w:color w:val="1A1A1A"/>
          <w:sz w:val="21"/>
          <w:szCs w:val="21"/>
        </w:rPr>
        <w:t xml:space="preserve">No per-user zone attribute exists in Anaplan. Three interpretations are possible and the correct one must be confirmed before this column is built.</w:t>
      </w:r>
    </w:p>
    <w:p>
      <w:pPr>
        <w:spacing w:after="160"/>
      </w:pPr>
    </w:p>
    <w:tbl>
      <w:tblPr>
        <w:tblW w:type="dxa" w:w="9000"/>
        <w:tblBorders>
          <w:top w:val="single" w:color="BFC9D9" w:sz="4"/>
          <w:left w:val="single" w:color="BFC9D9" w:sz="4"/>
          <w:bottom w:val="single" w:color="BFC9D9" w:sz="4"/>
          <w:right w:val="single" w:color="BFC9D9" w:sz="4"/>
          <w:insideH w:val="single" w:color="BFC9D9" w:sz="4"/>
          <w:insideV w:val="single" w:color="BFC9D9" w:sz="4"/>
        </w:tblBorders>
        <w:tblLayout w:type="fixed"/>
      </w:tblPr>
      <w:tblGrid>
        <w:gridCol w:w="2400"/>
        <w:gridCol w:w="3300"/>
        <w:gridCol w:w="3300"/>
      </w:tblGrid>
      <w:tr>
        <w:trPr>
          <w:tblHeader/>
        </w:trPr>
        <w:tc>
          <w:tcPr>
            <w:tcW w:type="dxa" w:w="2400"/>
            <w:shd w:fill="1F3864" w:val="clear"/>
            <w:tcMar>
              <w:top w:type="dxa" w:w="60"/>
              <w:left w:type="dxa" w:w="110"/>
              <w:bottom w:type="dxa" w:w="60"/>
              <w:right w:type="dxa" w:w="110"/>
            </w:tcMar>
          </w:tcPr>
          <w:p>
            <w:pPr>
              <w:spacing w:after="50" w:before="50" w:line="260"/>
            </w:pPr>
            <w:r>
              <w:rPr>
                <w:rFonts w:ascii="Calibri" w:cs="Calibri" w:eastAsia="Calibri" w:hAnsi="Calibri"/>
                <w:b/>
                <w:bCs/>
                <w:color w:val="FFFFFF"/>
                <w:sz w:val="19"/>
                <w:szCs w:val="19"/>
              </w:rPr>
              <w:t xml:space="preserve">Interpretation</w:t>
            </w:r>
          </w:p>
        </w:tc>
        <w:tc>
          <w:tcPr>
            <w:tcW w:type="dxa" w:w="3300"/>
            <w:shd w:fill="1F3864" w:val="clear"/>
            <w:tcMar>
              <w:top w:type="dxa" w:w="60"/>
              <w:left w:type="dxa" w:w="110"/>
              <w:bottom w:type="dxa" w:w="60"/>
              <w:right w:type="dxa" w:w="110"/>
            </w:tcMar>
          </w:tcPr>
          <w:p>
            <w:pPr>
              <w:spacing w:after="50" w:before="50" w:line="260"/>
            </w:pPr>
            <w:r>
              <w:rPr>
                <w:rFonts w:ascii="Calibri" w:cs="Calibri" w:eastAsia="Calibri" w:hAnsi="Calibri"/>
                <w:b/>
                <w:bCs/>
                <w:color w:val="FFFFFF"/>
                <w:sz w:val="19"/>
                <w:szCs w:val="19"/>
              </w:rPr>
              <w:t xml:space="preserve">Source</w:t>
            </w:r>
          </w:p>
        </w:tc>
        <w:tc>
          <w:tcPr>
            <w:tcW w:type="dxa" w:w="3300"/>
            <w:shd w:fill="1F3864" w:val="clear"/>
            <w:tcMar>
              <w:top w:type="dxa" w:w="60"/>
              <w:left w:type="dxa" w:w="110"/>
              <w:bottom w:type="dxa" w:w="60"/>
              <w:right w:type="dxa" w:w="110"/>
            </w:tcMar>
          </w:tcPr>
          <w:p>
            <w:pPr>
              <w:spacing w:after="50" w:before="50" w:line="260"/>
            </w:pPr>
            <w:r>
              <w:rPr>
                <w:rFonts w:ascii="Calibri" w:cs="Calibri" w:eastAsia="Calibri" w:hAnsi="Calibri"/>
                <w:b/>
                <w:bCs/>
                <w:color w:val="FFFFFF"/>
                <w:sz w:val="19"/>
                <w:szCs w:val="19"/>
              </w:rPr>
              <w:t xml:space="preserve">Assessment</w:t>
            </w:r>
          </w:p>
        </w:tc>
      </w:tr>
      <w:tr>
        <w:trPr>
          <w:tblHeader w:val="false"/>
        </w:trPr>
        <w:tc>
          <w:tcPr>
            <w:tcW w:type="dxa" w:w="24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Workspace</w:t>
            </w:r>
          </w:p>
        </w:tc>
        <w:tc>
          <w:tcPr>
            <w:tcW w:type="dxa" w:w="33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GET /2/0/users/{userId}/workspaces</w:t>
            </w:r>
          </w:p>
        </w:tc>
        <w:tc>
          <w:tcPr>
            <w:tcW w:type="dxa" w:w="33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Viable. The column should be renamed Workspace for accuracy.</w:t>
            </w:r>
          </w:p>
        </w:tc>
      </w:tr>
      <w:tr>
        <w:trPr>
          <w:tblHeader w:val="false"/>
        </w:trPr>
        <w:tc>
          <w:tcPr>
            <w:tcW w:type="dxa" w:w="24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Tenant region</w:t>
            </w:r>
          </w:p>
        </w:tc>
        <w:tc>
          <w:tcPr>
            <w:tcW w:type="dxa" w:w="33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Login URL (for example us1a, eu1a)</w:t>
            </w:r>
          </w:p>
        </w:tc>
        <w:tc>
          <w:tcPr>
            <w:tcW w:type="dxa" w:w="33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Single value across the tenant; not meaningful at user level.</w:t>
            </w:r>
          </w:p>
        </w:tc>
      </w:tr>
      <w:tr>
        <w:trPr>
          <w:tblHeader w:val="false"/>
        </w:trPr>
        <w:tc>
          <w:tcPr>
            <w:tcW w:type="dxa" w:w="24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Business region</w:t>
            </w:r>
          </w:p>
        </w:tc>
        <w:tc>
          <w:tcPr>
            <w:tcW w:type="dxa" w:w="33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HR system or identity provider</w:t>
            </w:r>
          </w:p>
        </w:tc>
        <w:tc>
          <w:tcPr>
            <w:tcW w:type="dxa" w:w="33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Not an Anaplan attribute; requires an external join.</w:t>
            </w:r>
          </w:p>
        </w:tc>
      </w:tr>
    </w:tbl>
    <w:p>
      <w:pPr>
        <w:pStyle w:val="Heading1"/>
        <w:pBdr>
          <w:bottom w:val="single" w:color="BFC9D9" w:sz="8" w:space="6"/>
        </w:pBdr>
        <w:spacing w:after="160" w:before="360"/>
      </w:pPr>
      <w:r>
        <w:rPr>
          <w:rFonts w:ascii="Calibri" w:cs="Calibri" w:eastAsia="Calibri" w:hAnsi="Calibri"/>
          <w:b/>
          <w:bCs/>
          <w:color w:val="1F3864"/>
          <w:sz w:val="28"/>
          <w:szCs w:val="28"/>
        </w:rPr>
        <w:t xml:space="preserve">7. Last Active Date — available routes</w:t>
      </w:r>
    </w:p>
    <w:p>
      <w:pPr>
        <w:spacing w:after="120" w:line="276"/>
      </w:pPr>
      <w:r>
        <w:rPr>
          <w:rFonts w:ascii="Calibri" w:cs="Calibri" w:eastAsia="Calibri" w:hAnsi="Calibri"/>
          <w:color w:val="1A1A1A"/>
          <w:sz w:val="21"/>
          <w:szCs w:val="21"/>
        </w:rPr>
        <w:t xml:space="preserve">This attribute is obtainable. Two routes exist and the choice depends on the first test result.</w:t>
      </w:r>
    </w:p>
    <w:p>
      <w:pPr>
        <w:spacing w:after="160"/>
      </w:pPr>
    </w:p>
    <w:p>
      <w:pPr>
        <w:pStyle w:val="Heading2"/>
        <w:spacing w:after="120" w:before="260"/>
      </w:pPr>
      <w:r>
        <w:rPr>
          <w:rFonts w:ascii="Calibri" w:cs="Calibri" w:eastAsia="Calibri" w:hAnsi="Calibri"/>
          <w:b/>
          <w:bCs/>
          <w:color w:val="1F3864"/>
          <w:sz w:val="23"/>
          <w:szCs w:val="23"/>
        </w:rPr>
        <w:t xml:space="preserve">Route 1 — Administration API Export Users (preferred)</w:t>
      </w:r>
    </w:p>
    <w:p>
      <w:pPr>
        <w:spacing w:after="120" w:line="276"/>
      </w:pPr>
      <w:r>
        <w:rPr>
          <w:rFonts w:ascii="Calibri" w:cs="Calibri" w:eastAsia="Calibri" w:hAnsi="Calibri"/>
          <w:color w:val="1A1A1A"/>
          <w:sz w:val="21"/>
          <w:szCs w:val="21"/>
        </w:rPr>
        <w:t xml:space="preserve">Last login is a displayed column on Administration &gt; Users &gt; Internal and appears in the user Details panel alongside Email address and User ID. [R14] The field therefore exists in the platform. If the export carries it, full history is available with no time limit and no additional API surface.</w:t>
      </w:r>
    </w:p>
    <w:p>
      <w:pPr>
        <w:pStyle w:val="Heading2"/>
        <w:spacing w:after="120" w:before="260"/>
      </w:pPr>
      <w:r>
        <w:rPr>
          <w:rFonts w:ascii="Calibri" w:cs="Calibri" w:eastAsia="Calibri" w:hAnsi="Calibri"/>
          <w:b/>
          <w:bCs/>
          <w:color w:val="1F3864"/>
          <w:sz w:val="23"/>
          <w:szCs w:val="23"/>
        </w:rPr>
        <w:t xml:space="preserve">Route 2 — Audit API, event USR-8</w:t>
      </w:r>
    </w:p>
    <w:p>
      <w:pPr>
        <w:spacing w:after="120" w:line="276"/>
      </w:pPr>
      <w:r>
        <w:rPr>
          <w:rFonts w:ascii="Calibri" w:cs="Calibri" w:eastAsia="Calibri" w:hAnsi="Calibri"/>
          <w:color w:val="1A1A1A"/>
          <w:sz w:val="21"/>
          <w:szCs w:val="21"/>
        </w:rPr>
        <w:t xml:space="preserve">Event USR-8 records a successful user login. [R12] This is a confirmed API route, but Anaplan Audit retains only 30 or 90 days of events depending on edition. [R11a] Accounts dormant beyond the retention window return no event, producing a null rather than a true last-active date.</w:t>
      </w:r>
    </w:p>
    <w:p>
      <w:pPr>
        <w:spacing w:after="120" w:line="276"/>
      </w:pPr>
      <w:r>
        <w:rPr>
          <w:rFonts w:ascii="Calibri" w:cs="Calibri" w:eastAsia="Calibri" w:hAnsi="Calibri"/>
          <w:color w:val="1A1A1A"/>
          <w:sz w:val="21"/>
          <w:szCs w:val="21"/>
        </w:rPr>
        <w:t xml:space="preserve">A null under Route 2 remains a usable reclamation signal — an account with no login inside the retention window is a candidate for review — but it is not a complete last-active date and should be labelled accordingly in the output.</w:t>
      </w:r>
    </w:p>
    <w:p>
      <w:pPr>
        <w:spacing w:after="120" w:line="276"/>
      </w:pPr>
      <w:r>
        <w:rPr>
          <w:rFonts w:ascii="Calibri" w:cs="Calibri" w:eastAsia="Calibri" w:hAnsi="Calibri"/>
          <w:color w:val="1A1A1A"/>
          <w:sz w:val="21"/>
          <w:szCs w:val="21"/>
        </w:rPr>
        <w:t xml:space="preserve">Route 2 additionally requires the Tenant Auditor role and Audit to be enabled on the tenant. [R11a]</w:t>
      </w:r>
    </w:p>
    <w:p>
      <w:pPr>
        <w:pStyle w:val="Heading1"/>
        <w:pBdr>
          <w:bottom w:val="single" w:color="BFC9D9" w:sz="8" w:space="6"/>
        </w:pBdr>
        <w:spacing w:after="160" w:before="360"/>
      </w:pPr>
      <w:r>
        <w:rPr>
          <w:rFonts w:ascii="Calibri" w:cs="Calibri" w:eastAsia="Calibri" w:hAnsi="Calibri"/>
          <w:b/>
          <w:bCs/>
          <w:color w:val="1F3864"/>
          <w:sz w:val="28"/>
          <w:szCs w:val="28"/>
        </w:rPr>
        <w:t xml:space="preserve">8. Access requirements</w:t>
      </w:r>
    </w:p>
    <w:tbl>
      <w:tblPr>
        <w:tblW w:type="dxa" w:w="9000"/>
        <w:tblBorders>
          <w:top w:val="single" w:color="BFC9D9" w:sz="4"/>
          <w:left w:val="single" w:color="BFC9D9" w:sz="4"/>
          <w:bottom w:val="single" w:color="BFC9D9" w:sz="4"/>
          <w:right w:val="single" w:color="BFC9D9" w:sz="4"/>
          <w:insideH w:val="single" w:color="BFC9D9" w:sz="4"/>
          <w:insideV w:val="single" w:color="BFC9D9" w:sz="4"/>
        </w:tblBorders>
        <w:tblLayout w:type="fixed"/>
      </w:tblPr>
      <w:tblGrid>
        <w:gridCol w:w="3000"/>
        <w:gridCol w:w="6000"/>
      </w:tblGrid>
      <w:tr>
        <w:trPr>
          <w:tblHeader/>
        </w:trPr>
        <w:tc>
          <w:tcPr>
            <w:tcW w:type="dxa" w:w="3000"/>
            <w:shd w:fill="1F3864" w:val="clear"/>
            <w:tcMar>
              <w:top w:type="dxa" w:w="60"/>
              <w:left w:type="dxa" w:w="110"/>
              <w:bottom w:type="dxa" w:w="60"/>
              <w:right w:type="dxa" w:w="110"/>
            </w:tcMar>
          </w:tcPr>
          <w:p>
            <w:pPr>
              <w:spacing w:after="50" w:before="50" w:line="260"/>
            </w:pPr>
            <w:r>
              <w:rPr>
                <w:rFonts w:ascii="Calibri" w:cs="Calibri" w:eastAsia="Calibri" w:hAnsi="Calibri"/>
                <w:b/>
                <w:bCs/>
                <w:color w:val="FFFFFF"/>
                <w:sz w:val="19"/>
                <w:szCs w:val="19"/>
              </w:rPr>
              <w:t xml:space="preserve">Role or credential</w:t>
            </w:r>
          </w:p>
        </w:tc>
        <w:tc>
          <w:tcPr>
            <w:tcW w:type="dxa" w:w="6000"/>
            <w:shd w:fill="1F3864" w:val="clear"/>
            <w:tcMar>
              <w:top w:type="dxa" w:w="60"/>
              <w:left w:type="dxa" w:w="110"/>
              <w:bottom w:type="dxa" w:w="60"/>
              <w:right w:type="dxa" w:w="110"/>
            </w:tcMar>
          </w:tcPr>
          <w:p>
            <w:pPr>
              <w:spacing w:after="50" w:before="50" w:line="260"/>
            </w:pPr>
            <w:r>
              <w:rPr>
                <w:rFonts w:ascii="Calibri" w:cs="Calibri" w:eastAsia="Calibri" w:hAnsi="Calibri"/>
                <w:b/>
                <w:bCs/>
                <w:color w:val="FFFFFF"/>
                <w:sz w:val="19"/>
                <w:szCs w:val="19"/>
              </w:rPr>
              <w:t xml:space="preserve">Required for</w:t>
            </w:r>
          </w:p>
        </w:tc>
      </w:tr>
      <w:tr>
        <w:trPr>
          <w:tblHeader w:val="false"/>
        </w:trPr>
        <w:tc>
          <w:tcPr>
            <w:tcW w:type="dxa" w:w="30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Workspace Administrator</w:t>
            </w:r>
          </w:p>
        </w:tc>
        <w:tc>
          <w:tcPr>
            <w:tcW w:type="dxa" w:w="60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Full tenant user list via GET /2/0/users</w:t>
            </w:r>
          </w:p>
        </w:tc>
      </w:tr>
      <w:tr>
        <w:trPr>
          <w:tblHeader w:val="false"/>
        </w:trPr>
        <w:tc>
          <w:tcPr>
            <w:tcW w:type="dxa" w:w="30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User Administrator</w:t>
            </w:r>
          </w:p>
        </w:tc>
        <w:tc>
          <w:tcPr>
            <w:tcW w:type="dxa" w:w="60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Administration API Export Users</w:t>
            </w:r>
          </w:p>
        </w:tc>
      </w:tr>
      <w:tr>
        <w:trPr>
          <w:tblHeader w:val="false"/>
        </w:trPr>
        <w:tc>
          <w:tcPr>
            <w:tcW w:type="dxa" w:w="30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SCIM API key</w:t>
            </w:r>
          </w:p>
        </w:tc>
        <w:tc>
          <w:tcPr>
            <w:tcW w:type="dxa" w:w="60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Account Creation Date. This is a separate credential from the authentication token.</w:t>
            </w:r>
          </w:p>
        </w:tc>
      </w:tr>
      <w:tr>
        <w:trPr>
          <w:tblHeader w:val="false"/>
        </w:trPr>
        <w:tc>
          <w:tcPr>
            <w:tcW w:type="dxa" w:w="30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CA certificate and private key</w:t>
            </w:r>
          </w:p>
        </w:tc>
        <w:tc>
          <w:tcPr>
            <w:tcW w:type="dxa" w:w="60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Authentication. Preferred over basic authentication.</w:t>
            </w:r>
          </w:p>
        </w:tc>
      </w:tr>
      <w:tr>
        <w:trPr>
          <w:tblHeader w:val="false"/>
        </w:trPr>
        <w:tc>
          <w:tcPr>
            <w:tcW w:type="dxa" w:w="30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Tenant Auditor, with Audit enabled</w:t>
            </w:r>
          </w:p>
        </w:tc>
        <w:tc>
          <w:tcPr>
            <w:tcW w:type="dxa" w:w="60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Required only if Last Active Date falls back to the Audit API.</w:t>
            </w:r>
          </w:p>
        </w:tc>
      </w:tr>
    </w:tbl>
    <w:p>
      <w:r>
        <w:br w:type="page"/>
      </w:r>
    </w:p>
    <w:p>
      <w:pPr>
        <w:pStyle w:val="Heading1"/>
        <w:pBdr>
          <w:bottom w:val="single" w:color="BFC9D9" w:sz="8" w:space="6"/>
        </w:pBdr>
        <w:spacing w:after="160" w:before="360"/>
      </w:pPr>
      <w:r>
        <w:rPr>
          <w:rFonts w:ascii="Calibri" w:cs="Calibri" w:eastAsia="Calibri" w:hAnsi="Calibri"/>
          <w:b/>
          <w:bCs/>
          <w:color w:val="1F3864"/>
          <w:sz w:val="28"/>
          <w:szCs w:val="28"/>
        </w:rPr>
        <w:t xml:space="preserve">9. Test sequence</w:t>
      </w:r>
    </w:p>
    <w:p>
      <w:pPr>
        <w:spacing w:after="120" w:line="276"/>
      </w:pPr>
      <w:r>
        <w:rPr>
          <w:rFonts w:ascii="Calibri" w:cs="Calibri" w:eastAsia="Calibri" w:hAnsi="Calibri"/>
          <w:color w:val="1A1A1A"/>
          <w:sz w:val="21"/>
          <w:szCs w:val="21"/>
        </w:rPr>
        <w:t xml:space="preserve">Tests should be executed in the order below. Actual returned field names must be recorded rather than assumed from documentation.</w:t>
      </w:r>
    </w:p>
    <w:p>
      <w:pPr>
        <w:spacing w:after="160"/>
      </w:pPr>
    </w:p>
    <w:tbl>
      <w:tblPr>
        <w:tblW w:type="dxa" w:w="9000"/>
        <w:tblBorders>
          <w:top w:val="single" w:color="BFC9D9" w:sz="4"/>
          <w:left w:val="single" w:color="BFC9D9" w:sz="4"/>
          <w:bottom w:val="single" w:color="BFC9D9" w:sz="4"/>
          <w:right w:val="single" w:color="BFC9D9" w:sz="4"/>
          <w:insideH w:val="single" w:color="BFC9D9" w:sz="4"/>
          <w:insideV w:val="single" w:color="BFC9D9" w:sz="4"/>
        </w:tblBorders>
        <w:tblLayout w:type="fixed"/>
      </w:tblPr>
      <w:tblGrid>
        <w:gridCol w:w="500"/>
        <w:gridCol w:w="4400"/>
        <w:gridCol w:w="4100"/>
      </w:tblGrid>
      <w:tr>
        <w:trPr>
          <w:tblHeader/>
        </w:trPr>
        <w:tc>
          <w:tcPr>
            <w:tcW w:type="dxa" w:w="500"/>
            <w:shd w:fill="1F3864" w:val="clear"/>
            <w:tcMar>
              <w:top w:type="dxa" w:w="60"/>
              <w:left w:type="dxa" w:w="110"/>
              <w:bottom w:type="dxa" w:w="60"/>
              <w:right w:type="dxa" w:w="110"/>
            </w:tcMar>
          </w:tcPr>
          <w:p>
            <w:pPr>
              <w:spacing w:after="50" w:before="50" w:line="260"/>
            </w:pPr>
            <w:r>
              <w:rPr>
                <w:rFonts w:ascii="Calibri" w:cs="Calibri" w:eastAsia="Calibri" w:hAnsi="Calibri"/>
                <w:b/>
                <w:bCs/>
                <w:color w:val="FFFFFF"/>
                <w:sz w:val="19"/>
                <w:szCs w:val="19"/>
              </w:rPr>
              <w:t xml:space="preserve">#</w:t>
            </w:r>
          </w:p>
        </w:tc>
        <w:tc>
          <w:tcPr>
            <w:tcW w:type="dxa" w:w="4400"/>
            <w:shd w:fill="1F3864" w:val="clear"/>
            <w:tcMar>
              <w:top w:type="dxa" w:w="60"/>
              <w:left w:type="dxa" w:w="110"/>
              <w:bottom w:type="dxa" w:w="60"/>
              <w:right w:type="dxa" w:w="110"/>
            </w:tcMar>
          </w:tcPr>
          <w:p>
            <w:pPr>
              <w:spacing w:after="50" w:before="50" w:line="260"/>
            </w:pPr>
            <w:r>
              <w:rPr>
                <w:rFonts w:ascii="Calibri" w:cs="Calibri" w:eastAsia="Calibri" w:hAnsi="Calibri"/>
                <w:b/>
                <w:bCs/>
                <w:color w:val="FFFFFF"/>
                <w:sz w:val="19"/>
                <w:szCs w:val="19"/>
              </w:rPr>
              <w:t xml:space="preserve">Test</w:t>
            </w:r>
          </w:p>
        </w:tc>
        <w:tc>
          <w:tcPr>
            <w:tcW w:type="dxa" w:w="4100"/>
            <w:shd w:fill="1F3864" w:val="clear"/>
            <w:tcMar>
              <w:top w:type="dxa" w:w="60"/>
              <w:left w:type="dxa" w:w="110"/>
              <w:bottom w:type="dxa" w:w="60"/>
              <w:right w:type="dxa" w:w="110"/>
            </w:tcMar>
          </w:tcPr>
          <w:p>
            <w:pPr>
              <w:spacing w:after="50" w:before="50" w:line="260"/>
            </w:pPr>
            <w:r>
              <w:rPr>
                <w:rFonts w:ascii="Calibri" w:cs="Calibri" w:eastAsia="Calibri" w:hAnsi="Calibri"/>
                <w:b/>
                <w:bCs/>
                <w:color w:val="FFFFFF"/>
                <w:sz w:val="19"/>
                <w:szCs w:val="19"/>
              </w:rPr>
              <w:t xml:space="preserve">Pass criterion</w:t>
            </w:r>
          </w:p>
        </w:tc>
      </w:tr>
      <w:tr>
        <w:trPr>
          <w:tblHeader w:val="false"/>
        </w:trPr>
        <w:tc>
          <w:tcPr>
            <w:tcW w:type="dxa" w:w="5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1</w:t>
            </w:r>
          </w:p>
        </w:tc>
        <w:tc>
          <w:tcPr>
            <w:tcW w:type="dxa" w:w="44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Obtain authentication token</w:t>
            </w:r>
          </w:p>
        </w:tc>
        <w:tc>
          <w:tcPr>
            <w:tcW w:type="dxa" w:w="41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status returns SUCCESS and tokenValue is present</w:t>
            </w:r>
          </w:p>
        </w:tc>
      </w:tr>
      <w:tr>
        <w:trPr>
          <w:tblHeader w:val="false"/>
        </w:trPr>
        <w:tc>
          <w:tcPr>
            <w:tcW w:type="dxa" w:w="5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2</w:t>
            </w:r>
          </w:p>
        </w:tc>
        <w:tc>
          <w:tcPr>
            <w:tcW w:type="dxa" w:w="44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Refresh token at approximately 30 minutes</w:t>
            </w:r>
          </w:p>
        </w:tc>
        <w:tc>
          <w:tcPr>
            <w:tcW w:type="dxa" w:w="41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New tokenValue issued and expiresAt advanced</w:t>
            </w:r>
          </w:p>
        </w:tc>
      </w:tr>
      <w:tr>
        <w:trPr>
          <w:tblHeader w:val="false"/>
        </w:trPr>
        <w:tc>
          <w:tcPr>
            <w:tcW w:type="dxa" w:w="5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3</w:t>
            </w:r>
          </w:p>
        </w:tc>
        <w:tc>
          <w:tcPr>
            <w:tcW w:type="dxa" w:w="44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GET /2/0/users with explicit limit and offset</w:t>
            </w:r>
          </w:p>
        </w:tc>
        <w:tc>
          <w:tcPr>
            <w:tcW w:type="dxa" w:w="41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Complete tenant roster retrieved; count reconciles to the Administration console</w:t>
            </w:r>
          </w:p>
        </w:tc>
      </w:tr>
      <w:tr>
        <w:trPr>
          <w:tblHeader w:val="false"/>
        </w:trPr>
        <w:tc>
          <w:tcPr>
            <w:tcW w:type="dxa" w:w="5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4</w:t>
            </w:r>
          </w:p>
        </w:tc>
        <w:tc>
          <w:tcPr>
            <w:tcW w:type="dxa" w:w="44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Export Users — record every field name returned</w:t>
            </w:r>
          </w:p>
        </w:tc>
        <w:tc>
          <w:tcPr>
            <w:tcW w:type="dxa" w:w="41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Licence type, licence state and last login all present</w:t>
            </w:r>
          </w:p>
        </w:tc>
      </w:tr>
      <w:tr>
        <w:trPr>
          <w:tblHeader w:val="false"/>
        </w:trPr>
        <w:tc>
          <w:tcPr>
            <w:tcW w:type="dxa" w:w="5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5</w:t>
            </w:r>
          </w:p>
        </w:tc>
        <w:tc>
          <w:tcPr>
            <w:tcW w:type="dxa" w:w="44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SCIM GET /Users</w:t>
            </w:r>
          </w:p>
        </w:tc>
        <w:tc>
          <w:tcPr>
            <w:tcW w:type="dxa" w:w="41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meta.created populated for a long-tenured account</w:t>
            </w:r>
          </w:p>
        </w:tc>
      </w:tr>
      <w:tr>
        <w:trPr>
          <w:tblHeader w:val="false"/>
        </w:trPr>
        <w:tc>
          <w:tcPr>
            <w:tcW w:type="dxa" w:w="5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6</w:t>
            </w:r>
          </w:p>
        </w:tc>
        <w:tc>
          <w:tcPr>
            <w:tcW w:type="dxa" w:w="44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GET /2/0/users/{userId}/workspaces</w:t>
            </w:r>
          </w:p>
        </w:tc>
        <w:tc>
          <w:tcPr>
            <w:tcW w:type="dxa" w:w="41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Workspace list returned for a known multi-workspace user</w:t>
            </w:r>
          </w:p>
        </w:tc>
      </w:tr>
      <w:tr>
        <w:trPr>
          <w:tblHeader w:val="false"/>
        </w:trPr>
        <w:tc>
          <w:tcPr>
            <w:tcW w:type="dxa" w:w="5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7</w:t>
            </w:r>
          </w:p>
        </w:tc>
        <w:tc>
          <w:tcPr>
            <w:tcW w:type="dxa" w:w="44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Run at production cadence</w:t>
            </w:r>
          </w:p>
        </w:tc>
        <w:tc>
          <w:tcPr>
            <w:tcW w:type="dxa" w:w="41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No sustained HTTP 429 responses</w:t>
            </w:r>
          </w:p>
        </w:tc>
      </w:tr>
      <w:tr>
        <w:trPr>
          <w:tblHeader w:val="false"/>
        </w:trPr>
        <w:tc>
          <w:tcPr>
            <w:tcW w:type="dxa" w:w="5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8</w:t>
            </w:r>
          </w:p>
        </w:tc>
        <w:tc>
          <w:tcPr>
            <w:tcW w:type="dxa" w:w="44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CSV output</w:t>
            </w:r>
          </w:p>
        </w:tc>
        <w:tc>
          <w:tcPr>
            <w:tcW w:type="dxa" w:w="41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Nine columns, correct data types, as-of timestamp applied</w:t>
            </w:r>
          </w:p>
        </w:tc>
      </w:tr>
    </w:tbl>
    <w:p>
      <w:pPr>
        <w:spacing w:after="160"/>
      </w:pPr>
    </w:p>
    <w:p>
      <w:pPr>
        <w:spacing w:after="120" w:line="276"/>
      </w:pPr>
      <w:r>
        <w:rPr>
          <w:rFonts w:ascii="Calibri" w:cs="Calibri" w:eastAsia="Calibri" w:hAnsi="Calibri"/>
          <w:color w:val="1A1A1A"/>
          <w:sz w:val="21"/>
          <w:szCs w:val="21"/>
        </w:rPr>
        <w:t xml:space="preserve">Test 4 is the determining test for the build. Any attribute not returned should be recorded in the gap log below, which forms the basis of any request to Anaplan for additional API access.</w:t>
      </w:r>
    </w:p>
    <w:p>
      <w:pPr>
        <w:spacing w:after="160"/>
      </w:pPr>
    </w:p>
    <w:tbl>
      <w:tblPr>
        <w:tblW w:type="dxa" w:w="9000"/>
        <w:tblBorders>
          <w:top w:val="single" w:color="BFC9D9" w:sz="4"/>
          <w:left w:val="single" w:color="BFC9D9" w:sz="4"/>
          <w:bottom w:val="single" w:color="BFC9D9" w:sz="4"/>
          <w:right w:val="single" w:color="BFC9D9" w:sz="4"/>
          <w:insideH w:val="single" w:color="BFC9D9" w:sz="4"/>
          <w:insideV w:val="single" w:color="BFC9D9" w:sz="4"/>
        </w:tblBorders>
        <w:tblLayout w:type="fixed"/>
      </w:tblPr>
      <w:tblGrid>
        <w:gridCol w:w="2000"/>
        <w:gridCol w:w="2200"/>
        <w:gridCol w:w="1800"/>
        <w:gridCol w:w="1600"/>
        <w:gridCol w:w="1400"/>
      </w:tblGrid>
      <w:tr>
        <w:trPr>
          <w:tblHeader/>
        </w:trPr>
        <w:tc>
          <w:tcPr>
            <w:tcW w:type="dxa" w:w="2000"/>
            <w:shd w:fill="1F3864" w:val="clear"/>
            <w:tcMar>
              <w:top w:type="dxa" w:w="60"/>
              <w:left w:type="dxa" w:w="110"/>
              <w:bottom w:type="dxa" w:w="60"/>
              <w:right w:type="dxa" w:w="110"/>
            </w:tcMar>
          </w:tcPr>
          <w:p>
            <w:pPr>
              <w:spacing w:after="50" w:before="50" w:line="260"/>
            </w:pPr>
            <w:r>
              <w:rPr>
                <w:rFonts w:ascii="Calibri" w:cs="Calibri" w:eastAsia="Calibri" w:hAnsi="Calibri"/>
                <w:b/>
                <w:bCs/>
                <w:color w:val="FFFFFF"/>
                <w:sz w:val="19"/>
                <w:szCs w:val="19"/>
              </w:rPr>
              <w:t xml:space="preserve">Attribute</w:t>
            </w:r>
          </w:p>
        </w:tc>
        <w:tc>
          <w:tcPr>
            <w:tcW w:type="dxa" w:w="2200"/>
            <w:shd w:fill="1F3864" w:val="clear"/>
            <w:tcMar>
              <w:top w:type="dxa" w:w="60"/>
              <w:left w:type="dxa" w:w="110"/>
              <w:bottom w:type="dxa" w:w="60"/>
              <w:right w:type="dxa" w:w="110"/>
            </w:tcMar>
          </w:tcPr>
          <w:p>
            <w:pPr>
              <w:spacing w:after="50" w:before="50" w:line="260"/>
            </w:pPr>
            <w:r>
              <w:rPr>
                <w:rFonts w:ascii="Calibri" w:cs="Calibri" w:eastAsia="Calibri" w:hAnsi="Calibri"/>
                <w:b/>
                <w:bCs/>
                <w:color w:val="FFFFFF"/>
                <w:sz w:val="19"/>
                <w:szCs w:val="19"/>
              </w:rPr>
              <w:t xml:space="preserve">Expected source</w:t>
            </w:r>
          </w:p>
        </w:tc>
        <w:tc>
          <w:tcPr>
            <w:tcW w:type="dxa" w:w="1800"/>
            <w:shd w:fill="1F3864" w:val="clear"/>
            <w:tcMar>
              <w:top w:type="dxa" w:w="60"/>
              <w:left w:type="dxa" w:w="110"/>
              <w:bottom w:type="dxa" w:w="60"/>
              <w:right w:type="dxa" w:w="110"/>
            </w:tcMar>
          </w:tcPr>
          <w:p>
            <w:pPr>
              <w:spacing w:after="50" w:before="50" w:line="260"/>
            </w:pPr>
            <w:r>
              <w:rPr>
                <w:rFonts w:ascii="Calibri" w:cs="Calibri" w:eastAsia="Calibri" w:hAnsi="Calibri"/>
                <w:b/>
                <w:bCs/>
                <w:color w:val="FFFFFF"/>
                <w:sz w:val="19"/>
                <w:szCs w:val="19"/>
              </w:rPr>
              <w:t xml:space="preserve">Actual result</w:t>
            </w:r>
          </w:p>
        </w:tc>
        <w:tc>
          <w:tcPr>
            <w:tcW w:type="dxa" w:w="1600"/>
            <w:shd w:fill="1F3864" w:val="clear"/>
            <w:tcMar>
              <w:top w:type="dxa" w:w="60"/>
              <w:left w:type="dxa" w:w="110"/>
              <w:bottom w:type="dxa" w:w="60"/>
              <w:right w:type="dxa" w:w="110"/>
            </w:tcMar>
          </w:tcPr>
          <w:p>
            <w:pPr>
              <w:spacing w:after="50" w:before="50" w:line="260"/>
            </w:pPr>
            <w:r>
              <w:rPr>
                <w:rFonts w:ascii="Calibri" w:cs="Calibri" w:eastAsia="Calibri" w:hAnsi="Calibri"/>
                <w:b/>
                <w:bCs/>
                <w:color w:val="FFFFFF"/>
                <w:sz w:val="19"/>
                <w:szCs w:val="19"/>
              </w:rPr>
              <w:t xml:space="preserve">Impact</w:t>
            </w:r>
          </w:p>
        </w:tc>
        <w:tc>
          <w:tcPr>
            <w:tcW w:type="dxa" w:w="1400"/>
            <w:shd w:fill="1F3864" w:val="clear"/>
            <w:tcMar>
              <w:top w:type="dxa" w:w="60"/>
              <w:left w:type="dxa" w:w="110"/>
              <w:bottom w:type="dxa" w:w="60"/>
              <w:right w:type="dxa" w:w="110"/>
            </w:tcMar>
          </w:tcPr>
          <w:p>
            <w:pPr>
              <w:spacing w:after="50" w:before="50" w:line="260"/>
            </w:pPr>
            <w:r>
              <w:rPr>
                <w:rFonts w:ascii="Calibri" w:cs="Calibri" w:eastAsia="Calibri" w:hAnsi="Calibri"/>
                <w:b/>
                <w:bCs/>
                <w:color w:val="FFFFFF"/>
                <w:sz w:val="19"/>
                <w:szCs w:val="19"/>
              </w:rPr>
              <w:t xml:space="preserve">Request</w:t>
            </w:r>
          </w:p>
        </w:tc>
      </w:tr>
      <w:tr>
        <w:trPr>
          <w:tblHeader w:val="false"/>
        </w:trPr>
        <w:tc>
          <w:tcPr>
            <w:tcW w:type="dxa" w:w="20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
            </w:r>
          </w:p>
        </w:tc>
        <w:tc>
          <w:tcPr>
            <w:tcW w:type="dxa" w:w="22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
            </w:r>
          </w:p>
        </w:tc>
        <w:tc>
          <w:tcPr>
            <w:tcW w:type="dxa" w:w="18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
            </w:r>
          </w:p>
        </w:tc>
        <w:tc>
          <w:tcPr>
            <w:tcW w:type="dxa" w:w="16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
            </w:r>
          </w:p>
        </w:tc>
        <w:tc>
          <w:tcPr>
            <w:tcW w:type="dxa" w:w="14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
            </w:r>
          </w:p>
        </w:tc>
      </w:tr>
      <w:tr>
        <w:trPr>
          <w:tblHeader w:val="false"/>
        </w:trPr>
        <w:tc>
          <w:tcPr>
            <w:tcW w:type="dxa" w:w="20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
            </w:r>
          </w:p>
        </w:tc>
        <w:tc>
          <w:tcPr>
            <w:tcW w:type="dxa" w:w="22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
            </w:r>
          </w:p>
        </w:tc>
        <w:tc>
          <w:tcPr>
            <w:tcW w:type="dxa" w:w="18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
            </w:r>
          </w:p>
        </w:tc>
        <w:tc>
          <w:tcPr>
            <w:tcW w:type="dxa" w:w="16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
            </w:r>
          </w:p>
        </w:tc>
        <w:tc>
          <w:tcPr>
            <w:tcW w:type="dxa" w:w="14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
            </w:r>
          </w:p>
        </w:tc>
      </w:tr>
      <w:tr>
        <w:trPr>
          <w:tblHeader w:val="false"/>
        </w:trPr>
        <w:tc>
          <w:tcPr>
            <w:tcW w:type="dxa" w:w="20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
            </w:r>
          </w:p>
        </w:tc>
        <w:tc>
          <w:tcPr>
            <w:tcW w:type="dxa" w:w="22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
            </w:r>
          </w:p>
        </w:tc>
        <w:tc>
          <w:tcPr>
            <w:tcW w:type="dxa" w:w="18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
            </w:r>
          </w:p>
        </w:tc>
        <w:tc>
          <w:tcPr>
            <w:tcW w:type="dxa" w:w="16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
            </w:r>
          </w:p>
        </w:tc>
        <w:tc>
          <w:tcPr>
            <w:tcW w:type="dxa" w:w="14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
            </w:r>
          </w:p>
        </w:tc>
      </w:tr>
    </w:tbl>
    <w:p>
      <w:pPr>
        <w:spacing w:after="160"/>
      </w:pPr>
    </w:p>
    <w:p>
      <w:pPr>
        <w:pStyle w:val="Heading2"/>
        <w:spacing w:after="120" w:before="260"/>
      </w:pPr>
      <w:r>
        <w:rPr>
          <w:rFonts w:ascii="Calibri" w:cs="Calibri" w:eastAsia="Calibri" w:hAnsi="Calibri"/>
          <w:b/>
          <w:bCs/>
          <w:color w:val="1F3864"/>
          <w:sz w:val="23"/>
          <w:szCs w:val="23"/>
        </w:rPr>
        <w:t xml:space="preserve">Operational notes</w:t>
      </w:r>
    </w:p>
    <w:p>
      <w:pPr>
        <w:pStyle w:val="ListParagraph"/>
        <w:numPr>
          <w:ilvl w:val="0"/>
          <w:numId w:val="3"/>
        </w:numPr>
        <w:spacing w:after="80" w:line="276"/>
      </w:pPr>
      <w:r>
        <w:rPr>
          <w:rFonts w:ascii="Calibri" w:cs="Calibri" w:eastAsia="Calibri" w:hAnsi="Calibri"/>
          <w:color w:val="1A1A1A"/>
          <w:sz w:val="21"/>
          <w:szCs w:val="21"/>
        </w:rPr>
        <w:t xml:space="preserve">The API rate limit applies at tenant level and is shared across all workspaces. An HTTP 429 response returns a Retry-After header; Anaplan advises implementing a fixed 10-second timeout on 429. [R6]</w:t>
      </w:r>
    </w:p>
    <w:p>
      <w:pPr>
        <w:pStyle w:val="ListParagraph"/>
        <w:numPr>
          <w:ilvl w:val="0"/>
          <w:numId w:val="3"/>
        </w:numPr>
        <w:spacing w:after="80" w:line="276"/>
      </w:pPr>
      <w:r>
        <w:rPr>
          <w:rFonts w:ascii="Calibri" w:cs="Calibri" w:eastAsia="Calibri" w:hAnsi="Calibri"/>
          <w:color w:val="1A1A1A"/>
          <w:sz w:val="21"/>
          <w:szCs w:val="21"/>
        </w:rPr>
        <w:t xml:space="preserve">Pagination is offset-based, using limit and offset parameters. [R6]</w:t>
      </w:r>
    </w:p>
    <w:p>
      <w:pPr>
        <w:pStyle w:val="ListParagraph"/>
        <w:numPr>
          <w:ilvl w:val="0"/>
          <w:numId w:val="3"/>
        </w:numPr>
        <w:spacing w:after="80" w:line="276"/>
      </w:pPr>
      <w:r>
        <w:rPr>
          <w:rFonts w:ascii="Calibri" w:cs="Calibri" w:eastAsia="Calibri" w:hAnsi="Calibri"/>
          <w:color w:val="1A1A1A"/>
          <w:sz w:val="21"/>
          <w:szCs w:val="21"/>
        </w:rPr>
        <w:t xml:space="preserve">Path parameters are case sensitive. Workspace identifiers are lowercase and model identifiers are uppercase; incorrect casing causes the object not to be recognised. [R6]</w:t>
      </w:r>
    </w:p>
    <w:p>
      <w:pPr>
        <w:pStyle w:val="ListParagraph"/>
        <w:numPr>
          <w:ilvl w:val="0"/>
          <w:numId w:val="3"/>
        </w:numPr>
        <w:spacing w:after="80" w:line="276"/>
      </w:pPr>
      <w:r>
        <w:rPr>
          <w:rFonts w:ascii="Calibri" w:cs="Calibri" w:eastAsia="Calibri" w:hAnsi="Calibri"/>
          <w:color w:val="1A1A1A"/>
          <w:sz w:val="21"/>
          <w:szCs w:val="21"/>
        </w:rPr>
        <w:t xml:space="preserve">TLS 1.3 is required. [R6]</w:t>
      </w:r>
    </w:p>
    <w:p>
      <w:pPr>
        <w:pStyle w:val="ListParagraph"/>
        <w:numPr>
          <w:ilvl w:val="0"/>
          <w:numId w:val="3"/>
        </w:numPr>
        <w:spacing w:after="80" w:line="276"/>
      </w:pPr>
      <w:r>
        <w:rPr>
          <w:rFonts w:ascii="Calibri" w:cs="Calibri" w:eastAsia="Calibri" w:hAnsi="Calibri"/>
          <w:color w:val="1A1A1A"/>
          <w:sz w:val="21"/>
          <w:szCs w:val="21"/>
        </w:rPr>
        <w:t xml:space="preserve">Anaplan states that response fields are not fixed. Parsers should be written to ignore unknown or additional fields. [R6]</w:t>
      </w:r>
    </w:p>
    <w:p>
      <w:pPr>
        <w:pStyle w:val="Heading1"/>
        <w:pBdr>
          <w:bottom w:val="single" w:color="BFC9D9" w:sz="8" w:space="6"/>
        </w:pBdr>
        <w:spacing w:after="160" w:before="360"/>
      </w:pPr>
      <w:r>
        <w:rPr>
          <w:rFonts w:ascii="Calibri" w:cs="Calibri" w:eastAsia="Calibri" w:hAnsi="Calibri"/>
          <w:b/>
          <w:bCs/>
          <w:color w:val="1F3864"/>
          <w:sz w:val="28"/>
          <w:szCs w:val="28"/>
        </w:rPr>
        <w:t xml:space="preserve">10. References</w:t>
      </w:r>
    </w:p>
    <w:tbl>
      <w:tblPr>
        <w:tblW w:type="dxa" w:w="9000"/>
        <w:tblBorders>
          <w:top w:val="single" w:color="BFC9D9" w:sz="4"/>
          <w:left w:val="single" w:color="BFC9D9" w:sz="4"/>
          <w:bottom w:val="single" w:color="BFC9D9" w:sz="4"/>
          <w:right w:val="single" w:color="BFC9D9" w:sz="4"/>
          <w:insideH w:val="single" w:color="BFC9D9" w:sz="4"/>
          <w:insideV w:val="single" w:color="BFC9D9" w:sz="4"/>
        </w:tblBorders>
        <w:tblLayout w:type="fixed"/>
      </w:tblPr>
      <w:tblGrid>
        <w:gridCol w:w="700"/>
        <w:gridCol w:w="8300"/>
      </w:tblGrid>
      <w:tr>
        <w:trPr>
          <w:tblHeader/>
        </w:trPr>
        <w:tc>
          <w:tcPr>
            <w:tcW w:type="dxa" w:w="700"/>
            <w:shd w:fill="1F3864" w:val="clear"/>
            <w:tcMar>
              <w:top w:type="dxa" w:w="60"/>
              <w:left w:type="dxa" w:w="110"/>
              <w:bottom w:type="dxa" w:w="60"/>
              <w:right w:type="dxa" w:w="110"/>
            </w:tcMar>
          </w:tcPr>
          <w:p>
            <w:pPr>
              <w:spacing w:after="50" w:before="50" w:line="260"/>
            </w:pPr>
            <w:r>
              <w:rPr>
                <w:rFonts w:ascii="Calibri" w:cs="Calibri" w:eastAsia="Calibri" w:hAnsi="Calibri"/>
                <w:b/>
                <w:bCs/>
                <w:color w:val="FFFFFF"/>
                <w:sz w:val="19"/>
                <w:szCs w:val="19"/>
              </w:rPr>
              <w:t xml:space="preserve">Ref</w:t>
            </w:r>
          </w:p>
        </w:tc>
        <w:tc>
          <w:tcPr>
            <w:tcW w:type="dxa" w:w="8300"/>
            <w:shd w:fill="1F3864" w:val="clear"/>
            <w:tcMar>
              <w:top w:type="dxa" w:w="60"/>
              <w:left w:type="dxa" w:w="110"/>
              <w:bottom w:type="dxa" w:w="60"/>
              <w:right w:type="dxa" w:w="110"/>
            </w:tcMar>
          </w:tcPr>
          <w:p>
            <w:pPr>
              <w:spacing w:after="50" w:before="50" w:line="260"/>
            </w:pPr>
            <w:r>
              <w:rPr>
                <w:rFonts w:ascii="Calibri" w:cs="Calibri" w:eastAsia="Calibri" w:hAnsi="Calibri"/>
                <w:b/>
                <w:bCs/>
                <w:color w:val="FFFFFF"/>
                <w:sz w:val="19"/>
                <w:szCs w:val="19"/>
              </w:rPr>
              <w:t xml:space="preserve">Source</w:t>
            </w:r>
          </w:p>
        </w:tc>
      </w:tr>
      <w:tr>
        <w:trPr>
          <w:tblHeader w:val="false"/>
        </w:trPr>
        <w:tc>
          <w:tcPr>
            <w:tcW w:type="dxa" w:w="7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R1</w:t>
            </w:r>
          </w:p>
        </w:tc>
        <w:tc>
          <w:tcPr>
            <w:tcW w:type="dxa" w:w="83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Use basic authentication — help.anaplan.com/use-basic-authentication-3a4a2905-3d55-4199-a980-d1a89ffdcb7e</w:t>
            </w:r>
          </w:p>
        </w:tc>
      </w:tr>
      <w:tr>
        <w:trPr>
          <w:tblHeader w:val="false"/>
        </w:trPr>
        <w:tc>
          <w:tcPr>
            <w:tcW w:type="dxa" w:w="7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R2</w:t>
            </w:r>
          </w:p>
        </w:tc>
        <w:tc>
          <w:tcPr>
            <w:tcW w:type="dxa" w:w="83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Use CA certificate authentication — help.anaplan.com/use-ca-certificate-authentication-1493b16d-7294-47d6-bd8d-056962e9b8da</w:t>
            </w:r>
          </w:p>
        </w:tc>
      </w:tr>
      <w:tr>
        <w:trPr>
          <w:tblHeader w:val="false"/>
        </w:trPr>
        <w:tc>
          <w:tcPr>
            <w:tcW w:type="dxa" w:w="7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R3</w:t>
            </w:r>
          </w:p>
        </w:tc>
        <w:tc>
          <w:tcPr>
            <w:tcW w:type="dxa" w:w="83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Official Anaplan Postman Collection — postman.com/apiplan/official-anaplan-collection/documentation/2m6331d/official-anaplan-collection</w:t>
            </w:r>
          </w:p>
        </w:tc>
      </w:tr>
      <w:tr>
        <w:trPr>
          <w:tblHeader w:val="false"/>
        </w:trPr>
        <w:tc>
          <w:tcPr>
            <w:tcW w:type="dxa" w:w="7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R4</w:t>
            </w:r>
          </w:p>
        </w:tc>
        <w:tc>
          <w:tcPr>
            <w:tcW w:type="dxa" w:w="83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Refresh your authentication token — help.anaplan.com/refresh-your-authentication-token-9e31aab4-0e66-4502-a666-70cd9525fcbe</w:t>
            </w:r>
          </w:p>
        </w:tc>
      </w:tr>
      <w:tr>
        <w:trPr>
          <w:tblHeader w:val="false"/>
        </w:trPr>
        <w:tc>
          <w:tcPr>
            <w:tcW w:type="dxa" w:w="7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R5</w:t>
            </w:r>
          </w:p>
        </w:tc>
        <w:tc>
          <w:tcPr>
            <w:tcW w:type="dxa" w:w="83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Authentication service API — help.anaplan.com/authentication-service-api-4060eddf-fe4e-4220-96f6-267d54502ed6</w:t>
            </w:r>
          </w:p>
        </w:tc>
      </w:tr>
      <w:tr>
        <w:trPr>
          <w:tblHeader w:val="false"/>
        </w:trPr>
        <w:tc>
          <w:tcPr>
            <w:tcW w:type="dxa" w:w="7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R6</w:t>
            </w:r>
          </w:p>
        </w:tc>
        <w:tc>
          <w:tcPr>
            <w:tcW w:type="dxa" w:w="83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Anaplan Integration API V2 Guide and Reference — anaplan.docs.apiary.io (users, workspaces, models, dimension items including RetrieveListData; pagination, rate limits, TLS, SSO and Exception User, parser guidance)</w:t>
            </w:r>
          </w:p>
        </w:tc>
      </w:tr>
      <w:tr>
        <w:trPr>
          <w:tblHeader w:val="false"/>
        </w:trPr>
        <w:tc>
          <w:tcPr>
            <w:tcW w:type="dxa" w:w="7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R7</w:t>
            </w:r>
          </w:p>
        </w:tc>
        <w:tc>
          <w:tcPr>
            <w:tcW w:type="dxa" w:w="83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Users and roles in Administration — help.anaplan.com/users-and-roles-in-administration-4d218b2e-7e16-4987-9c71-a24a98ff0e6f</w:t>
            </w:r>
          </w:p>
        </w:tc>
      </w:tr>
      <w:tr>
        <w:trPr>
          <w:tblHeader w:val="false"/>
        </w:trPr>
        <w:tc>
          <w:tcPr>
            <w:tcW w:type="dxa" w:w="7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R8</w:t>
            </w:r>
          </w:p>
        </w:tc>
        <w:tc>
          <w:tcPr>
            <w:tcW w:type="dxa" w:w="83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Assign and manage user licenses — help.anaplan.com/assign-and-manage-user-licenses-becf379c-1e02-4e6e-9376-dce9c97e74b8</w:t>
            </w:r>
          </w:p>
        </w:tc>
      </w:tr>
      <w:tr>
        <w:trPr>
          <w:tblHeader w:val="false"/>
        </w:trPr>
        <w:tc>
          <w:tcPr>
            <w:tcW w:type="dxa" w:w="7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R9</w:t>
            </w:r>
          </w:p>
        </w:tc>
        <w:tc>
          <w:tcPr>
            <w:tcW w:type="dxa" w:w="83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Anaplan API index — help.anaplan.com/anaplan-api-844c6d40-a21c-423d-8435-ebaaa0372b76</w:t>
            </w:r>
          </w:p>
        </w:tc>
      </w:tr>
      <w:tr>
        <w:trPr>
          <w:tblHeader w:val="false"/>
        </w:trPr>
        <w:tc>
          <w:tcPr>
            <w:tcW w:type="dxa" w:w="7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R10</w:t>
            </w:r>
          </w:p>
        </w:tc>
        <w:tc>
          <w:tcPr>
            <w:tcW w:type="dxa" w:w="83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Get your list of models — help.anaplan.com/get-your-list-of-models-15281ada-7854-4205-9559-c5323ac43c06</w:t>
            </w:r>
          </w:p>
        </w:tc>
      </w:tr>
      <w:tr>
        <w:trPr>
          <w:tblHeader w:val="false"/>
        </w:trPr>
        <w:tc>
          <w:tcPr>
            <w:tcW w:type="dxa" w:w="7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R11</w:t>
            </w:r>
          </w:p>
        </w:tc>
        <w:tc>
          <w:tcPr>
            <w:tcW w:type="dxa" w:w="83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Users list — help.anaplan.com/users-list-f3333ecf-a1cc-43d8-af03-ec65c5cdd428</w:t>
            </w:r>
          </w:p>
        </w:tc>
      </w:tr>
      <w:tr>
        <w:trPr>
          <w:tblHeader w:val="false"/>
        </w:trPr>
        <w:tc>
          <w:tcPr>
            <w:tcW w:type="dxa" w:w="7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R11a</w:t>
            </w:r>
          </w:p>
        </w:tc>
        <w:tc>
          <w:tcPr>
            <w:tcW w:type="dxa" w:w="83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Audit — help.anaplan.com/audit-034cf52f-8ccf-49e0-a545-96861b12a645</w:t>
            </w:r>
          </w:p>
        </w:tc>
      </w:tr>
      <w:tr>
        <w:trPr>
          <w:tblHeader w:val="false"/>
        </w:trPr>
        <w:tc>
          <w:tcPr>
            <w:tcW w:type="dxa" w:w="7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R12</w:t>
            </w:r>
          </w:p>
        </w:tc>
        <w:tc>
          <w:tcPr>
            <w:tcW w:type="dxa" w:w="83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Tracked user activity events — help.anaplan.com/tracked-user-activity-events-ef0ac1f3-fd1d-4dc2-a205-2ae4f5b22a7d</w:t>
            </w:r>
          </w:p>
        </w:tc>
      </w:tr>
      <w:tr>
        <w:trPr>
          <w:tblHeader w:val="false"/>
        </w:trPr>
        <w:tc>
          <w:tcPr>
            <w:tcW w:type="dxa" w:w="7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R14</w:t>
            </w:r>
          </w:p>
        </w:tc>
        <w:tc>
          <w:tcPr>
            <w:tcW w:type="dxa" w:w="83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Internal users — help.anaplan.com/internal-users-eba8b465-eb43-42d5-8d65-eb5c71bc250e</w:t>
            </w:r>
          </w:p>
        </w:tc>
      </w:tr>
    </w:tbl>
    <w:p>
      <w:pPr>
        <w:pStyle w:val="Heading1"/>
        <w:pBdr>
          <w:bottom w:val="single" w:color="BFC9D9" w:sz="8" w:space="6"/>
        </w:pBdr>
        <w:spacing w:after="160" w:before="360"/>
      </w:pPr>
      <w:r>
        <w:rPr>
          <w:rFonts w:ascii="Calibri" w:cs="Calibri" w:eastAsia="Calibri" w:hAnsi="Calibri"/>
          <w:b/>
          <w:bCs/>
          <w:color w:val="1F3864"/>
          <w:sz w:val="28"/>
          <w:szCs w:val="28"/>
        </w:rPr>
        <w:t xml:space="preserve">11. Open items</w:t>
      </w:r>
    </w:p>
    <w:tbl>
      <w:tblPr>
        <w:tblW w:type="dxa" w:w="9000"/>
        <w:tblBorders>
          <w:top w:val="single" w:color="BFC9D9" w:sz="4"/>
          <w:left w:val="single" w:color="BFC9D9" w:sz="4"/>
          <w:bottom w:val="single" w:color="BFC9D9" w:sz="4"/>
          <w:right w:val="single" w:color="BFC9D9" w:sz="4"/>
          <w:insideH w:val="single" w:color="BFC9D9" w:sz="4"/>
          <w:insideV w:val="single" w:color="BFC9D9" w:sz="4"/>
        </w:tblBorders>
        <w:tblLayout w:type="fixed"/>
      </w:tblPr>
      <w:tblGrid>
        <w:gridCol w:w="500"/>
        <w:gridCol w:w="5200"/>
        <w:gridCol w:w="3300"/>
      </w:tblGrid>
      <w:tr>
        <w:trPr>
          <w:tblHeader/>
        </w:trPr>
        <w:tc>
          <w:tcPr>
            <w:tcW w:type="dxa" w:w="500"/>
            <w:shd w:fill="1F3864" w:val="clear"/>
            <w:tcMar>
              <w:top w:type="dxa" w:w="60"/>
              <w:left w:type="dxa" w:w="110"/>
              <w:bottom w:type="dxa" w:w="60"/>
              <w:right w:type="dxa" w:w="110"/>
            </w:tcMar>
          </w:tcPr>
          <w:p>
            <w:pPr>
              <w:spacing w:after="50" w:before="50" w:line="260"/>
            </w:pPr>
            <w:r>
              <w:rPr>
                <w:rFonts w:ascii="Calibri" w:cs="Calibri" w:eastAsia="Calibri" w:hAnsi="Calibri"/>
                <w:b/>
                <w:bCs/>
                <w:color w:val="FFFFFF"/>
                <w:sz w:val="19"/>
                <w:szCs w:val="19"/>
              </w:rPr>
              <w:t xml:space="preserve">#</w:t>
            </w:r>
          </w:p>
        </w:tc>
        <w:tc>
          <w:tcPr>
            <w:tcW w:type="dxa" w:w="5200"/>
            <w:shd w:fill="1F3864" w:val="clear"/>
            <w:tcMar>
              <w:top w:type="dxa" w:w="60"/>
              <w:left w:type="dxa" w:w="110"/>
              <w:bottom w:type="dxa" w:w="60"/>
              <w:right w:type="dxa" w:w="110"/>
            </w:tcMar>
          </w:tcPr>
          <w:p>
            <w:pPr>
              <w:spacing w:after="50" w:before="50" w:line="260"/>
            </w:pPr>
            <w:r>
              <w:rPr>
                <w:rFonts w:ascii="Calibri" w:cs="Calibri" w:eastAsia="Calibri" w:hAnsi="Calibri"/>
                <w:b/>
                <w:bCs/>
                <w:color w:val="FFFFFF"/>
                <w:sz w:val="19"/>
                <w:szCs w:val="19"/>
              </w:rPr>
              <w:t xml:space="preserve">Item</w:t>
            </w:r>
          </w:p>
        </w:tc>
        <w:tc>
          <w:tcPr>
            <w:tcW w:type="dxa" w:w="3300"/>
            <w:shd w:fill="1F3864" w:val="clear"/>
            <w:tcMar>
              <w:top w:type="dxa" w:w="60"/>
              <w:left w:type="dxa" w:w="110"/>
              <w:bottom w:type="dxa" w:w="60"/>
              <w:right w:type="dxa" w:w="110"/>
            </w:tcMar>
          </w:tcPr>
          <w:p>
            <w:pPr>
              <w:spacing w:after="50" w:before="50" w:line="260"/>
            </w:pPr>
            <w:r>
              <w:rPr>
                <w:rFonts w:ascii="Calibri" w:cs="Calibri" w:eastAsia="Calibri" w:hAnsi="Calibri"/>
                <w:b/>
                <w:bCs/>
                <w:color w:val="FFFFFF"/>
                <w:sz w:val="19"/>
                <w:szCs w:val="19"/>
              </w:rPr>
              <w:t xml:space="preserve">Owner</w:t>
            </w:r>
          </w:p>
        </w:tc>
      </w:tr>
      <w:tr>
        <w:trPr>
          <w:tblHeader w:val="false"/>
        </w:trPr>
        <w:tc>
          <w:tcPr>
            <w:tcW w:type="dxa" w:w="5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1</w:t>
            </w:r>
          </w:p>
        </w:tc>
        <w:tc>
          <w:tcPr>
            <w:tcW w:type="dxa" w:w="52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Administration API Export Users endpoint path, parameters and response schema. Gates Licence Type, Licence State and Last Active Date.</w:t>
            </w:r>
          </w:p>
        </w:tc>
        <w:tc>
          <w:tcPr>
            <w:tcW w:type="dxa" w:w="33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Integration team / Anaplan support</w:t>
            </w:r>
          </w:p>
        </w:tc>
      </w:tr>
      <w:tr>
        <w:trPr>
          <w:tblHeader w:val="false"/>
        </w:trPr>
        <w:tc>
          <w:tcPr>
            <w:tcW w:type="dxa" w:w="5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2</w:t>
            </w:r>
          </w:p>
        </w:tc>
        <w:tc>
          <w:tcPr>
            <w:tcW w:type="dxa" w:w="52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Definition of Assigned Zone — workspace, tenant region or business region.</w:t>
            </w:r>
          </w:p>
        </w:tc>
        <w:tc>
          <w:tcPr>
            <w:tcW w:type="dxa" w:w="33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ELP template owner</w:t>
            </w:r>
          </w:p>
        </w:tc>
      </w:tr>
      <w:tr>
        <w:trPr>
          <w:tblHeader w:val="false"/>
        </w:trPr>
        <w:tc>
          <w:tcPr>
            <w:tcW w:type="dxa" w:w="5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3</w:t>
            </w:r>
          </w:p>
        </w:tc>
        <w:tc>
          <w:tcPr>
            <w:tcW w:type="dxa" w:w="52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Whether the export returns Licence State and User State as separate flags or a single flag.</w:t>
            </w:r>
          </w:p>
        </w:tc>
        <w:tc>
          <w:tcPr>
            <w:tcW w:type="dxa" w:w="33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Confirmed by Test 4</w:t>
            </w:r>
          </w:p>
        </w:tc>
      </w:tr>
      <w:tr>
        <w:trPr>
          <w:tblHeader w:val="false"/>
        </w:trPr>
        <w:tc>
          <w:tcPr>
            <w:tcW w:type="dxa" w:w="5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4</w:t>
            </w:r>
          </w:p>
        </w:tc>
        <w:tc>
          <w:tcPr>
            <w:tcW w:type="dxa" w:w="52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Whether the export carries last login. Determines Route 1 or Route 2 for Last Active Date.</w:t>
            </w:r>
          </w:p>
        </w:tc>
        <w:tc>
          <w:tcPr>
            <w:tcW w:type="dxa" w:w="33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Confirmed by Test 4</w:t>
            </w:r>
          </w:p>
        </w:tc>
      </w:tr>
      <w:tr>
        <w:trPr>
          <w:tblHeader w:val="false"/>
        </w:trPr>
        <w:tc>
          <w:tcPr>
            <w:tcW w:type="dxa" w:w="5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5</w:t>
            </w:r>
          </w:p>
        </w:tc>
        <w:tc>
          <w:tcPr>
            <w:tcW w:type="dxa" w:w="52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Anaplan edition in use. Determines SCIM availability and therefore Account Creation Date.</w:t>
            </w:r>
          </w:p>
        </w:tc>
        <w:tc>
          <w:tcPr>
            <w:tcW w:type="dxa" w:w="33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Client tenant administrator</w:t>
            </w:r>
          </w:p>
        </w:tc>
      </w:tr>
      <w:tr>
        <w:trPr>
          <w:tblHeader w:val="false"/>
        </w:trPr>
        <w:tc>
          <w:tcPr>
            <w:tcW w:type="dxa" w:w="5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6</w:t>
            </w:r>
          </w:p>
        </w:tc>
        <w:tc>
          <w:tcPr>
            <w:tcW w:type="dxa" w:w="52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Whether single sign-on is enabled. Confirms certificate authentication as the method.</w:t>
            </w:r>
          </w:p>
        </w:tc>
        <w:tc>
          <w:tcPr>
            <w:tcW w:type="dxa" w:w="3300"/>
            <w:shd w:fill="FFFFFF" w:val="clear"/>
            <w:tcMar>
              <w:top w:type="dxa" w:w="60"/>
              <w:left w:type="dxa" w:w="110"/>
              <w:bottom w:type="dxa" w:w="60"/>
              <w:right w:type="dxa" w:w="110"/>
            </w:tcMar>
          </w:tcPr>
          <w:p>
            <w:pPr>
              <w:spacing w:after="50" w:before="50" w:line="260"/>
            </w:pPr>
            <w:r>
              <w:rPr>
                <w:rFonts w:ascii="Calibri" w:cs="Calibri" w:eastAsia="Calibri" w:hAnsi="Calibri"/>
                <w:color w:val="1A1A1A"/>
                <w:sz w:val="19"/>
                <w:szCs w:val="19"/>
              </w:rPr>
              <w:t xml:space="preserve">Client tenant administrator</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73"/>
      </w:pPr>
    </w:lvl>
  </w:abstractNum>
  <w:abstractNum w:abstractNumId="3" w15:restartNumberingAfterBreak="0">
    <w:multiLevelType w:val="hybridMultilevel"/>
    <w:lvl w:ilvl="0" w15:tentative="1">
      <w:start w:val="1"/>
      <w:numFmt w:val="decimal"/>
      <w:lvlText w:val="%1."/>
      <w:lvlJc w:val="left"/>
      <w:pPr>
        <w:ind w:left="431" w:hanging="273"/>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2026-08-25T13:47:12.235Z</dcterms:created>
  <dcterms:modified xsi:type="dcterms:W3CDTF">2026-08-25T13:47:12.254Z</dcterms:modified>
</cp:coreProperties>
</file>

<file path=docProps/custom.xml><?xml version="1.0" encoding="utf-8"?>
<Properties xmlns="http://schemas.openxmlformats.org/officeDocument/2006/custom-properties" xmlns:vt="http://schemas.openxmlformats.org/officeDocument/2006/docPropsVTypes"/>
</file>