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sz w:val="42"/>
        </w:rPr>
        <w:t>DASIGConnect Refactoring Evidence</w:t>
      </w:r>
    </w:p>
    <w:p>
      <w:pPr>
        <w:spacing w:after="200"/>
        <w:jc w:val="center"/>
      </w:pPr>
      <w:r>
        <w:rPr>
          <w:i/>
        </w:rPr>
        <w:t>Demo Readiness Bug Fixes Cleanup and Test Coverage</w:t>
      </w:r>
    </w:p>
    <w:tbl>
      <w:tblPr>
        <w:tblW w:type="auto" w:w="0"/>
        <w:jc w:val="center"/>
        <w:tblLayout w:type="fixed"/>
        <w:tblLook w:firstColumn="1" w:firstRow="1" w:lastColumn="0" w:lastRow="0" w:noHBand="0" w:noVBand="1" w:val="04A0"/>
      </w:tblPr>
      <w:tblGrid>
        <w:gridCol w:w="2232"/>
        <w:gridCol w:w="2880"/>
        <w:gridCol w:w="4536"/>
      </w:tblGrid>
      <w:tr>
        <w:trPr>
          <w:tblHeader w:val="true"/>
        </w:trPr>
        <w:tc>
          <w:tcPr>
            <w:tcW w:type="dxa" w:w="3456"/>
            <w:shd w:fill="D9E2F3"/>
            <w:tcMar>
              <w:top w:w="65" w:type="dxa"/>
              <w:start w:w="85" w:type="dxa"/>
              <w:bottom w:w="65" w:type="dxa"/>
              <w:end w:w="85" w:type="dxa"/>
            </w:tcMar>
            <w:vAlign w:val="center"/>
          </w:tcPr>
          <w:p>
            <w:r>
              <w:rPr>
                <w:b/>
                <w:sz w:val="16"/>
              </w:rPr>
              <w:t>Project</w:t>
            </w:r>
          </w:p>
        </w:tc>
        <w:tc>
          <w:tcPr>
            <w:tcW w:type="dxa" w:w="3456"/>
            <w:shd w:fill="D9E2F3"/>
            <w:tcMar>
              <w:top w:w="65" w:type="dxa"/>
              <w:start w:w="85" w:type="dxa"/>
              <w:bottom w:w="65" w:type="dxa"/>
              <w:end w:w="85" w:type="dxa"/>
            </w:tcMar>
            <w:vAlign w:val="center"/>
          </w:tcPr>
          <w:p>
            <w:r>
              <w:rPr>
                <w:b/>
                <w:sz w:val="16"/>
              </w:rPr>
              <w:t>Evidence period</w:t>
            </w:r>
          </w:p>
        </w:tc>
        <w:tc>
          <w:tcPr>
            <w:tcW w:type="dxa" w:w="3456"/>
            <w:shd w:fill="D9E2F3"/>
            <w:tcMar>
              <w:top w:w="65" w:type="dxa"/>
              <w:start w:w="85" w:type="dxa"/>
              <w:bottom w:w="65" w:type="dxa"/>
              <w:end w:w="85" w:type="dxa"/>
            </w:tcMar>
            <w:vAlign w:val="center"/>
          </w:tcPr>
          <w:p>
            <w:r>
              <w:rPr>
                <w:b/>
                <w:sz w:val="16"/>
              </w:rPr>
              <w:t>Repository</w:t>
            </w:r>
          </w:p>
        </w:tc>
      </w:tr>
      <w:tr>
        <w:tc>
          <w:tcPr>
            <w:tcW w:type="dxa" w:w="2232"/>
            <w:tcMar>
              <w:top w:w="65" w:type="dxa"/>
              <w:start w:w="85" w:type="dxa"/>
              <w:bottom w:w="65" w:type="dxa"/>
              <w:end w:w="85" w:type="dxa"/>
            </w:tcMar>
            <w:vAlign w:val="center"/>
          </w:tcPr>
          <w:p>
            <w:pPr>
              <w:spacing w:after="0"/>
            </w:pPr>
            <w:r>
              <w:rPr>
                <w:sz w:val="16"/>
              </w:rPr>
              <w:t>DASIGConnect</w:t>
            </w:r>
          </w:p>
        </w:tc>
        <w:tc>
          <w:tcPr>
            <w:tcW w:type="dxa" w:w="2880"/>
            <w:tcMar>
              <w:top w:w="65" w:type="dxa"/>
              <w:start w:w="85" w:type="dxa"/>
              <w:bottom w:w="65" w:type="dxa"/>
              <w:end w:w="85" w:type="dxa"/>
            </w:tcMar>
            <w:vAlign w:val="center"/>
          </w:tcPr>
          <w:p>
            <w:pPr>
              <w:spacing w:after="0"/>
            </w:pPr>
            <w:r>
              <w:rPr>
                <w:sz w:val="16"/>
              </w:rPr>
              <w:t>16-17 October 2026</w:t>
            </w:r>
          </w:p>
        </w:tc>
        <w:tc>
          <w:tcPr>
            <w:tcW w:type="dxa" w:w="4536"/>
            <w:tcMar>
              <w:top w:w="65" w:type="dxa"/>
              <w:start w:w="85" w:type="dxa"/>
              <w:bottom w:w="65" w:type="dxa"/>
              <w:end w:w="85" w:type="dxa"/>
            </w:tcMar>
            <w:vAlign w:val="center"/>
          </w:tcPr>
          <w:p>
            <w:pPr>
              <w:spacing w:after="0"/>
            </w:pPr>
            <w:r>
              <w:rPr>
                <w:sz w:val="16"/>
              </w:rPr>
              <w:t>dasigconnect-dev/DASIGConnect</w:t>
            </w:r>
          </w:p>
        </w:tc>
      </w:tr>
    </w:tbl>
    <w:p>
      <w:pPr>
        <w:spacing w:after="0"/>
      </w:pPr>
    </w:p>
    <w:p>
      <w:pPr>
        <w:pStyle w:val="Heading1"/>
      </w:pPr>
      <w:r>
        <w:t>1. Purpose and Scope</w:t>
      </w:r>
    </w:p>
    <w:p>
      <w:r>
        <w:t>This report records the work completed for the assigned demo-readiness task: fix the failing test suite, remove unused or misleading code, add missing unit or integration coverage, and compile verifiable GitHub evidence. The work was delivered through PRs #401-#406. It supports reliable MVP re-validation, but engineering test results are not presented as user-validation results.</w:t>
      </w:r>
    </w:p>
    <w:p>
      <w:pPr>
        <w:pStyle w:val="Heading1"/>
      </w:pPr>
      <w:r>
        <w:t>2. Assignment Results</w:t>
      </w:r>
    </w:p>
    <w:tbl>
      <w:tblPr>
        <w:tblW w:type="auto" w:w="0"/>
        <w:jc w:val="center"/>
        <w:tblLayout w:type="fixed"/>
        <w:tblLook w:firstColumn="1" w:firstRow="1" w:lastColumn="0" w:lastRow="0" w:noHBand="0" w:noVBand="1" w:val="04A0"/>
      </w:tblPr>
      <w:tblGrid>
        <w:gridCol w:w="1944"/>
        <w:gridCol w:w="5976"/>
        <w:gridCol w:w="1728"/>
      </w:tblGrid>
      <w:tr>
        <w:trPr>
          <w:tblHeader w:val="true"/>
        </w:trPr>
        <w:tc>
          <w:tcPr>
            <w:tcW w:type="dxa" w:w="3456"/>
            <w:shd w:fill="D9E2F3"/>
            <w:tcMar>
              <w:top w:w="65" w:type="dxa"/>
              <w:start w:w="85" w:type="dxa"/>
              <w:bottom w:w="65" w:type="dxa"/>
              <w:end w:w="85" w:type="dxa"/>
            </w:tcMar>
            <w:vAlign w:val="center"/>
          </w:tcPr>
          <w:p>
            <w:r>
              <w:rPr>
                <w:b/>
                <w:sz w:val="15"/>
              </w:rPr>
              <w:t>Leader request</w:t>
            </w:r>
          </w:p>
        </w:tc>
        <w:tc>
          <w:tcPr>
            <w:tcW w:type="dxa" w:w="3456"/>
            <w:shd w:fill="D9E2F3"/>
            <w:tcMar>
              <w:top w:w="65" w:type="dxa"/>
              <w:start w:w="85" w:type="dxa"/>
              <w:bottom w:w="65" w:type="dxa"/>
              <w:end w:w="85" w:type="dxa"/>
            </w:tcMar>
            <w:vAlign w:val="center"/>
          </w:tcPr>
          <w:p>
            <w:r>
              <w:rPr>
                <w:b/>
                <w:sz w:val="15"/>
              </w:rPr>
              <w:t>Verified work completed</w:t>
            </w:r>
          </w:p>
        </w:tc>
        <w:tc>
          <w:tcPr>
            <w:tcW w:type="dxa" w:w="3456"/>
            <w:shd w:fill="D9E2F3"/>
            <w:tcMar>
              <w:top w:w="65" w:type="dxa"/>
              <w:start w:w="85" w:type="dxa"/>
              <w:bottom w:w="65" w:type="dxa"/>
              <w:end w:w="85" w:type="dxa"/>
            </w:tcMar>
            <w:vAlign w:val="center"/>
          </w:tcPr>
          <w:p>
            <w:r>
              <w:rPr>
                <w:b/>
                <w:sz w:val="15"/>
              </w:rPr>
              <w:t>Result</w:t>
            </w:r>
          </w:p>
        </w:tc>
      </w:tr>
      <w:tr>
        <w:tc>
          <w:tcPr>
            <w:tcW w:type="dxa" w:w="1944"/>
            <w:tcMar>
              <w:top w:w="65" w:type="dxa"/>
              <w:start w:w="85" w:type="dxa"/>
              <w:bottom w:w="65" w:type="dxa"/>
              <w:end w:w="85" w:type="dxa"/>
            </w:tcMar>
            <w:vAlign w:val="center"/>
          </w:tcPr>
          <w:p>
            <w:pPr>
              <w:spacing w:after="0"/>
            </w:pPr>
            <w:r>
              <w:rPr>
                <w:sz w:val="15"/>
              </w:rPr>
              <w:t>Fix test failures</w:t>
            </w:r>
          </w:p>
        </w:tc>
        <w:tc>
          <w:tcPr>
            <w:tcW w:type="dxa" w:w="5976"/>
            <w:tcMar>
              <w:top w:w="65" w:type="dxa"/>
              <w:start w:w="85" w:type="dxa"/>
              <w:bottom w:w="65" w:type="dxa"/>
              <w:end w:w="85" w:type="dxa"/>
            </w:tcMar>
            <w:vAlign w:val="center"/>
          </w:tcPr>
          <w:p>
            <w:pPr>
              <w:spacing w:after="0"/>
            </w:pPr>
            <w:r>
              <w:rPr>
                <w:sz w:val="15"/>
              </w:rPr>
              <w:t>Corrected stale admin-transfer authorization expectations and added denied-role cases.</w:t>
            </w:r>
          </w:p>
        </w:tc>
        <w:tc>
          <w:tcPr>
            <w:tcW w:type="dxa" w:w="1728"/>
            <w:tcMar>
              <w:top w:w="65" w:type="dxa"/>
              <w:start w:w="85" w:type="dxa"/>
              <w:bottom w:w="65" w:type="dxa"/>
              <w:end w:w="85" w:type="dxa"/>
            </w:tcMar>
            <w:vAlign w:val="center"/>
          </w:tcPr>
          <w:p>
            <w:pPr>
              <w:spacing w:after="0"/>
            </w:pPr>
            <w:r>
              <w:rPr>
                <w:sz w:val="15"/>
              </w:rPr>
              <w:t>Backend suite restored and expanded</w:t>
            </w:r>
          </w:p>
        </w:tc>
      </w:tr>
      <w:tr>
        <w:tc>
          <w:tcPr>
            <w:tcW w:type="dxa" w:w="1944"/>
            <w:tcMar>
              <w:top w:w="65" w:type="dxa"/>
              <w:start w:w="85" w:type="dxa"/>
              <w:bottom w:w="65" w:type="dxa"/>
              <w:end w:w="85" w:type="dxa"/>
            </w:tcMar>
            <w:vAlign w:val="center"/>
            <w:shd w:fill="F5F7FA"/>
          </w:tcPr>
          <w:p>
            <w:pPr>
              <w:spacing w:after="0"/>
            </w:pPr>
            <w:r>
              <w:rPr>
                <w:sz w:val="15"/>
              </w:rPr>
              <w:t>Code cleanup</w:t>
            </w:r>
          </w:p>
        </w:tc>
        <w:tc>
          <w:tcPr>
            <w:tcW w:type="dxa" w:w="5976"/>
            <w:tcMar>
              <w:top w:w="65" w:type="dxa"/>
              <w:start w:w="85" w:type="dxa"/>
              <w:bottom w:w="65" w:type="dxa"/>
              <w:end w:w="85" w:type="dxa"/>
            </w:tcMar>
            <w:vAlign w:val="center"/>
            <w:shd w:fill="F5F7FA"/>
          </w:tcPr>
          <w:p>
            <w:pPr>
              <w:spacing w:after="0"/>
            </w:pPr>
            <w:r>
              <w:rPr>
                <w:sz w:val="15"/>
              </w:rPr>
              <w:t>Resolved frontend lint violations; removed stale demo UI, fabricated analytics fallback data, and raw console output.</w:t>
            </w:r>
          </w:p>
        </w:tc>
        <w:tc>
          <w:tcPr>
            <w:tcW w:type="dxa" w:w="1728"/>
            <w:tcMar>
              <w:top w:w="65" w:type="dxa"/>
              <w:start w:w="85" w:type="dxa"/>
              <w:bottom w:w="65" w:type="dxa"/>
              <w:end w:w="85" w:type="dxa"/>
            </w:tcMar>
            <w:vAlign w:val="center"/>
            <w:shd w:fill="F5F7FA"/>
          </w:tcPr>
          <w:p>
            <w:pPr>
              <w:spacing w:after="0"/>
            </w:pPr>
            <w:r>
              <w:rPr>
                <w:sz w:val="15"/>
              </w:rPr>
              <w:t>Lint clean; behavior uses real data</w:t>
            </w:r>
          </w:p>
        </w:tc>
      </w:tr>
      <w:tr>
        <w:tc>
          <w:tcPr>
            <w:tcW w:type="dxa" w:w="1944"/>
            <w:tcMar>
              <w:top w:w="65" w:type="dxa"/>
              <w:start w:w="85" w:type="dxa"/>
              <w:bottom w:w="65" w:type="dxa"/>
              <w:end w:w="85" w:type="dxa"/>
            </w:tcMar>
            <w:vAlign w:val="center"/>
          </w:tcPr>
          <w:p>
            <w:pPr>
              <w:spacing w:after="0"/>
            </w:pPr>
            <w:r>
              <w:rPr>
                <w:sz w:val="15"/>
              </w:rPr>
              <w:t>Write missing tests</w:t>
            </w:r>
          </w:p>
        </w:tc>
        <w:tc>
          <w:tcPr>
            <w:tcW w:type="dxa" w:w="5976"/>
            <w:tcMar>
              <w:top w:w="65" w:type="dxa"/>
              <w:start w:w="85" w:type="dxa"/>
              <w:bottom w:w="65" w:type="dxa"/>
              <w:end w:w="85" w:type="dxa"/>
            </w:tcMar>
            <w:vAlign w:val="center"/>
          </w:tcPr>
          <w:p>
            <w:pPr>
              <w:spacing w:after="0"/>
            </w:pPr>
            <w:r>
              <w:rPr>
                <w:sz w:val="15"/>
              </w:rPr>
              <w:t>Added controller tests for settings/security, integrations/recommendations, and AI/template endpoints.</w:t>
            </w:r>
          </w:p>
        </w:tc>
        <w:tc>
          <w:tcPr>
            <w:tcW w:type="dxa" w:w="1728"/>
            <w:tcMar>
              <w:top w:w="65" w:type="dxa"/>
              <w:start w:w="85" w:type="dxa"/>
              <w:bottom w:w="65" w:type="dxa"/>
              <w:end w:w="85" w:type="dxa"/>
            </w:tcMar>
            <w:vAlign w:val="center"/>
          </w:tcPr>
          <w:p>
            <w:pPr>
              <w:spacing w:after="0"/>
            </w:pPr>
            <w:r>
              <w:rPr>
                <w:sz w:val="15"/>
              </w:rPr>
              <w:t>53 tests added</w:t>
            </w:r>
          </w:p>
        </w:tc>
      </w:tr>
      <w:tr>
        <w:tc>
          <w:tcPr>
            <w:tcW w:type="dxa" w:w="1944"/>
            <w:tcMar>
              <w:top w:w="65" w:type="dxa"/>
              <w:start w:w="85" w:type="dxa"/>
              <w:bottom w:w="65" w:type="dxa"/>
              <w:end w:w="85" w:type="dxa"/>
            </w:tcMar>
            <w:vAlign w:val="center"/>
            <w:shd w:fill="F5F7FA"/>
          </w:tcPr>
          <w:p>
            <w:pPr>
              <w:spacing w:after="0"/>
            </w:pPr>
            <w:r>
              <w:rPr>
                <w:sz w:val="15"/>
              </w:rPr>
              <w:t>Evidence document</w:t>
            </w:r>
          </w:p>
        </w:tc>
        <w:tc>
          <w:tcPr>
            <w:tcW w:type="dxa" w:w="5976"/>
            <w:tcMar>
              <w:top w:w="65" w:type="dxa"/>
              <w:start w:w="85" w:type="dxa"/>
              <w:bottom w:w="65" w:type="dxa"/>
              <w:end w:w="85" w:type="dxa"/>
            </w:tcMar>
            <w:vAlign w:val="center"/>
            <w:shd w:fill="F5F7FA"/>
          </w:tcPr>
          <w:p>
            <w:pPr>
              <w:spacing w:after="0"/>
            </w:pPr>
            <w:r>
              <w:rPr>
                <w:sz w:val="15"/>
              </w:rPr>
              <w:t>Recorded PR links, source and merge commits, before/after snippets, and verification totals.</w:t>
            </w:r>
          </w:p>
        </w:tc>
        <w:tc>
          <w:tcPr>
            <w:tcW w:type="dxa" w:w="1728"/>
            <w:tcMar>
              <w:top w:w="65" w:type="dxa"/>
              <w:start w:w="85" w:type="dxa"/>
              <w:bottom w:w="65" w:type="dxa"/>
              <w:end w:w="85" w:type="dxa"/>
            </w:tcMar>
            <w:vAlign w:val="center"/>
            <w:shd w:fill="F5F7FA"/>
          </w:tcPr>
          <w:p>
            <w:pPr>
              <w:spacing w:after="0"/>
            </w:pPr>
            <w:r>
              <w:rPr>
                <w:sz w:val="15"/>
              </w:rPr>
              <w:t>This three-page report</w:t>
            </w:r>
          </w:p>
        </w:tc>
      </w:tr>
    </w:tbl>
    <w:p>
      <w:pPr>
        <w:spacing w:after="0"/>
      </w:pPr>
    </w:p>
    <w:p>
      <w:pPr>
        <w:pStyle w:val="Heading1"/>
      </w:pPr>
      <w:r>
        <w:t>3. Verification Summary</w:t>
      </w:r>
    </w:p>
    <w:tbl>
      <w:tblPr>
        <w:tblW w:type="auto" w:w="0"/>
        <w:jc w:val="center"/>
        <w:tblLayout w:type="fixed"/>
        <w:tblLook w:firstColumn="1" w:firstRow="1" w:lastColumn="0" w:lastRow="0" w:noHBand="0" w:noVBand="1" w:val="04A0"/>
      </w:tblPr>
      <w:tblGrid>
        <w:gridCol w:w="3024"/>
        <w:gridCol w:w="2376"/>
        <w:gridCol w:w="2520"/>
        <w:gridCol w:w="1728"/>
      </w:tblGrid>
      <w:tr>
        <w:trPr>
          <w:tblHeader w:val="true"/>
        </w:trPr>
        <w:tc>
          <w:tcPr>
            <w:tcW w:type="dxa" w:w="2592"/>
            <w:shd w:fill="D9E2F3"/>
            <w:tcMar>
              <w:top w:w="65" w:type="dxa"/>
              <w:start w:w="85" w:type="dxa"/>
              <w:bottom w:w="65" w:type="dxa"/>
              <w:end w:w="85" w:type="dxa"/>
            </w:tcMar>
            <w:vAlign w:val="center"/>
          </w:tcPr>
          <w:p>
            <w:r>
              <w:rPr>
                <w:b/>
                <w:sz w:val="15"/>
              </w:rPr>
              <w:t>Checkpoint</w:t>
            </w:r>
          </w:p>
        </w:tc>
        <w:tc>
          <w:tcPr>
            <w:tcW w:type="dxa" w:w="2592"/>
            <w:shd w:fill="D9E2F3"/>
            <w:tcMar>
              <w:top w:w="65" w:type="dxa"/>
              <w:start w:w="85" w:type="dxa"/>
              <w:bottom w:w="65" w:type="dxa"/>
              <w:end w:w="85" w:type="dxa"/>
            </w:tcMar>
            <w:vAlign w:val="center"/>
          </w:tcPr>
          <w:p>
            <w:r>
              <w:rPr>
                <w:b/>
                <w:sz w:val="15"/>
              </w:rPr>
              <w:t>Before</w:t>
            </w:r>
          </w:p>
        </w:tc>
        <w:tc>
          <w:tcPr>
            <w:tcW w:type="dxa" w:w="2592"/>
            <w:shd w:fill="D9E2F3"/>
            <w:tcMar>
              <w:top w:w="65" w:type="dxa"/>
              <w:start w:w="85" w:type="dxa"/>
              <w:bottom w:w="65" w:type="dxa"/>
              <w:end w:w="85" w:type="dxa"/>
            </w:tcMar>
            <w:vAlign w:val="center"/>
          </w:tcPr>
          <w:p>
            <w:r>
              <w:rPr>
                <w:b/>
                <w:sz w:val="15"/>
              </w:rPr>
              <w:t>After</w:t>
            </w:r>
          </w:p>
        </w:tc>
        <w:tc>
          <w:tcPr>
            <w:tcW w:type="dxa" w:w="2592"/>
            <w:shd w:fill="D9E2F3"/>
            <w:tcMar>
              <w:top w:w="65" w:type="dxa"/>
              <w:start w:w="85" w:type="dxa"/>
              <w:bottom w:w="65" w:type="dxa"/>
              <w:end w:w="85" w:type="dxa"/>
            </w:tcMar>
            <w:vAlign w:val="center"/>
          </w:tcPr>
          <w:p>
            <w:r>
              <w:rPr>
                <w:b/>
                <w:sz w:val="15"/>
              </w:rPr>
              <w:t>Status</w:t>
            </w:r>
          </w:p>
        </w:tc>
      </w:tr>
      <w:tr>
        <w:tc>
          <w:tcPr>
            <w:tcW w:type="dxa" w:w="3024"/>
            <w:tcMar>
              <w:top w:w="65" w:type="dxa"/>
              <w:start w:w="85" w:type="dxa"/>
              <w:bottom w:w="65" w:type="dxa"/>
              <w:end w:w="85" w:type="dxa"/>
            </w:tcMar>
            <w:vAlign w:val="center"/>
          </w:tcPr>
          <w:p>
            <w:pPr>
              <w:spacing w:after="0"/>
            </w:pPr>
            <w:r>
              <w:rPr>
                <w:sz w:val="15"/>
              </w:rPr>
              <w:t>Backend test suite</w:t>
            </w:r>
          </w:p>
        </w:tc>
        <w:tc>
          <w:tcPr>
            <w:tcW w:type="dxa" w:w="2376"/>
            <w:tcMar>
              <w:top w:w="65" w:type="dxa"/>
              <w:start w:w="85" w:type="dxa"/>
              <w:bottom w:w="65" w:type="dxa"/>
              <w:end w:w="85" w:type="dxa"/>
            </w:tcMar>
            <w:vAlign w:val="center"/>
          </w:tcPr>
          <w:p>
            <w:pPr>
              <w:spacing w:after="0"/>
            </w:pPr>
            <w:r>
              <w:rPr>
                <w:sz w:val="15"/>
              </w:rPr>
              <w:t>897 tests; 1 failure</w:t>
            </w:r>
          </w:p>
        </w:tc>
        <w:tc>
          <w:tcPr>
            <w:tcW w:type="dxa" w:w="2520"/>
            <w:tcMar>
              <w:top w:w="65" w:type="dxa"/>
              <w:start w:w="85" w:type="dxa"/>
              <w:bottom w:w="65" w:type="dxa"/>
              <w:end w:w="85" w:type="dxa"/>
            </w:tcMar>
            <w:vAlign w:val="center"/>
          </w:tcPr>
          <w:p>
            <w:pPr>
              <w:spacing w:after="0"/>
            </w:pPr>
            <w:r>
              <w:rPr>
                <w:sz w:val="15"/>
              </w:rPr>
              <w:t>952 tests passing</w:t>
            </w:r>
          </w:p>
        </w:tc>
        <w:tc>
          <w:tcPr>
            <w:tcW w:type="dxa" w:w="1728"/>
            <w:tcMar>
              <w:top w:w="65" w:type="dxa"/>
              <w:start w:w="85" w:type="dxa"/>
              <w:bottom w:w="65" w:type="dxa"/>
              <w:end w:w="85" w:type="dxa"/>
            </w:tcMar>
            <w:vAlign w:val="center"/>
          </w:tcPr>
          <w:p>
            <w:pPr>
              <w:spacing w:after="0"/>
            </w:pPr>
            <w:r>
              <w:rPr>
                <w:sz w:val="15"/>
              </w:rPr>
              <w:t>Pass</w:t>
            </w:r>
          </w:p>
        </w:tc>
      </w:tr>
      <w:tr>
        <w:tc>
          <w:tcPr>
            <w:tcW w:type="dxa" w:w="3024"/>
            <w:tcMar>
              <w:top w:w="65" w:type="dxa"/>
              <w:start w:w="85" w:type="dxa"/>
              <w:bottom w:w="65" w:type="dxa"/>
              <w:end w:w="85" w:type="dxa"/>
            </w:tcMar>
            <w:vAlign w:val="center"/>
            <w:shd w:fill="F5F7FA"/>
          </w:tcPr>
          <w:p>
            <w:pPr>
              <w:spacing w:after="0"/>
            </w:pPr>
            <w:r>
              <w:rPr>
                <w:sz w:val="15"/>
              </w:rPr>
              <w:t>Frontend ESLint</w:t>
            </w:r>
          </w:p>
        </w:tc>
        <w:tc>
          <w:tcPr>
            <w:tcW w:type="dxa" w:w="2376"/>
            <w:tcMar>
              <w:top w:w="65" w:type="dxa"/>
              <w:start w:w="85" w:type="dxa"/>
              <w:bottom w:w="65" w:type="dxa"/>
              <w:end w:w="85" w:type="dxa"/>
            </w:tcMar>
            <w:vAlign w:val="center"/>
            <w:shd w:fill="F5F7FA"/>
          </w:tcPr>
          <w:p>
            <w:pPr>
              <w:spacing w:after="0"/>
            </w:pPr>
            <w:r>
              <w:rPr>
                <w:sz w:val="15"/>
              </w:rPr>
              <w:t>70 errors; 12 warnings</w:t>
            </w:r>
          </w:p>
        </w:tc>
        <w:tc>
          <w:tcPr>
            <w:tcW w:type="dxa" w:w="2520"/>
            <w:tcMar>
              <w:top w:w="65" w:type="dxa"/>
              <w:start w:w="85" w:type="dxa"/>
              <w:bottom w:w="65" w:type="dxa"/>
              <w:end w:w="85" w:type="dxa"/>
            </w:tcMar>
            <w:vAlign w:val="center"/>
            <w:shd w:fill="F5F7FA"/>
          </w:tcPr>
          <w:p>
            <w:pPr>
              <w:spacing w:after="0"/>
            </w:pPr>
            <w:r>
              <w:rPr>
                <w:sz w:val="15"/>
              </w:rPr>
              <w:t>0 errors; 0 warnings</w:t>
            </w:r>
          </w:p>
        </w:tc>
        <w:tc>
          <w:tcPr>
            <w:tcW w:type="dxa" w:w="1728"/>
            <w:tcMar>
              <w:top w:w="65" w:type="dxa"/>
              <w:start w:w="85" w:type="dxa"/>
              <w:bottom w:w="65" w:type="dxa"/>
              <w:end w:w="85" w:type="dxa"/>
            </w:tcMar>
            <w:vAlign w:val="center"/>
            <w:shd w:fill="F5F7FA"/>
          </w:tcPr>
          <w:p>
            <w:pPr>
              <w:spacing w:after="0"/>
            </w:pPr>
            <w:r>
              <w:rPr>
                <w:sz w:val="15"/>
              </w:rPr>
              <w:t>Pass</w:t>
            </w:r>
          </w:p>
        </w:tc>
      </w:tr>
      <w:tr>
        <w:tc>
          <w:tcPr>
            <w:tcW w:type="dxa" w:w="3024"/>
            <w:tcMar>
              <w:top w:w="65" w:type="dxa"/>
              <w:start w:w="85" w:type="dxa"/>
              <w:bottom w:w="65" w:type="dxa"/>
              <w:end w:w="85" w:type="dxa"/>
            </w:tcMar>
            <w:vAlign w:val="center"/>
          </w:tcPr>
          <w:p>
            <w:pPr>
              <w:spacing w:after="0"/>
            </w:pPr>
            <w:r>
              <w:rPr>
                <w:sz w:val="15"/>
              </w:rPr>
              <w:t>Frontend production build</w:t>
            </w:r>
          </w:p>
        </w:tc>
        <w:tc>
          <w:tcPr>
            <w:tcW w:type="dxa" w:w="2376"/>
            <w:tcMar>
              <w:top w:w="65" w:type="dxa"/>
              <w:start w:w="85" w:type="dxa"/>
              <w:bottom w:w="65" w:type="dxa"/>
              <w:end w:w="85" w:type="dxa"/>
            </w:tcMar>
            <w:vAlign w:val="center"/>
          </w:tcPr>
          <w:p>
            <w:pPr>
              <w:spacing w:after="0"/>
            </w:pPr>
            <w:r>
              <w:rPr>
                <w:sz w:val="15"/>
              </w:rPr>
              <w:t>Not the failing baseline</w:t>
            </w:r>
          </w:p>
        </w:tc>
        <w:tc>
          <w:tcPr>
            <w:tcW w:type="dxa" w:w="2520"/>
            <w:tcMar>
              <w:top w:w="65" w:type="dxa"/>
              <w:start w:w="85" w:type="dxa"/>
              <w:bottom w:w="65" w:type="dxa"/>
              <w:end w:w="85" w:type="dxa"/>
            </w:tcMar>
            <w:vAlign w:val="center"/>
          </w:tcPr>
          <w:p>
            <w:pPr>
              <w:spacing w:after="0"/>
            </w:pPr>
            <w:r>
              <w:rPr>
                <w:sz w:val="15"/>
              </w:rPr>
              <w:t>Completed successfully</w:t>
            </w:r>
          </w:p>
        </w:tc>
        <w:tc>
          <w:tcPr>
            <w:tcW w:type="dxa" w:w="1728"/>
            <w:tcMar>
              <w:top w:w="65" w:type="dxa"/>
              <w:start w:w="85" w:type="dxa"/>
              <w:bottom w:w="65" w:type="dxa"/>
              <w:end w:w="85" w:type="dxa"/>
            </w:tcMar>
            <w:vAlign w:val="center"/>
          </w:tcPr>
          <w:p>
            <w:pPr>
              <w:spacing w:after="0"/>
            </w:pPr>
            <w:r>
              <w:rPr>
                <w:sz w:val="15"/>
              </w:rPr>
              <w:t>Pass</w:t>
            </w:r>
          </w:p>
        </w:tc>
      </w:tr>
      <w:tr>
        <w:tc>
          <w:tcPr>
            <w:tcW w:type="dxa" w:w="3024"/>
            <w:tcMar>
              <w:top w:w="65" w:type="dxa"/>
              <w:start w:w="85" w:type="dxa"/>
              <w:bottom w:w="65" w:type="dxa"/>
              <w:end w:w="85" w:type="dxa"/>
            </w:tcMar>
            <w:vAlign w:val="center"/>
            <w:shd w:fill="F5F7FA"/>
          </w:tcPr>
          <w:p>
            <w:pPr>
              <w:spacing w:after="0"/>
            </w:pPr>
            <w:r>
              <w:rPr>
                <w:sz w:val="15"/>
              </w:rPr>
              <w:t>Playwright end-to-end suite</w:t>
            </w:r>
          </w:p>
        </w:tc>
        <w:tc>
          <w:tcPr>
            <w:tcW w:type="dxa" w:w="2376"/>
            <w:tcMar>
              <w:top w:w="65" w:type="dxa"/>
              <w:start w:w="85" w:type="dxa"/>
              <w:bottom w:w="65" w:type="dxa"/>
              <w:end w:w="85" w:type="dxa"/>
            </w:tcMar>
            <w:vAlign w:val="center"/>
            <w:shd w:fill="F5F7FA"/>
          </w:tcPr>
          <w:p>
            <w:pPr>
              <w:spacing w:after="0"/>
            </w:pPr>
            <w:r>
              <w:rPr>
                <w:sz w:val="15"/>
              </w:rPr>
              <w:t>Not the failing baseline</w:t>
            </w:r>
          </w:p>
        </w:tc>
        <w:tc>
          <w:tcPr>
            <w:tcW w:type="dxa" w:w="2520"/>
            <w:tcMar>
              <w:top w:w="65" w:type="dxa"/>
              <w:start w:w="85" w:type="dxa"/>
              <w:bottom w:w="65" w:type="dxa"/>
              <w:end w:w="85" w:type="dxa"/>
            </w:tcMar>
            <w:vAlign w:val="center"/>
            <w:shd w:fill="F5F7FA"/>
          </w:tcPr>
          <w:p>
            <w:pPr>
              <w:spacing w:after="0"/>
            </w:pPr>
            <w:r>
              <w:rPr>
                <w:sz w:val="15"/>
              </w:rPr>
              <w:t>33 of 33 passing</w:t>
            </w:r>
          </w:p>
        </w:tc>
        <w:tc>
          <w:tcPr>
            <w:tcW w:type="dxa" w:w="1728"/>
            <w:tcMar>
              <w:top w:w="65" w:type="dxa"/>
              <w:start w:w="85" w:type="dxa"/>
              <w:bottom w:w="65" w:type="dxa"/>
              <w:end w:w="85" w:type="dxa"/>
            </w:tcMar>
            <w:vAlign w:val="center"/>
            <w:shd w:fill="F5F7FA"/>
          </w:tcPr>
          <w:p>
            <w:pPr>
              <w:spacing w:after="0"/>
            </w:pPr>
            <w:r>
              <w:rPr>
                <w:sz w:val="15"/>
              </w:rPr>
              <w:t>Pass</w:t>
            </w:r>
          </w:p>
        </w:tc>
      </w:tr>
    </w:tbl>
    <w:p>
      <w:pPr>
        <w:spacing w:after="0"/>
      </w:pPr>
    </w:p>
    <w:p>
      <w:pPr>
        <w:pStyle w:val="Heading1"/>
      </w:pPr>
      <w:r>
        <w:t>4. Relationship to MVP Validation</w:t>
      </w:r>
    </w:p>
    <w:p>
      <w:r>
        <w:t>MVP validation identified usability, role-workflow, and AI-feature concerns that require dependable implementation and repeatable re-testing. These phases harden that foundation: authorization tests protect role behavior, removal of fabricated chart values preserves evaluation integrity, and broader controller coverage reduces regression risk. Direct validation-driven feature changes are documented elsewhere; this report focuses on the leader's assigned quality work.</w:t>
      </w:r>
    </w:p>
    <w:p>
      <w:r>
        <w:br w:type="page"/>
      </w:r>
    </w:p>
    <w:p>
      <w:pPr>
        <w:pStyle w:val="Heading1"/>
      </w:pPr>
      <w:r>
        <w:t>5. Defect Fix Evidence</w:t>
      </w:r>
    </w:p>
    <w:p>
      <w:pPr>
        <w:pStyle w:val="Heading2"/>
      </w:pPr>
      <w:r>
        <w:t>5.1 Admin Transfer Authorization Test</w:t>
      </w:r>
    </w:p>
    <w:p>
      <w:pPr>
        <w:spacing w:after="60"/>
      </w:pPr>
      <w:r>
        <w:rPr>
          <w:b/>
        </w:rPr>
        <w:t xml:space="preserve">Problem: </w:t>
      </w:r>
      <w:r>
        <w:t>The test expected a Moderator to confirm an administrator ownership transfer, while the endpoint correctly allowed only Administrators. This stale expectation caused the backend suite to fail.</w:t>
      </w:r>
    </w:p>
    <w:p>
      <w:pPr>
        <w:spacing w:after="60"/>
      </w:pPr>
      <w:r>
        <w:rPr>
          <w:b/>
        </w:rPr>
        <w:t xml:space="preserve">Change: </w:t>
      </w:r>
      <w:r>
        <w:t>The successful case now uses an Administrator principal. Explicit Moderator and Contributor cases verify HTTP 403 and ACCESS_DENIED.</w:t>
      </w:r>
    </w:p>
    <w:p>
      <w:pPr>
        <w:spacing w:after="60"/>
      </w:pPr>
      <w:r>
        <w:rPr>
          <w:b/>
        </w:rPr>
        <w:t xml:space="preserve">Evidence: </w:t>
      </w:r>
      <w:hyperlink r:id="rId10">
        <w:r>
          <w:rPr>
            <w:color w:val="000000"/>
            <w:u w:val="single"/>
          </w:rPr>
          <w:t>PR #401</w:t>
        </w:r>
      </w:hyperlink>
      <w:r>
        <w:t xml:space="preserve"> - Align admin-transfer authorization coverage; source commit 85e6946; merge commit 5c4d885.</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5184"/>
            <w:shd w:fill="E7E7E7"/>
            <w:tcMar>
              <w:top w:w="65" w:type="dxa"/>
              <w:start w:w="85" w:type="dxa"/>
              <w:bottom w:w="65" w:type="dxa"/>
              <w:end w:w="85" w:type="dxa"/>
            </w:tcMar>
          </w:tcPr>
          <w:p>
            <w:r>
              <w:rPr>
                <w:b/>
                <w:sz w:val="16"/>
              </w:rPr>
              <w:t>BEFORE</w:t>
            </w:r>
          </w:p>
        </w:tc>
        <w:tc>
          <w:tcPr>
            <w:tcW w:type="dxa" w:w="5184"/>
            <w:shd w:fill="E7E7E7"/>
            <w:tcMar>
              <w:top w:w="65" w:type="dxa"/>
              <w:start w:w="85" w:type="dxa"/>
              <w:bottom w:w="65" w:type="dxa"/>
              <w:end w:w="85" w:type="dxa"/>
            </w:tcMar>
          </w:tcPr>
          <w:p>
            <w:r>
              <w:rPr>
                <w:b/>
                <w:sz w:val="16"/>
              </w:rPr>
              <w:t>AFTER</w:t>
            </w:r>
          </w:p>
        </w:tc>
      </w:tr>
      <w:tr>
        <w:tc>
          <w:tcPr>
            <w:tcW w:type="dxa" w:w="5184"/>
            <w:shd w:fill="F7F7F7"/>
            <w:tcMar>
              <w:top w:w="90" w:type="dxa"/>
              <w:start w:w="95" w:type="dxa"/>
              <w:bottom w:w="90" w:type="dxa"/>
              <w:end w:w="95" w:type="dxa"/>
            </w:tcMar>
          </w:tcPr>
          <w:p>
            <w:r>
              <w:rPr>
                <w:rFonts w:ascii="Consolas" w:hAnsi="Consolas" w:eastAsia="Consolas"/>
                <w:sz w:val="14"/>
              </w:rPr>
              <w:t>@WithMockUser(roles = "MODERATOR")</w:t>
              <w:br/>
              <w:t>void confirmAdminTransfer_asModerator_returnsIncomingAdmin() {</w:t>
              <w:br/>
              <w:t xml:space="preserve">  // expected success</w:t>
              <w:br/>
              <w:t>}</w:t>
            </w:r>
          </w:p>
        </w:tc>
        <w:tc>
          <w:tcPr>
            <w:tcW w:type="dxa" w:w="5184"/>
            <w:shd w:fill="F7F7F7"/>
            <w:tcMar>
              <w:top w:w="90" w:type="dxa"/>
              <w:start w:w="95" w:type="dxa"/>
              <w:bottom w:w="90" w:type="dxa"/>
              <w:end w:w="95" w:type="dxa"/>
            </w:tcMar>
          </w:tcPr>
          <w:p>
            <w:r>
              <w:rPr>
                <w:rFonts w:ascii="Consolas" w:hAnsi="Consolas" w:eastAsia="Consolas"/>
                <w:sz w:val="14"/>
              </w:rPr>
              <w:t>@WithMockUser(roles = "ADMIN")</w:t>
              <w:br/>
              <w:t>void confirmAdminTransfer_asAdmin_returnsIncomingAdminOwner() { ... }</w:t>
              <w:br/>
              <w:br/>
              <w:t>@WithMockUser(roles = "MODERATOR")</w:t>
              <w:br/>
              <w:t>void confirmAdminTransfer_asModerator_returns403() { ... }</w:t>
            </w:r>
          </w:p>
        </w:tc>
      </w:tr>
    </w:tbl>
    <w:p>
      <w:pPr>
        <w:spacing w:after="0"/>
      </w:pPr>
    </w:p>
    <w:p>
      <w:pPr>
        <w:spacing w:after="60"/>
      </w:pPr>
      <w:r>
        <w:rPr>
          <w:b/>
        </w:rPr>
        <w:t xml:space="preserve">Verified result: </w:t>
      </w:r>
      <w:r>
        <w:t>The suite increased from 897 tests with one failure to 899 passing tests.</w:t>
      </w:r>
    </w:p>
    <w:p>
      <w:pPr>
        <w:pStyle w:val="Heading2"/>
      </w:pPr>
      <w:r>
        <w:t>5.2 Missing Watermark Read Authorization</w:t>
      </w:r>
    </w:p>
    <w:p>
      <w:pPr>
        <w:spacing w:after="60"/>
      </w:pPr>
      <w:r>
        <w:rPr>
          <w:b/>
        </w:rPr>
        <w:t xml:space="preserve">Problem: </w:t>
      </w:r>
      <w:r>
        <w:t>The watermark read route was intended for every authenticated role, but the method did not state that requirement explicitly.</w:t>
      </w:r>
    </w:p>
    <w:p>
      <w:pPr>
        <w:spacing w:after="60"/>
      </w:pPr>
      <w:r>
        <w:rPr>
          <w:b/>
        </w:rPr>
        <w:t xml:space="preserve">Change: </w:t>
      </w:r>
      <w:r>
        <w:t>A method-level authenticated-user guard was added and tests now cover unauthenticated access, Contributor reads, forbidden Contributor writes, Administrator writes, and invalid input.</w:t>
      </w:r>
    </w:p>
    <w:p>
      <w:pPr>
        <w:spacing w:after="60"/>
      </w:pPr>
      <w:r>
        <w:rPr>
          <w:b/>
        </w:rPr>
        <w:t xml:space="preserve">Evidence: </w:t>
      </w:r>
      <w:hyperlink r:id="rId11">
        <w:r>
          <w:rPr>
            <w:color w:val="000000"/>
            <w:u w:val="single"/>
          </w:rPr>
          <w:t>PR #404</w:t>
        </w:r>
      </w:hyperlink>
      <w:r>
        <w:t xml:space="preserve"> - Cover security-sensitive settings controllers; source commit 3f506ab; merge commit 47c317f.</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5184"/>
            <w:shd w:fill="E7E7E7"/>
            <w:tcMar>
              <w:top w:w="65" w:type="dxa"/>
              <w:start w:w="85" w:type="dxa"/>
              <w:bottom w:w="65" w:type="dxa"/>
              <w:end w:w="85" w:type="dxa"/>
            </w:tcMar>
          </w:tcPr>
          <w:p>
            <w:r>
              <w:rPr>
                <w:b/>
                <w:sz w:val="16"/>
              </w:rPr>
              <w:t>BEFORE</w:t>
            </w:r>
          </w:p>
        </w:tc>
        <w:tc>
          <w:tcPr>
            <w:tcW w:type="dxa" w:w="5184"/>
            <w:shd w:fill="E7E7E7"/>
            <w:tcMar>
              <w:top w:w="65" w:type="dxa"/>
              <w:start w:w="85" w:type="dxa"/>
              <w:bottom w:w="65" w:type="dxa"/>
              <w:end w:w="85" w:type="dxa"/>
            </w:tcMar>
          </w:tcPr>
          <w:p>
            <w:r>
              <w:rPr>
                <w:b/>
                <w:sz w:val="16"/>
              </w:rPr>
              <w:t>AFTER</w:t>
            </w:r>
          </w:p>
        </w:tc>
      </w:tr>
      <w:tr>
        <w:tc>
          <w:tcPr>
            <w:tcW w:type="dxa" w:w="5184"/>
            <w:shd w:fill="F7F7F7"/>
            <w:tcMar>
              <w:top w:w="90" w:type="dxa"/>
              <w:start w:w="95" w:type="dxa"/>
              <w:bottom w:w="90" w:type="dxa"/>
              <w:end w:w="95" w:type="dxa"/>
            </w:tcMar>
          </w:tcPr>
          <w:p>
            <w:r>
              <w:rPr>
                <w:rFonts w:ascii="Consolas" w:hAnsi="Consolas" w:eastAsia="Consolas"/>
                <w:sz w:val="14"/>
              </w:rPr>
              <w:t>@GetMapping</w:t>
              <w:br/>
              <w:t>public ResponseEntity&lt;WatermarkConfigurationDto&gt; get(...)</w:t>
            </w:r>
          </w:p>
        </w:tc>
        <w:tc>
          <w:tcPr>
            <w:tcW w:type="dxa" w:w="5184"/>
            <w:shd w:fill="F7F7F7"/>
            <w:tcMar>
              <w:top w:w="90" w:type="dxa"/>
              <w:start w:w="95" w:type="dxa"/>
              <w:bottom w:w="90" w:type="dxa"/>
              <w:end w:w="95" w:type="dxa"/>
            </w:tcMar>
          </w:tcPr>
          <w:p>
            <w:r>
              <w:rPr>
                <w:rFonts w:ascii="Consolas" w:hAnsi="Consolas" w:eastAsia="Consolas"/>
                <w:sz w:val="14"/>
              </w:rPr>
              <w:t>@GetMapping</w:t>
              <w:br/>
              <w:t>@PreAuthorize("isAuthenticated()")</w:t>
              <w:br/>
              <w:t>public ResponseEntity&lt;WatermarkConfigurationDto&gt; get(...)</w:t>
            </w:r>
          </w:p>
        </w:tc>
      </w:tr>
    </w:tbl>
    <w:p>
      <w:pPr>
        <w:spacing w:after="0"/>
      </w:pPr>
    </w:p>
    <w:p>
      <w:pPr>
        <w:pStyle w:val="Heading1"/>
      </w:pPr>
      <w:r>
        <w:t>6. Cleanup Evidence</w:t>
      </w:r>
    </w:p>
    <w:p>
      <w:pPr>
        <w:spacing w:after="60"/>
      </w:pPr>
      <w:r>
        <w:rPr>
          <w:b/>
        </w:rPr>
        <w:t xml:space="preserve">Frontend correctness cleanup: </w:t>
      </w:r>
      <w:r>
        <w:t>PR #402 resolved hook-dependency, effect-timing, unstable-reference, and unused-code violations across 31 files without redesigning the interface.</w:t>
      </w:r>
    </w:p>
    <w:p>
      <w:pPr>
        <w:spacing w:after="60"/>
      </w:pPr>
      <w:r>
        <w:rPr>
          <w:b/>
        </w:rPr>
        <w:t xml:space="preserve">Evidence: </w:t>
      </w:r>
      <w:hyperlink r:id="rId12">
        <w:r>
          <w:rPr>
            <w:color w:val="000000"/>
            <w:u w:val="single"/>
          </w:rPr>
          <w:t>PR #402</w:t>
        </w:r>
      </w:hyperlink>
      <w:r>
        <w:t xml:space="preserve"> - Resolve frontend lint violations; source commit a14e951; merge commit 247522c.</w:t>
      </w:r>
    </w:p>
    <w:p>
      <w:pPr>
        <w:spacing w:after="60"/>
      </w:pPr>
      <w:r>
        <w:rPr>
          <w:b/>
        </w:rPr>
        <w:t xml:space="preserve">Stale and misleading output cleanup: </w:t>
      </w:r>
      <w:r>
        <w:t>PR #403 deleted the unused DemoBar, removed Picsum placeholder gallery content, replaced fabricated analytics points with an honest empty state, and converted raw System.out/System.err output to structured logging.</w:t>
      </w:r>
    </w:p>
    <w:p>
      <w:pPr>
        <w:spacing w:after="60"/>
      </w:pPr>
      <w:r>
        <w:rPr>
          <w:b/>
        </w:rPr>
        <w:t xml:space="preserve">Evidence: </w:t>
      </w:r>
      <w:hyperlink r:id="rId13">
        <w:r>
          <w:rPr>
            <w:color w:val="000000"/>
            <w:u w:val="single"/>
          </w:rPr>
          <w:t>PR #403</w:t>
        </w:r>
      </w:hyperlink>
      <w:r>
        <w:t xml:space="preserve"> - Remove stale demo code and output; source commit c0c97db; merge commit b4fea7e.</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5184"/>
            <w:shd w:fill="E7E7E7"/>
            <w:tcMar>
              <w:top w:w="65" w:type="dxa"/>
              <w:start w:w="85" w:type="dxa"/>
              <w:bottom w:w="65" w:type="dxa"/>
              <w:end w:w="85" w:type="dxa"/>
            </w:tcMar>
          </w:tcPr>
          <w:p>
            <w:r>
              <w:rPr>
                <w:b/>
                <w:sz w:val="16"/>
              </w:rPr>
              <w:t>BEFORE</w:t>
            </w:r>
          </w:p>
        </w:tc>
        <w:tc>
          <w:tcPr>
            <w:tcW w:type="dxa" w:w="5184"/>
            <w:shd w:fill="E7E7E7"/>
            <w:tcMar>
              <w:top w:w="65" w:type="dxa"/>
              <w:start w:w="85" w:type="dxa"/>
              <w:bottom w:w="65" w:type="dxa"/>
              <w:end w:w="85" w:type="dxa"/>
            </w:tcMar>
          </w:tcPr>
          <w:p>
            <w:r>
              <w:rPr>
                <w:b/>
                <w:sz w:val="16"/>
              </w:rPr>
              <w:t>AFTER</w:t>
            </w:r>
          </w:p>
        </w:tc>
      </w:tr>
      <w:tr>
        <w:tc>
          <w:tcPr>
            <w:tcW w:type="dxa" w:w="5184"/>
            <w:shd w:fill="F7F7F7"/>
            <w:tcMar>
              <w:top w:w="90" w:type="dxa"/>
              <w:start w:w="95" w:type="dxa"/>
              <w:bottom w:w="90" w:type="dxa"/>
              <w:end w:w="95" w:type="dxa"/>
            </w:tcMar>
          </w:tcPr>
          <w:p>
            <w:r>
              <w:rPr>
                <w:rFonts w:ascii="Consolas" w:hAnsi="Consolas" w:eastAsia="Consolas"/>
                <w:sz w:val="14"/>
              </w:rPr>
              <w:t>// Fallback demonstration points</w:t>
              <w:br/>
              <w:t>return [1, 2, 4, 3, 5, 6, 8];</w:t>
            </w:r>
          </w:p>
        </w:tc>
        <w:tc>
          <w:tcPr>
            <w:tcW w:type="dxa" w:w="5184"/>
            <w:shd w:fill="F7F7F7"/>
            <w:tcMar>
              <w:top w:w="90" w:type="dxa"/>
              <w:start w:w="95" w:type="dxa"/>
              <w:bottom w:w="90" w:type="dxa"/>
              <w:end w:w="95" w:type="dxa"/>
            </w:tcMar>
          </w:tcPr>
          <w:p>
            <w:r>
              <w:rPr>
                <w:rFonts w:ascii="Consolas" w:hAnsi="Consolas" w:eastAsia="Consolas"/>
                <w:sz w:val="14"/>
              </w:rPr>
              <w:t>const points = metric.sparkline ?? [];</w:t>
              <w:br/>
              <w:t>// Empty response renders:</w:t>
              <w:br/>
              <w:t>"No publishing activity recorded for this period."</w:t>
            </w:r>
          </w:p>
        </w:tc>
      </w:tr>
    </w:tbl>
    <w:p>
      <w:pPr>
        <w:spacing w:after="0"/>
      </w:pPr>
    </w:p>
    <w:p>
      <w:r>
        <w:br w:type="page"/>
      </w:r>
    </w:p>
    <w:p>
      <w:pPr>
        <w:pStyle w:val="Heading1"/>
      </w:pPr>
      <w:r>
        <w:t>7. Missing Test Coverage Added</w:t>
      </w:r>
    </w:p>
    <w:p>
      <w:r>
        <w:t>Three focused phases added 53 controller tests. The tests exercise authentication and role denials, tenant/institution propagation, request validation, service delegation, response mapping, and provider failure behavior. This closes observable controller gaps without changing established UI behavior.</w:t>
      </w:r>
    </w:p>
    <w:tbl>
      <w:tblPr>
        <w:tblW w:type="auto" w:w="0"/>
        <w:jc w:val="center"/>
        <w:tblLayout w:type="fixed"/>
        <w:tblLook w:firstColumn="1" w:firstRow="1" w:lastColumn="0" w:lastRow="0" w:noHBand="0" w:noVBand="1" w:val="04A0"/>
      </w:tblPr>
      <w:tblGrid>
        <w:gridCol w:w="792"/>
        <w:gridCol w:w="4680"/>
        <w:gridCol w:w="792"/>
        <w:gridCol w:w="1656"/>
        <w:gridCol w:w="1728"/>
      </w:tblGrid>
      <w:tr>
        <w:trPr>
          <w:tblHeader w:val="true"/>
        </w:trPr>
        <w:tc>
          <w:tcPr>
            <w:tcW w:type="dxa" w:w="2074"/>
            <w:shd w:fill="D9E2F3"/>
            <w:tcMar>
              <w:top w:w="65" w:type="dxa"/>
              <w:start w:w="85" w:type="dxa"/>
              <w:bottom w:w="65" w:type="dxa"/>
              <w:end w:w="85" w:type="dxa"/>
            </w:tcMar>
            <w:vAlign w:val="center"/>
          </w:tcPr>
          <w:p>
            <w:r>
              <w:rPr>
                <w:b/>
                <w:sz w:val="14"/>
              </w:rPr>
              <w:t>PR</w:t>
            </w:r>
          </w:p>
        </w:tc>
        <w:tc>
          <w:tcPr>
            <w:tcW w:type="dxa" w:w="2074"/>
            <w:shd w:fill="D9E2F3"/>
            <w:tcMar>
              <w:top w:w="65" w:type="dxa"/>
              <w:start w:w="85" w:type="dxa"/>
              <w:bottom w:w="65" w:type="dxa"/>
              <w:end w:w="85" w:type="dxa"/>
            </w:tcMar>
            <w:vAlign w:val="center"/>
          </w:tcPr>
          <w:p>
            <w:r>
              <w:rPr>
                <w:b/>
                <w:sz w:val="14"/>
              </w:rPr>
              <w:t>Coverage added</w:t>
            </w:r>
          </w:p>
        </w:tc>
        <w:tc>
          <w:tcPr>
            <w:tcW w:type="dxa" w:w="2074"/>
            <w:shd w:fill="D9E2F3"/>
            <w:tcMar>
              <w:top w:w="65" w:type="dxa"/>
              <w:start w:w="85" w:type="dxa"/>
              <w:bottom w:w="65" w:type="dxa"/>
              <w:end w:w="85" w:type="dxa"/>
            </w:tcMar>
            <w:vAlign w:val="center"/>
          </w:tcPr>
          <w:p>
            <w:r>
              <w:rPr>
                <w:b/>
                <w:sz w:val="14"/>
              </w:rPr>
              <w:t>Tests</w:t>
            </w:r>
          </w:p>
        </w:tc>
        <w:tc>
          <w:tcPr>
            <w:tcW w:type="dxa" w:w="2074"/>
            <w:shd w:fill="D9E2F3"/>
            <w:tcMar>
              <w:top w:w="65" w:type="dxa"/>
              <w:start w:w="85" w:type="dxa"/>
              <w:bottom w:w="65" w:type="dxa"/>
              <w:end w:w="85" w:type="dxa"/>
            </w:tcMar>
            <w:vAlign w:val="center"/>
          </w:tcPr>
          <w:p>
            <w:r>
              <w:rPr>
                <w:b/>
                <w:sz w:val="14"/>
              </w:rPr>
              <w:t>Source commit</w:t>
            </w:r>
          </w:p>
        </w:tc>
        <w:tc>
          <w:tcPr>
            <w:tcW w:type="dxa" w:w="2074"/>
            <w:shd w:fill="D9E2F3"/>
            <w:tcMar>
              <w:top w:w="65" w:type="dxa"/>
              <w:start w:w="85" w:type="dxa"/>
              <w:bottom w:w="65" w:type="dxa"/>
              <w:end w:w="85" w:type="dxa"/>
            </w:tcMar>
            <w:vAlign w:val="center"/>
          </w:tcPr>
          <w:p>
            <w:r>
              <w:rPr>
                <w:b/>
                <w:sz w:val="14"/>
              </w:rPr>
              <w:t>Merge commit</w:t>
            </w:r>
          </w:p>
        </w:tc>
      </w:tr>
      <w:tr>
        <w:tc>
          <w:tcPr>
            <w:tcW w:type="dxa" w:w="792"/>
            <w:tcMar>
              <w:top w:w="65" w:type="dxa"/>
              <w:start w:w="85" w:type="dxa"/>
              <w:bottom w:w="65" w:type="dxa"/>
              <w:end w:w="85" w:type="dxa"/>
            </w:tcMar>
            <w:vAlign w:val="center"/>
          </w:tcPr>
          <w:p>
            <w:pPr>
              <w:spacing w:after="0"/>
            </w:pPr>
            <w:r>
              <w:rPr>
                <w:sz w:val="14"/>
              </w:rPr>
              <w:t>#404</w:t>
            </w:r>
          </w:p>
        </w:tc>
        <w:tc>
          <w:tcPr>
            <w:tcW w:type="dxa" w:w="4680"/>
            <w:tcMar>
              <w:top w:w="65" w:type="dxa"/>
              <w:start w:w="85" w:type="dxa"/>
              <w:bottom w:w="65" w:type="dxa"/>
              <w:end w:w="85" w:type="dxa"/>
            </w:tcMar>
            <w:vAlign w:val="center"/>
          </w:tcPr>
          <w:p>
            <w:pPr>
              <w:spacing w:after="0"/>
            </w:pPr>
            <w:r>
              <w:rPr>
                <w:sz w:val="14"/>
              </w:rPr>
              <w:t>Guard rails, media-processing admin, page settings, watermark configuration</w:t>
            </w:r>
          </w:p>
        </w:tc>
        <w:tc>
          <w:tcPr>
            <w:tcW w:type="dxa" w:w="792"/>
            <w:tcMar>
              <w:top w:w="65" w:type="dxa"/>
              <w:start w:w="85" w:type="dxa"/>
              <w:bottom w:w="65" w:type="dxa"/>
              <w:end w:w="85" w:type="dxa"/>
            </w:tcMar>
            <w:vAlign w:val="center"/>
          </w:tcPr>
          <w:p>
            <w:pPr>
              <w:spacing w:after="0"/>
            </w:pPr>
            <w:r>
              <w:rPr>
                <w:sz w:val="14"/>
              </w:rPr>
              <w:t>18</w:t>
            </w:r>
          </w:p>
        </w:tc>
        <w:tc>
          <w:tcPr>
            <w:tcW w:type="dxa" w:w="1656"/>
            <w:tcMar>
              <w:top w:w="65" w:type="dxa"/>
              <w:start w:w="85" w:type="dxa"/>
              <w:bottom w:w="65" w:type="dxa"/>
              <w:end w:w="85" w:type="dxa"/>
            </w:tcMar>
            <w:vAlign w:val="center"/>
          </w:tcPr>
          <w:p>
            <w:pPr>
              <w:spacing w:after="0"/>
            </w:pPr>
            <w:r>
              <w:rPr>
                <w:sz w:val="14"/>
              </w:rPr>
              <w:t>3f506ab</w:t>
            </w:r>
          </w:p>
        </w:tc>
        <w:tc>
          <w:tcPr>
            <w:tcW w:type="dxa" w:w="1728"/>
            <w:tcMar>
              <w:top w:w="65" w:type="dxa"/>
              <w:start w:w="85" w:type="dxa"/>
              <w:bottom w:w="65" w:type="dxa"/>
              <w:end w:w="85" w:type="dxa"/>
            </w:tcMar>
            <w:vAlign w:val="center"/>
          </w:tcPr>
          <w:p>
            <w:pPr>
              <w:spacing w:after="0"/>
            </w:pPr>
            <w:r>
              <w:rPr>
                <w:sz w:val="14"/>
              </w:rPr>
              <w:t>47c317f</w:t>
            </w:r>
          </w:p>
        </w:tc>
      </w:tr>
      <w:tr>
        <w:tc>
          <w:tcPr>
            <w:tcW w:type="dxa" w:w="792"/>
            <w:tcMar>
              <w:top w:w="65" w:type="dxa"/>
              <w:start w:w="85" w:type="dxa"/>
              <w:bottom w:w="65" w:type="dxa"/>
              <w:end w:w="85" w:type="dxa"/>
            </w:tcMar>
            <w:vAlign w:val="center"/>
            <w:shd w:fill="F5F7FA"/>
          </w:tcPr>
          <w:p>
            <w:pPr>
              <w:spacing w:after="0"/>
            </w:pPr>
            <w:r>
              <w:rPr>
                <w:sz w:val="14"/>
              </w:rPr>
              <w:t>#405</w:t>
            </w:r>
          </w:p>
        </w:tc>
        <w:tc>
          <w:tcPr>
            <w:tcW w:type="dxa" w:w="4680"/>
            <w:tcMar>
              <w:top w:w="65" w:type="dxa"/>
              <w:start w:w="85" w:type="dxa"/>
              <w:bottom w:w="65" w:type="dxa"/>
              <w:end w:w="85" w:type="dxa"/>
            </w:tcMar>
            <w:vAlign w:val="center"/>
            <w:shd w:fill="F5F7FA"/>
          </w:tcPr>
          <w:p>
            <w:pPr>
              <w:spacing w:after="0"/>
            </w:pPr>
            <w:r>
              <w:rPr>
                <w:sz w:val="14"/>
              </w:rPr>
              <w:t>Engagement recommendation, Facebook OAuth callback, health, Messenger connection</w:t>
            </w:r>
          </w:p>
        </w:tc>
        <w:tc>
          <w:tcPr>
            <w:tcW w:type="dxa" w:w="792"/>
            <w:tcMar>
              <w:top w:w="65" w:type="dxa"/>
              <w:start w:w="85" w:type="dxa"/>
              <w:bottom w:w="65" w:type="dxa"/>
              <w:end w:w="85" w:type="dxa"/>
            </w:tcMar>
            <w:vAlign w:val="center"/>
            <w:shd w:fill="F5F7FA"/>
          </w:tcPr>
          <w:p>
            <w:pPr>
              <w:spacing w:after="0"/>
            </w:pPr>
            <w:r>
              <w:rPr>
                <w:sz w:val="14"/>
              </w:rPr>
              <w:t>13</w:t>
            </w:r>
          </w:p>
        </w:tc>
        <w:tc>
          <w:tcPr>
            <w:tcW w:type="dxa" w:w="1656"/>
            <w:tcMar>
              <w:top w:w="65" w:type="dxa"/>
              <w:start w:w="85" w:type="dxa"/>
              <w:bottom w:w="65" w:type="dxa"/>
              <w:end w:w="85" w:type="dxa"/>
            </w:tcMar>
            <w:vAlign w:val="center"/>
            <w:shd w:fill="F5F7FA"/>
          </w:tcPr>
          <w:p>
            <w:pPr>
              <w:spacing w:after="0"/>
            </w:pPr>
            <w:r>
              <w:rPr>
                <w:sz w:val="14"/>
              </w:rPr>
              <w:t>7ffa0ae</w:t>
            </w:r>
          </w:p>
        </w:tc>
        <w:tc>
          <w:tcPr>
            <w:tcW w:type="dxa" w:w="1728"/>
            <w:tcMar>
              <w:top w:w="65" w:type="dxa"/>
              <w:start w:w="85" w:type="dxa"/>
              <w:bottom w:w="65" w:type="dxa"/>
              <w:end w:w="85" w:type="dxa"/>
            </w:tcMar>
            <w:vAlign w:val="center"/>
            <w:shd w:fill="F5F7FA"/>
          </w:tcPr>
          <w:p>
            <w:pPr>
              <w:spacing w:after="0"/>
            </w:pPr>
            <w:r>
              <w:rPr>
                <w:sz w:val="14"/>
              </w:rPr>
              <w:t>9dfd0cb</w:t>
            </w:r>
          </w:p>
        </w:tc>
      </w:tr>
      <w:tr>
        <w:tc>
          <w:tcPr>
            <w:tcW w:type="dxa" w:w="792"/>
            <w:tcMar>
              <w:top w:w="65" w:type="dxa"/>
              <w:start w:w="85" w:type="dxa"/>
              <w:bottom w:w="65" w:type="dxa"/>
              <w:end w:w="85" w:type="dxa"/>
            </w:tcMar>
            <w:vAlign w:val="center"/>
          </w:tcPr>
          <w:p>
            <w:pPr>
              <w:spacing w:after="0"/>
            </w:pPr>
            <w:r>
              <w:rPr>
                <w:sz w:val="14"/>
              </w:rPr>
              <w:t>#406</w:t>
            </w:r>
          </w:p>
        </w:tc>
        <w:tc>
          <w:tcPr>
            <w:tcW w:type="dxa" w:w="4680"/>
            <w:tcMar>
              <w:top w:w="65" w:type="dxa"/>
              <w:start w:w="85" w:type="dxa"/>
              <w:bottom w:w="65" w:type="dxa"/>
              <w:end w:w="85" w:type="dxa"/>
            </w:tcMar>
            <w:vAlign w:val="center"/>
          </w:tcPr>
          <w:p>
            <w:pPr>
              <w:spacing w:after="0"/>
            </w:pPr>
            <w:r>
              <w:rPr>
                <w:sz w:val="14"/>
              </w:rPr>
              <w:t>AI templates, post templates, proofreading</w:t>
            </w:r>
          </w:p>
        </w:tc>
        <w:tc>
          <w:tcPr>
            <w:tcW w:type="dxa" w:w="792"/>
            <w:tcMar>
              <w:top w:w="65" w:type="dxa"/>
              <w:start w:w="85" w:type="dxa"/>
              <w:bottom w:w="65" w:type="dxa"/>
              <w:end w:w="85" w:type="dxa"/>
            </w:tcMar>
            <w:vAlign w:val="center"/>
          </w:tcPr>
          <w:p>
            <w:pPr>
              <w:spacing w:after="0"/>
            </w:pPr>
            <w:r>
              <w:rPr>
                <w:sz w:val="14"/>
              </w:rPr>
              <w:t>22</w:t>
            </w:r>
          </w:p>
        </w:tc>
        <w:tc>
          <w:tcPr>
            <w:tcW w:type="dxa" w:w="1656"/>
            <w:tcMar>
              <w:top w:w="65" w:type="dxa"/>
              <w:start w:w="85" w:type="dxa"/>
              <w:bottom w:w="65" w:type="dxa"/>
              <w:end w:w="85" w:type="dxa"/>
            </w:tcMar>
            <w:vAlign w:val="center"/>
          </w:tcPr>
          <w:p>
            <w:pPr>
              <w:spacing w:after="0"/>
            </w:pPr>
            <w:r>
              <w:rPr>
                <w:sz w:val="14"/>
              </w:rPr>
              <w:t>dff6c06</w:t>
            </w:r>
          </w:p>
        </w:tc>
        <w:tc>
          <w:tcPr>
            <w:tcW w:type="dxa" w:w="1728"/>
            <w:tcMar>
              <w:top w:w="65" w:type="dxa"/>
              <w:start w:w="85" w:type="dxa"/>
              <w:bottom w:w="65" w:type="dxa"/>
              <w:end w:w="85" w:type="dxa"/>
            </w:tcMar>
            <w:vAlign w:val="center"/>
          </w:tcPr>
          <w:p>
            <w:pPr>
              <w:spacing w:after="0"/>
            </w:pPr>
            <w:r>
              <w:rPr>
                <w:sz w:val="14"/>
              </w:rPr>
              <w:t>56a872c</w:t>
            </w:r>
          </w:p>
        </w:tc>
      </w:tr>
    </w:tbl>
    <w:p>
      <w:pPr>
        <w:spacing w:after="0"/>
      </w:pPr>
    </w:p>
    <w:p>
      <w:pPr>
        <w:pStyle w:val="Heading1"/>
      </w:pPr>
      <w:r>
        <w:t>8. Representative Test Behaviors</w:t>
      </w:r>
    </w:p>
    <w:tbl>
      <w:tblPr>
        <w:tblW w:type="auto" w:w="0"/>
        <w:jc w:val="center"/>
        <w:tblLayout w:type="fixed"/>
        <w:tblLook w:firstColumn="1" w:firstRow="1" w:lastColumn="0" w:lastRow="0" w:noHBand="0" w:noVBand="1" w:val="04A0"/>
      </w:tblPr>
      <w:tblGrid>
        <w:gridCol w:w="2088"/>
        <w:gridCol w:w="7560"/>
      </w:tblGrid>
      <w:tr>
        <w:trPr>
          <w:tblHeader w:val="true"/>
        </w:trPr>
        <w:tc>
          <w:tcPr>
            <w:tcW w:type="dxa" w:w="5184"/>
            <w:shd w:fill="D9E2F3"/>
            <w:tcMar>
              <w:top w:w="65" w:type="dxa"/>
              <w:start w:w="85" w:type="dxa"/>
              <w:bottom w:w="65" w:type="dxa"/>
              <w:end w:w="85" w:type="dxa"/>
            </w:tcMar>
            <w:vAlign w:val="center"/>
          </w:tcPr>
          <w:p>
            <w:r>
              <w:rPr>
                <w:b/>
                <w:sz w:val="15"/>
              </w:rPr>
              <w:t>Area</w:t>
            </w:r>
          </w:p>
        </w:tc>
        <w:tc>
          <w:tcPr>
            <w:tcW w:type="dxa" w:w="5184"/>
            <w:shd w:fill="D9E2F3"/>
            <w:tcMar>
              <w:top w:w="65" w:type="dxa"/>
              <w:start w:w="85" w:type="dxa"/>
              <w:bottom w:w="65" w:type="dxa"/>
              <w:end w:w="85" w:type="dxa"/>
            </w:tcMar>
            <w:vAlign w:val="center"/>
          </w:tcPr>
          <w:p>
            <w:r>
              <w:rPr>
                <w:b/>
                <w:sz w:val="15"/>
              </w:rPr>
              <w:t>Examples now verified</w:t>
            </w:r>
          </w:p>
        </w:tc>
      </w:tr>
      <w:tr>
        <w:tc>
          <w:tcPr>
            <w:tcW w:type="dxa" w:w="2088"/>
            <w:tcMar>
              <w:top w:w="65" w:type="dxa"/>
              <w:start w:w="85" w:type="dxa"/>
              <w:bottom w:w="65" w:type="dxa"/>
              <w:end w:w="85" w:type="dxa"/>
            </w:tcMar>
            <w:vAlign w:val="center"/>
          </w:tcPr>
          <w:p>
            <w:pPr>
              <w:spacing w:after="0"/>
            </w:pPr>
            <w:r>
              <w:rPr>
                <w:sz w:val="15"/>
              </w:rPr>
              <w:t>Authorization</w:t>
            </w:r>
          </w:p>
        </w:tc>
        <w:tc>
          <w:tcPr>
            <w:tcW w:type="dxa" w:w="7560"/>
            <w:tcMar>
              <w:top w:w="65" w:type="dxa"/>
              <w:start w:w="85" w:type="dxa"/>
              <w:bottom w:w="65" w:type="dxa"/>
              <w:end w:w="85" w:type="dxa"/>
            </w:tcMar>
            <w:vAlign w:val="center"/>
          </w:tcPr>
          <w:p>
            <w:pPr>
              <w:spacing w:after="0"/>
            </w:pPr>
            <w:r>
              <w:rPr>
                <w:sz w:val="15"/>
              </w:rPr>
              <w:t>Unauthenticated requests return 401; unsupported roles return 403; admin-only operations remain restricted.</w:t>
            </w:r>
          </w:p>
        </w:tc>
      </w:tr>
      <w:tr>
        <w:tc>
          <w:tcPr>
            <w:tcW w:type="dxa" w:w="2088"/>
            <w:tcMar>
              <w:top w:w="65" w:type="dxa"/>
              <w:start w:w="85" w:type="dxa"/>
              <w:bottom w:w="65" w:type="dxa"/>
              <w:end w:w="85" w:type="dxa"/>
            </w:tcMar>
            <w:vAlign w:val="center"/>
            <w:shd w:fill="F5F7FA"/>
          </w:tcPr>
          <w:p>
            <w:pPr>
              <w:spacing w:after="0"/>
            </w:pPr>
            <w:r>
              <w:rPr>
                <w:sz w:val="15"/>
              </w:rPr>
              <w:t>Tenant isolation</w:t>
            </w:r>
          </w:p>
        </w:tc>
        <w:tc>
          <w:tcPr>
            <w:tcW w:type="dxa" w:w="7560"/>
            <w:tcMar>
              <w:top w:w="65" w:type="dxa"/>
              <w:start w:w="85" w:type="dxa"/>
              <w:bottom w:w="65" w:type="dxa"/>
              <w:end w:w="85" w:type="dxa"/>
            </w:tcMar>
            <w:vAlign w:val="center"/>
            <w:shd w:fill="F5F7FA"/>
          </w:tcPr>
          <w:p>
            <w:pPr>
              <w:spacing w:after="0"/>
            </w:pPr>
            <w:r>
              <w:rPr>
                <w:sz w:val="15"/>
              </w:rPr>
              <w:t>Contributor guard-rail validation uses the institution from the authenticated principal rather than a conflicting request value.</w:t>
            </w:r>
          </w:p>
        </w:tc>
      </w:tr>
      <w:tr>
        <w:tc>
          <w:tcPr>
            <w:tcW w:type="dxa" w:w="2088"/>
            <w:tcMar>
              <w:top w:w="65" w:type="dxa"/>
              <w:start w:w="85" w:type="dxa"/>
              <w:bottom w:w="65" w:type="dxa"/>
              <w:end w:w="85" w:type="dxa"/>
            </w:tcMar>
            <w:vAlign w:val="center"/>
          </w:tcPr>
          <w:p>
            <w:pPr>
              <w:spacing w:after="0"/>
            </w:pPr>
            <w:r>
              <w:rPr>
                <w:sz w:val="15"/>
              </w:rPr>
              <w:t>Administrative operations</w:t>
            </w:r>
          </w:p>
        </w:tc>
        <w:tc>
          <w:tcPr>
            <w:tcW w:type="dxa" w:w="7560"/>
            <w:tcMar>
              <w:top w:w="65" w:type="dxa"/>
              <w:start w:w="85" w:type="dxa"/>
              <w:bottom w:w="65" w:type="dxa"/>
              <w:end w:w="85" w:type="dxa"/>
            </w:tcMar>
            <w:vAlign w:val="center"/>
          </w:tcPr>
          <w:p>
            <w:pPr>
              <w:spacing w:after="0"/>
            </w:pPr>
            <w:r>
              <w:rPr>
                <w:sz w:val="15"/>
              </w:rPr>
              <w:t>Dead-letter retry uses the authenticated actor and records an audit event; settings calls pass actor and institution correctly.</w:t>
            </w:r>
          </w:p>
        </w:tc>
      </w:tr>
      <w:tr>
        <w:tc>
          <w:tcPr>
            <w:tcW w:type="dxa" w:w="2088"/>
            <w:tcMar>
              <w:top w:w="65" w:type="dxa"/>
              <w:start w:w="85" w:type="dxa"/>
              <w:bottom w:w="65" w:type="dxa"/>
              <w:end w:w="85" w:type="dxa"/>
            </w:tcMar>
            <w:vAlign w:val="center"/>
            <w:shd w:fill="F5F7FA"/>
          </w:tcPr>
          <w:p>
            <w:pPr>
              <w:spacing w:after="0"/>
            </w:pPr>
            <w:r>
              <w:rPr>
                <w:sz w:val="15"/>
              </w:rPr>
              <w:t>External integrations</w:t>
            </w:r>
          </w:p>
        </w:tc>
        <w:tc>
          <w:tcPr>
            <w:tcW w:type="dxa" w:w="7560"/>
            <w:tcMar>
              <w:top w:w="65" w:type="dxa"/>
              <w:start w:w="85" w:type="dxa"/>
              <w:bottom w:w="65" w:type="dxa"/>
              <w:end w:w="85" w:type="dxa"/>
            </w:tcMar>
            <w:vAlign w:val="center"/>
            <w:shd w:fill="F5F7FA"/>
          </w:tcPr>
          <w:p>
            <w:pPr>
              <w:spacing w:after="0"/>
            </w:pPr>
            <w:r>
              <w:rPr>
                <w:sz w:val="15"/>
              </w:rPr>
              <w:t>OAuth callback, Messenger connection, engagement recommendations, and health endpoints cover success and failure mappings.</w:t>
            </w:r>
          </w:p>
        </w:tc>
      </w:tr>
      <w:tr>
        <w:tc>
          <w:tcPr>
            <w:tcW w:type="dxa" w:w="2088"/>
            <w:tcMar>
              <w:top w:w="65" w:type="dxa"/>
              <w:start w:w="85" w:type="dxa"/>
              <w:bottom w:w="65" w:type="dxa"/>
              <w:end w:w="85" w:type="dxa"/>
            </w:tcMar>
            <w:vAlign w:val="center"/>
          </w:tcPr>
          <w:p>
            <w:pPr>
              <w:spacing w:after="0"/>
            </w:pPr>
            <w:r>
              <w:rPr>
                <w:sz w:val="15"/>
              </w:rPr>
              <w:t>AI endpoints</w:t>
            </w:r>
          </w:p>
        </w:tc>
        <w:tc>
          <w:tcPr>
            <w:tcW w:type="dxa" w:w="7560"/>
            <w:tcMar>
              <w:top w:w="65" w:type="dxa"/>
              <w:start w:w="85" w:type="dxa"/>
              <w:bottom w:w="65" w:type="dxa"/>
              <w:end w:w="85" w:type="dxa"/>
            </w:tcMar>
            <w:vAlign w:val="center"/>
          </w:tcPr>
          <w:p>
            <w:pPr>
              <w:spacing w:after="0"/>
            </w:pPr>
            <w:r>
              <w:rPr>
                <w:sz w:val="15"/>
              </w:rPr>
              <w:t>AI template, post-template, and proofreading controllers cover valid requests, validation failures, authorization, and service responses.</w:t>
            </w:r>
          </w:p>
        </w:tc>
      </w:tr>
    </w:tbl>
    <w:p>
      <w:pPr>
        <w:spacing w:after="0"/>
      </w:pPr>
    </w:p>
    <w:p>
      <w:pPr>
        <w:pStyle w:val="Heading1"/>
      </w:pPr>
      <w:r>
        <w:t>9. Pull Request Evidence Register</w:t>
      </w:r>
    </w:p>
    <w:p>
      <w:pPr>
        <w:spacing w:after="60"/>
      </w:pPr>
      <w:r>
        <w:rPr>
          <w:b/>
        </w:rPr>
        <w:t xml:space="preserve">Evidence: </w:t>
      </w:r>
      <w:hyperlink r:id="rId10">
        <w:r>
          <w:rPr>
            <w:color w:val="000000"/>
            <w:u w:val="single"/>
          </w:rPr>
          <w:t>PR #401</w:t>
        </w:r>
      </w:hyperlink>
      <w:r>
        <w:t xml:space="preserve"> - Fix stale failing authorization test; source commit 85e6946; merge commit 5c4d885.</w:t>
      </w:r>
    </w:p>
    <w:p>
      <w:pPr>
        <w:spacing w:after="60"/>
      </w:pPr>
      <w:r>
        <w:rPr>
          <w:b/>
        </w:rPr>
        <w:t xml:space="preserve">Evidence: </w:t>
      </w:r>
      <w:hyperlink r:id="rId12">
        <w:r>
          <w:rPr>
            <w:color w:val="000000"/>
            <w:u w:val="single"/>
          </w:rPr>
          <w:t>PR #402</w:t>
        </w:r>
      </w:hyperlink>
      <w:r>
        <w:t xml:space="preserve"> - Clean frontend lint and React correctness issues; source commit a14e951; merge commit 247522c.</w:t>
      </w:r>
    </w:p>
    <w:p>
      <w:pPr>
        <w:spacing w:after="60"/>
      </w:pPr>
      <w:r>
        <w:rPr>
          <w:b/>
        </w:rPr>
        <w:t xml:space="preserve">Evidence: </w:t>
      </w:r>
      <w:hyperlink r:id="rId13">
        <w:r>
          <w:rPr>
            <w:color w:val="000000"/>
            <w:u w:val="single"/>
          </w:rPr>
          <w:t>PR #403</w:t>
        </w:r>
      </w:hyperlink>
      <w:r>
        <w:t xml:space="preserve"> - Remove dead demo code and misleading fallback data; source commit c0c97db; merge commit b4fea7e.</w:t>
      </w:r>
    </w:p>
    <w:p>
      <w:pPr>
        <w:spacing w:after="60"/>
      </w:pPr>
      <w:r>
        <w:rPr>
          <w:b/>
        </w:rPr>
        <w:t xml:space="preserve">Evidence: </w:t>
      </w:r>
      <w:hyperlink r:id="rId11">
        <w:r>
          <w:rPr>
            <w:color w:val="000000"/>
            <w:u w:val="single"/>
          </w:rPr>
          <w:t>PR #404</w:t>
        </w:r>
      </w:hyperlink>
      <w:r>
        <w:t xml:space="preserve"> - Add security-sensitive settings controller coverage; source commit 3f506ab; merge commit 47c317f.</w:t>
      </w:r>
    </w:p>
    <w:p>
      <w:pPr>
        <w:spacing w:after="60"/>
      </w:pPr>
      <w:r>
        <w:rPr>
          <w:b/>
        </w:rPr>
        <w:t xml:space="preserve">Evidence: </w:t>
      </w:r>
      <w:hyperlink r:id="rId14">
        <w:r>
          <w:rPr>
            <w:color w:val="000000"/>
            <w:u w:val="single"/>
          </w:rPr>
          <w:t>PR #405</w:t>
        </w:r>
      </w:hyperlink>
      <w:r>
        <w:t xml:space="preserve"> - Add integration and recommendation controller coverage; source commit 7ffa0ae; merge commit 9dfd0cb.</w:t>
      </w:r>
    </w:p>
    <w:p>
      <w:pPr>
        <w:spacing w:after="60"/>
      </w:pPr>
      <w:r>
        <w:rPr>
          <w:b/>
        </w:rPr>
        <w:t xml:space="preserve">Evidence: </w:t>
      </w:r>
      <w:hyperlink r:id="rId15">
        <w:r>
          <w:rPr>
            <w:color w:val="000000"/>
            <w:u w:val="single"/>
          </w:rPr>
          <w:t>PR #406</w:t>
        </w:r>
      </w:hyperlink>
      <w:r>
        <w:t xml:space="preserve"> - Complete AI and template controller coverage; source commit dff6c06; merge commit 56a872c.</w:t>
      </w:r>
    </w:p>
    <w:p>
      <w:pPr>
        <w:pStyle w:val="Heading1"/>
      </w:pPr>
      <w:r>
        <w:t>10. Conclusion and Limits</w:t>
      </w:r>
    </w:p>
    <w:p>
      <w:r>
        <w:t>The assigned work is evidenced by a clean frontend lint result, successful frontend build, 33 passing end-to-end tests, and 952 passing backend tests. The added tests improve regression detection around roles, institutions, settings, integrations, and AI endpoints. These results establish technical readiness for the next validation cycle; they do not replace usability scores, task-completion data, or production monitoring.</w:t>
      </w:r>
    </w:p>
    <w:sectPr w:rsidR="00FC693F" w:rsidRPr="0006063C" w:rsidSect="00034616">
      <w:footerReference w:type="default" r:id="rId9"/>
      <w:pgSz w:w="12240" w:h="15840"/>
      <w:pgMar w:top="792"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000000"/>
        <w:sz w:val="16"/>
      </w:rPr>
      <w:t>DASIGConnect | Refactoring Evidence | 17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Arial" w:hAnsi="Arial" w:eastAsia="Arial"/>
      <w:color w:val="000000"/>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6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Arial" w:hAnsi="Arial" w:eastAsia="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dasigconnect-dev/DASIGConnect/pull/401" TargetMode="External"/><Relationship Id="rId11" Type="http://schemas.openxmlformats.org/officeDocument/2006/relationships/hyperlink" Target="https://github.com/dasigconnect-dev/DASIGConnect/pull/404" TargetMode="External"/><Relationship Id="rId12" Type="http://schemas.openxmlformats.org/officeDocument/2006/relationships/hyperlink" Target="https://github.com/dasigconnect-dev/DASIGConnect/pull/402" TargetMode="External"/><Relationship Id="rId13" Type="http://schemas.openxmlformats.org/officeDocument/2006/relationships/hyperlink" Target="https://github.com/dasigconnect-dev/DASIGConnect/pull/403" TargetMode="External"/><Relationship Id="rId14" Type="http://schemas.openxmlformats.org/officeDocument/2006/relationships/hyperlink" Target="https://github.com/dasigconnect-dev/DASIGConnect/pull/405" TargetMode="External"/><Relationship Id="rId15" Type="http://schemas.openxmlformats.org/officeDocument/2006/relationships/hyperlink" Target="https://github.com/dasigconnect-dev/DASIGConnect/pull/4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