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sz w:val="44"/>
        </w:rPr>
        <w:t>DASIGConnect Refactoring Evidence</w:t>
      </w:r>
    </w:p>
    <w:p>
      <w:pPr>
        <w:spacing w:after="280"/>
        <w:jc w:val="center"/>
      </w:pPr>
      <w:r>
        <w:rPr>
          <w:i/>
          <w:sz w:val="22"/>
        </w:rPr>
        <w:t>MVP Validation Findings to Implemented Improvements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16"/>
      </w:tblGrid>
      <w:tr>
        <w:trPr>
          <w:tblHeader w:val="true"/>
        </w:trPr>
        <w:tc>
          <w:tcPr>
            <w:tcW w:type="dxa" w:w="5184"/>
            <w:shd w:fill="E7E7E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DASIGConnect</w:t>
            </w:r>
          </w:p>
        </w:tc>
      </w:tr>
      <w:tr>
        <w:tc>
          <w:tcPr>
            <w:tcW w:type="dxa" w:w="5184"/>
            <w:shd w:fill="E7E7E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</w:rPr>
              <w:t>Evidence period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September–October 2026</w:t>
            </w:r>
          </w:p>
        </w:tc>
      </w:tr>
      <w:tr>
        <w:tc>
          <w:tcPr>
            <w:tcW w:type="dxa" w:w="5184"/>
            <w:shd w:fill="E7E7E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</w:rPr>
              <w:t>Repository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dasigconnect-dev/DASIGConnect</w:t>
            </w:r>
          </w:p>
        </w:tc>
      </w:tr>
    </w:tbl>
    <w:p>
      <w:pPr>
        <w:pStyle w:val="Heading1"/>
      </w:pPr>
      <w:r>
        <w:t>1. Evidence Basis</w:t>
      </w:r>
    </w:p>
    <w:p>
      <w:r>
        <w:t>This report links shipped changes to the MVP validation conducted with 15 participants across 16 role-based sessions. The source findings reported 37.5% independent task completion, a mean SUS score of 61.8, low AI exposure (6 of 16 sessions), and mobile difficulty locating review actions. Evidence below is limited to behavior verified in repository history.</w:t>
      </w:r>
    </w:p>
    <w:p>
      <w:pPr>
        <w:pStyle w:val="Heading1"/>
      </w:pPr>
      <w:r>
        <w:t>2. Traceability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3528"/>
        <w:gridCol w:w="1944"/>
        <w:gridCol w:w="1656"/>
      </w:tblGrid>
      <w:tr>
        <w:trPr>
          <w:tblHeader w:val="true"/>
        </w:trPr>
        <w:tc>
          <w:tcPr>
            <w:tcW w:type="dxa" w:w="2592"/>
            <w:shd w:fill="D9D9D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</w:rPr>
              <w:t>MVP finding</w:t>
            </w:r>
          </w:p>
        </w:tc>
        <w:tc>
          <w:tcPr>
            <w:tcW w:type="dxa" w:w="2592"/>
            <w:shd w:fill="D9D9D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</w:rPr>
              <w:t>Implemented response</w:t>
            </w:r>
          </w:p>
        </w:tc>
        <w:tc>
          <w:tcPr>
            <w:tcW w:type="dxa" w:w="2592"/>
            <w:shd w:fill="D9D9D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</w:rPr>
              <w:t>Evidence</w:t>
            </w:r>
          </w:p>
        </w:tc>
        <w:tc>
          <w:tcPr>
            <w:tcW w:type="dxa" w:w="2592"/>
            <w:shd w:fill="D9D9D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736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#2: first-time users needed help</w:t>
            </w:r>
          </w:p>
        </w:tc>
        <w:tc>
          <w:tcPr>
            <w:tcW w:type="dxa" w:w="3528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Expanded view-only composer guidance from four generic steps to thirteen contextual steps.</w:t>
            </w:r>
          </w:p>
        </w:tc>
        <w:tc>
          <w:tcPr>
            <w:tcW w:type="dxa" w:w="1944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PR #326</w:t>
              <w:br/>
              <w:t>b4dc556</w:t>
            </w:r>
          </w:p>
        </w:tc>
        <w:tc>
          <w:tcPr>
            <w:tcW w:type="dxa" w:w="1656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Implemented</w:t>
            </w:r>
          </w:p>
        </w:tc>
      </w:tr>
      <w:tr>
        <w:tc>
          <w:tcPr>
            <w:tcW w:type="dxa" w:w="2736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#4: review actions hard to find on mobile</w:t>
            </w:r>
          </w:p>
        </w:tc>
        <w:tc>
          <w:tcPr>
            <w:tcW w:type="dxa" w:w="3528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Clarified queue-card actions, added mobile review flow, and kept submission controls reachable.</w:t>
            </w:r>
          </w:p>
        </w:tc>
        <w:tc>
          <w:tcPr>
            <w:tcW w:type="dxa" w:w="1944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PR #329, #363</w:t>
            </w:r>
          </w:p>
        </w:tc>
        <w:tc>
          <w:tcPr>
            <w:tcW w:type="dxa" w:w="1656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Implemented</w:t>
            </w:r>
          </w:p>
        </w:tc>
      </w:tr>
      <w:tr>
        <w:tc>
          <w:tcPr>
            <w:tcW w:type="dxa" w:w="2736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#3: low exposure to AI assistance</w:t>
            </w:r>
          </w:p>
        </w:tc>
        <w:tc>
          <w:tcPr>
            <w:tcW w:type="dxa" w:w="3528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AI caption requests now save an unsaved draft first; selected images can activate media suggestions and media changes autosave.</w:t>
            </w:r>
          </w:p>
        </w:tc>
        <w:tc>
          <w:tcPr>
            <w:tcW w:type="dxa" w:w="1944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PR #268, #333, #335</w:t>
            </w:r>
          </w:p>
        </w:tc>
        <w:tc>
          <w:tcPr>
            <w:tcW w:type="dxa" w:w="1656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Partially implemented</w:t>
            </w:r>
          </w:p>
        </w:tc>
      </w:tr>
      <w:tr>
        <w:tc>
          <w:tcPr>
            <w:tcW w:type="dxa" w:w="2736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#1: readiness score confused completion</w:t>
            </w:r>
          </w:p>
        </w:tc>
        <w:tc>
          <w:tcPr>
            <w:tcW w:type="dxa" w:w="3528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Required gate is still mixed with a 0–100 readiness score in current code.</w:t>
            </w:r>
          </w:p>
        </w:tc>
        <w:tc>
          <w:tcPr>
            <w:tcW w:type="dxa" w:w="1944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Current source audit</w:t>
            </w:r>
          </w:p>
        </w:tc>
        <w:tc>
          <w:tcPr>
            <w:tcW w:type="dxa" w:w="1656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Open</w:t>
            </w:r>
          </w:p>
        </w:tc>
      </w:tr>
      <w:tr>
        <w:tc>
          <w:tcPr>
            <w:tcW w:type="dxa" w:w="2736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#5: one-at-a-time invitations</w:t>
            </w:r>
          </w:p>
        </w:tc>
        <w:tc>
          <w:tcPr>
            <w:tcW w:type="dxa" w:w="3528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No verified bulk/CSV invitation implementation was found for this evidence report.</w:t>
            </w:r>
          </w:p>
        </w:tc>
        <w:tc>
          <w:tcPr>
            <w:tcW w:type="dxa" w:w="1944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Current source audit</w:t>
            </w:r>
          </w:p>
        </w:tc>
        <w:tc>
          <w:tcPr>
            <w:tcW w:type="dxa" w:w="1656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Open</w:t>
            </w:r>
          </w:p>
        </w:tc>
      </w:tr>
    </w:tbl>
    <w:p>
      <w:pPr>
        <w:pStyle w:val="Heading1"/>
      </w:pPr>
      <w:r>
        <w:t>3. Interpretation</w:t>
      </w:r>
    </w:p>
    <w:p>
      <w:r>
        <w:t>The changes preserve the role-based workflow that respondents endorsed. They focus on reachability, learnability, and non-blocking AI assistance. They do not by themselves prove that the targets have been achieved; SUS, independent completion, AI coverage, and task time must be re-measured after deployment.</w:t>
      </w:r>
    </w:p>
    <w:p>
      <w:r>
        <w:br w:type="page"/>
      </w:r>
    </w:p>
    <w:p>
      <w:pPr>
        <w:pStyle w:val="Heading1"/>
      </w:pPr>
      <w:r>
        <w:t>4. Evidence A — First-Time Independence</w:t>
      </w:r>
    </w:p>
    <w:p>
      <w:pPr>
        <w:spacing w:after="40"/>
      </w:pPr>
      <w:r>
        <w:rPr>
          <w:b/>
        </w:rPr>
        <w:t xml:space="preserve">Validation finding: </w:t>
      </w:r>
      <w:r>
        <w:t>Only 6 of 16 sessions were completed without help; users reported uncertainty about what to do next.</w:t>
      </w:r>
    </w:p>
    <w:p>
      <w:pPr>
        <w:spacing w:after="40"/>
      </w:pPr>
      <w:r>
        <w:rPr>
          <w:b/>
        </w:rPr>
        <w:t xml:space="preserve">Implemented change: </w:t>
      </w:r>
      <w:r>
        <w:t>The composer walkthrough was expanded from four generic stops to thirteen contextual, view-only steps that open the exact panel being explained and restore the user's prior state afterward.</w:t>
      </w:r>
    </w:p>
    <w:p>
      <w:pPr>
        <w:spacing w:after="80"/>
      </w:pPr>
      <w:r>
        <w:rPr>
          <w:b/>
        </w:rPr>
        <w:t xml:space="preserve">Evidence: </w:t>
      </w:r>
      <w:hyperlink r:id="rId10">
        <w:r>
          <w:rPr>
            <w:color w:val="000000"/>
            <w:u w:val="single"/>
          </w:rPr>
          <w:t>PR #326</w:t>
        </w:r>
      </w:hyperlink>
      <w:r>
        <w:t xml:space="preserve"> — View-only composer guide covering every step and panel; merge commit b4dc556.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5184"/>
            <w:shd w:fill="E7E7E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sz w:val="16"/>
              </w:rPr>
              <w:t>BEFORE</w:t>
            </w:r>
          </w:p>
        </w:tc>
        <w:tc>
          <w:tcPr>
            <w:tcW w:type="dxa" w:w="5184"/>
            <w:shd w:fill="E7E7E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sz w:val="16"/>
              </w:rPr>
              <w:t>AFTER</w:t>
            </w:r>
          </w:p>
        </w:tc>
      </w:tr>
      <w:tr>
        <w:tc>
          <w:tcPr>
            <w:tcW w:type="dxa" w:w="5184"/>
            <w:shd w:fill="F7F7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>submissionComposerTourSteps = [</w:t>
              <w:br/>
              <w:t xml:space="preserve">  "3-Step Composer Workflow",</w:t>
              <w:br/>
              <w:t xml:space="preserve">  "Upload &amp; Select Media",</w:t>
              <w:br/>
              <w:t xml:space="preserve">  "Caption Tools &amp; Templates",</w:t>
              <w:br/>
              <w:t xml:space="preserve">  "Preview &amp; Controls"</w:t>
              <w:br/>
              <w:t>];</w:t>
            </w:r>
          </w:p>
        </w:tc>
        <w:tc>
          <w:tcPr>
            <w:tcW w:type="dxa" w:w="5184"/>
            <w:shd w:fill="F7F7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>COMPOSER_TOUR_VIEWS = {</w:t>
              <w:br/>
              <w:t xml:space="preserve">  readiness: { step: "media", panel: "readiness" },</w:t>
              <w:br/>
              <w:t xml:space="preserve">  ai: { step: "details", panel: "ai" },</w:t>
              <w:br/>
              <w:t xml:space="preserve">  templates: { step: "details", panel: "templates" },</w:t>
              <w:br/>
              <w:t xml:space="preserve">  submit: { step: "schedule" }</w:t>
              <w:br/>
              <w:t>};</w:t>
              <w:br/>
              <w:t>// 13 contextual steps total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b/>
        </w:rPr>
        <w:t xml:space="preserve">Expected measurable effect: </w:t>
      </w:r>
      <w:r>
        <w:t>Higher first-attempt completion, fewer help requests, and improvement toward SUS ≥70. This requires re-validation; it is not claimed as achieved.</w:t>
      </w:r>
    </w:p>
    <w:p>
      <w:pPr>
        <w:pStyle w:val="Heading1"/>
      </w:pPr>
      <w:r>
        <w:t>5. Evidence B — Mobile Review Operability</w:t>
      </w:r>
    </w:p>
    <w:p>
      <w:pPr>
        <w:spacing w:after="40"/>
      </w:pPr>
      <w:r>
        <w:rPr>
          <w:b/>
        </w:rPr>
        <w:t xml:space="preserve">Validation finding: </w:t>
      </w:r>
      <w:r>
        <w:t>Eight of 16 sessions used phones or tablets; Moderators reported difficulty finding review actions, and Moderator SUS was 58.1.</w:t>
      </w:r>
    </w:p>
    <w:p>
      <w:pPr>
        <w:spacing w:after="40"/>
      </w:pPr>
      <w:r>
        <w:rPr>
          <w:b/>
        </w:rPr>
        <w:t xml:space="preserve">Implemented change: </w:t>
      </w:r>
      <w:r>
        <w:t>Queue cards now describe the action appropriate to status instead of labeling every item “Start Review.” The review experience also received a mobile master-detail flow, view-only guidance, and persistent submission navigation refinements.</w:t>
      </w:r>
    </w:p>
    <w:p>
      <w:pPr>
        <w:spacing w:after="80"/>
      </w:pPr>
      <w:r>
        <w:rPr>
          <w:b/>
        </w:rPr>
        <w:t xml:space="preserve">Evidence: </w:t>
      </w:r>
      <w:hyperlink r:id="rId11">
        <w:r>
          <w:rPr>
            <w:color w:val="000000"/>
            <w:u w:val="single"/>
          </w:rPr>
          <w:t>PR #329</w:t>
        </w:r>
      </w:hyperlink>
      <w:r>
        <w:t xml:space="preserve"> — Mobile review layout, single details panel, and view-only guides; merge commit 39e2bd0.</w:t>
      </w:r>
    </w:p>
    <w:p>
      <w:pPr>
        <w:spacing w:after="80"/>
      </w:pPr>
      <w:r>
        <w:rPr>
          <w:b/>
        </w:rPr>
        <w:t xml:space="preserve">Evidence: </w:t>
      </w:r>
      <w:hyperlink r:id="rId12">
        <w:r>
          <w:rPr>
            <w:color w:val="000000"/>
            <w:u w:val="single"/>
          </w:rPr>
          <w:t>PR #363</w:t>
        </w:r>
      </w:hyperlink>
      <w:r>
        <w:t xml:space="preserve"> — Mobile responsiveness and sticky submit navigation; merge commit 714ae26.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5184"/>
            <w:shd w:fill="E7E7E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sz w:val="16"/>
              </w:rPr>
              <w:t>BEFORE</w:t>
            </w:r>
          </w:p>
        </w:tc>
        <w:tc>
          <w:tcPr>
            <w:tcW w:type="dxa" w:w="5184"/>
            <w:shd w:fill="E7E7E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sz w:val="16"/>
              </w:rPr>
              <w:t>AFTER</w:t>
            </w:r>
          </w:p>
        </w:tc>
      </w:tr>
      <w:tr>
        <w:tc>
          <w:tcPr>
            <w:tcW w:type="dxa" w:w="5184"/>
            <w:shd w:fill="F7F7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>&lt;span className="val-qi-mobile-btn"&gt;</w:t>
              <w:br/>
              <w:t xml:space="preserve">  &lt;i className="ti ti-lock" /&gt;</w:t>
              <w:br/>
              <w:t xml:space="preserve">  &lt;span&gt;Start Review&lt;/span&gt;</w:t>
              <w:br/>
              <w:t>&lt;/span&gt;</w:t>
            </w:r>
          </w:p>
        </w:tc>
        <w:tc>
          <w:tcPr>
            <w:tcW w:type="dxa" w:w="5184"/>
            <w:shd w:fill="F7F7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>function queueCardAction(status) {</w:t>
              <w:br/>
              <w:t xml:space="preserve">  if (status === "pending") return "Review";</w:t>
              <w:br/>
              <w:t xml:space="preserve">  if (status === "in_review") return "Open";</w:t>
              <w:br/>
              <w:t xml:space="preserve">  return "View details";</w:t>
              <w:br/>
              <w:t>}</w:t>
              <w:br/>
              <w:t>&lt;span&gt;{queueCardAction(item.status).label}&lt;/span&gt;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b/>
        </w:rPr>
        <w:t xml:space="preserve">Expected measurable effect: </w:t>
      </w:r>
      <w:r>
        <w:t>Higher mobile task completion and shorter submission-to-decision time, especially for urgent reviews. Device-specific acceptance tests and pilot timestamps remain required.</w:t>
      </w:r>
    </w:p>
    <w:p>
      <w:r>
        <w:br w:type="page"/>
      </w:r>
    </w:p>
    <w:p>
      <w:pPr>
        <w:pStyle w:val="Heading1"/>
      </w:pPr>
      <w:r>
        <w:t>6. Evidence C — AI Assistance Is Reachable Earlier</w:t>
      </w:r>
    </w:p>
    <w:p>
      <w:pPr>
        <w:spacing w:after="40"/>
      </w:pPr>
      <w:r>
        <w:rPr>
          <w:b/>
        </w:rPr>
        <w:t xml:space="preserve">Validation finding: </w:t>
      </w:r>
      <w:r>
        <w:t>Only 6 of 16 participants encountered an AI feature even though exposed users generally rated the results positively. The identified barrier was reach, not demonstrated output quality.</w:t>
      </w:r>
    </w:p>
    <w:p>
      <w:pPr>
        <w:spacing w:after="40"/>
      </w:pPr>
      <w:r>
        <w:rPr>
          <w:b/>
        </w:rPr>
        <w:t xml:space="preserve">Implemented change: </w:t>
      </w:r>
      <w:r>
        <w:t>Caption generation can now save an unsaved draft and upload its media before invoking AI. Separately, image selection can activate media suggestions without title/caption/tags, and media mutations autosave so the backend can process selected assets.</w:t>
      </w:r>
    </w:p>
    <w:p>
      <w:pPr>
        <w:spacing w:after="80"/>
      </w:pPr>
      <w:r>
        <w:rPr>
          <w:b/>
        </w:rPr>
        <w:t xml:space="preserve">Evidence: </w:t>
      </w:r>
      <w:hyperlink r:id="rId13">
        <w:r>
          <w:rPr>
            <w:color w:val="000000"/>
            <w:u w:val="single"/>
          </w:rPr>
          <w:t>PR #268</w:t>
        </w:r>
      </w:hyperlink>
      <w:r>
        <w:t xml:space="preserve"> — AI caption auto-save workflow; merge commit 3f57c65 (source aa802f2).</w:t>
      </w:r>
    </w:p>
    <w:p>
      <w:pPr>
        <w:spacing w:after="80"/>
      </w:pPr>
      <w:r>
        <w:rPr>
          <w:b/>
        </w:rPr>
        <w:t xml:space="preserve">Evidence: </w:t>
      </w:r>
      <w:hyperlink r:id="rId14">
        <w:r>
          <w:rPr>
            <w:color w:val="000000"/>
            <w:u w:val="single"/>
          </w:rPr>
          <w:t>PR #333</w:t>
        </w:r>
      </w:hyperlink>
      <w:r>
        <w:t xml:space="preserve"> — Activate media suggestions from selected images; merge commit 7cf683d.</w:t>
      </w:r>
    </w:p>
    <w:p>
      <w:pPr>
        <w:spacing w:after="80"/>
      </w:pPr>
      <w:r>
        <w:rPr>
          <w:b/>
        </w:rPr>
        <w:t xml:space="preserve">Evidence: </w:t>
      </w:r>
      <w:hyperlink r:id="rId15">
        <w:r>
          <w:rPr>
            <w:color w:val="000000"/>
            <w:u w:val="single"/>
          </w:rPr>
          <w:t>PR #335</w:t>
        </w:r>
      </w:hyperlink>
      <w:r>
        <w:t xml:space="preserve"> — Autosave media mutations safely; merge commit df9c979.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5184"/>
            <w:shd w:fill="E7E7E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sz w:val="16"/>
              </w:rPr>
              <w:t>BEFORE</w:t>
            </w:r>
          </w:p>
        </w:tc>
        <w:tc>
          <w:tcPr>
            <w:tcW w:type="dxa" w:w="5184"/>
            <w:shd w:fill="E7E7E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sz w:val="16"/>
              </w:rPr>
              <w:t>AFTER</w:t>
            </w:r>
          </w:p>
        </w:tc>
      </w:tr>
      <w:tr>
        <w:tc>
          <w:tcPr>
            <w:tcW w:type="dxa" w:w="5184"/>
            <w:shd w:fill="F7F7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>const generated = await aiCaption.suggest(</w:t>
              <w:br/>
              <w:t xml:space="preserve">  prompt, tone, undefined, form.caption</w:t>
              <w:br/>
              <w:t>);</w:t>
            </w:r>
          </w:p>
        </w:tc>
        <w:tc>
          <w:tcPr>
            <w:tcW w:type="dxa" w:w="5184"/>
            <w:shd w:fill="F7F7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>let currentId = form.id;</w:t>
              <w:br/>
              <w:t>if (!currentId) {</w:t>
              <w:br/>
              <w:t xml:space="preserve">  currentId = await saveDraft({ silent: true });</w:t>
              <w:br/>
              <w:t>}</w:t>
              <w:br/>
              <w:t>const generated = await aiCaption.suggest(</w:t>
              <w:br/>
              <w:t xml:space="preserve">  prompt, tone, currentId, form.caption</w:t>
              <w:br/>
              <w:t>);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b/>
        </w:rPr>
        <w:t xml:space="preserve">Expected measurable effect: </w:t>
      </w:r>
      <w:r>
        <w:t>More submissions reach AI assistance, supporting the ≥90% coverage target and creating enough logged interactions to evaluate acceptance and quality. Automatic caption generation on upload was not verified as fully implemented, so Priority #3 remains partial.</w:t>
      </w:r>
    </w:p>
    <w:p>
      <w:pPr>
        <w:pStyle w:val="Heading1"/>
      </w:pPr>
      <w:r>
        <w:t>7. Verification and Remaining Work</w:t>
      </w:r>
    </w:p>
    <w:p>
      <w:pPr>
        <w:pStyle w:val="ListBullet"/>
        <w:spacing w:after="40"/>
      </w:pPr>
      <w:r>
        <w:t>Repository history and merged PR metadata were checked against the current dev branch.</w:t>
      </w:r>
    </w:p>
    <w:p>
      <w:pPr>
        <w:pStyle w:val="ListBullet"/>
        <w:spacing w:after="40"/>
      </w:pPr>
      <w:r>
        <w:t>The demo-readiness test phases raised the backend suite to 952 passing tests and added controller coverage, but these are quality controls rather than substitutes for user re-validation.</w:t>
      </w:r>
    </w:p>
    <w:p>
      <w:pPr>
        <w:pStyle w:val="ListBullet"/>
        <w:spacing w:after="40"/>
      </w:pPr>
      <w:r>
        <w:t>Open Priority #1: replace the blended readiness percentage with a distinct required-field submission gate and optional quality tips.</w:t>
      </w:r>
    </w:p>
    <w:p>
      <w:pPr>
        <w:pStyle w:val="ListBullet"/>
        <w:spacing w:after="40"/>
      </w:pPr>
      <w:r>
        <w:t>Open Priority #5: implement and verify controlled bulk/CSV invitations with per-row validation and audit logging.</w:t>
      </w:r>
    </w:p>
    <w:p>
      <w:pPr>
        <w:pStyle w:val="ListBullet"/>
        <w:spacing w:after="40"/>
      </w:pPr>
      <w:r>
        <w:t>Re-run role- and device-specific validation to measure independent completion, SUS, mobile turnaround, AI coverage, acceptance, quality, and drafting time.</w:t>
      </w:r>
    </w:p>
    <w:p>
      <w:pPr>
        <w:pStyle w:val="Heading1"/>
      </w:pPr>
      <w:r>
        <w:t>8. Source Record</w:t>
      </w:r>
    </w:p>
    <w:p>
      <w:r>
        <w:t>Primary validation source: docs/rtm req/DASIG MVP Validation Findings &amp; Refactoring Priorities.pdf. Implementation evidence: merged GitHub pull requests and the corresponding repository diffs listed above. Prepared for Folder 01 refactoring evidence submission.</w:t>
      </w:r>
    </w:p>
    <w:sectPr w:rsidR="00FC693F" w:rsidRPr="0006063C" w:rsidSect="00034616">
      <w:footerReference w:type="default" r:id="rId9"/>
      <w:pgSz w:w="12240" w:h="15840"/>
      <w:pgMar w:top="864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00000"/>
        <w:sz w:val="16"/>
      </w:rPr>
      <w:t>DASIGConnect | Refactoring Evidence | 17 October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eastAsia="Arial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Arial" w:hAnsi="Arial" w:eastAsia="Arial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dasigconnect-dev/DASIGConnect/pull/326" TargetMode="External"/><Relationship Id="rId11" Type="http://schemas.openxmlformats.org/officeDocument/2006/relationships/hyperlink" Target="https://github.com/dasigconnect-dev/DASIGConnect/pull/329" TargetMode="External"/><Relationship Id="rId12" Type="http://schemas.openxmlformats.org/officeDocument/2006/relationships/hyperlink" Target="https://github.com/dasigconnect-dev/DASIGConnect/pull/363" TargetMode="External"/><Relationship Id="rId13" Type="http://schemas.openxmlformats.org/officeDocument/2006/relationships/hyperlink" Target="https://github.com/dasigconnect-dev/DASIGConnect/pull/268" TargetMode="External"/><Relationship Id="rId14" Type="http://schemas.openxmlformats.org/officeDocument/2006/relationships/hyperlink" Target="https://github.com/dasigconnect-dev/DASIGConnect/pull/333" TargetMode="External"/><Relationship Id="rId15" Type="http://schemas.openxmlformats.org/officeDocument/2006/relationships/hyperlink" Target="https://github.com/dasigconnect-dev/DASIGConnect/pull/33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