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Calibri" w:hAnsi="Calibri" w:cs="Calibri" w:eastAsia="Calibri"/>
          <w:b/>
          <w:color w:val="1F4E79"/>
          <w:sz w:val="32"/>
        </w:rPr>
        <w:t>FEATURE ACCEPTANCE CHECKLIST</w:t>
      </w:r>
    </w:p>
    <w:p>
      <w:pPr>
        <w:spacing w:before="0" w:after="260"/>
        <w:jc w:val="center"/>
      </w:pPr>
      <w:r>
        <w:rPr>
          <w:rFonts w:ascii="Calibri" w:hAnsi="Calibri" w:cs="Calibri" w:eastAsia="Calibri"/>
          <w:i/>
          <w:color w:val="808080"/>
          <w:sz w:val="19"/>
        </w:rPr>
        <w:t>Client confirmation of implemented features</w:t>
      </w:r>
    </w:p>
    <w:tbl>
      <w:tblPr>
        <w:tblW w:type="dxa" w:w="9856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Column="1" w:firstRow="1" w:lastColumn="0" w:lastRow="0" w:noHBand="0" w:noVBand="1" w:val="04A0"/>
      </w:tblPr>
      <w:tblGrid>
        <w:gridCol w:w="4928"/>
        <w:gridCol w:w="4928"/>
      </w:tblGrid>
      <w:tr>
        <w:trPr>
          <w:cantSplit/>
          <w:trHeight w:val="660" w:hRule="atLeast"/>
        </w:trPr>
        <w:tc>
          <w:tcPr>
            <w:tcW w:type="dxa" w:w="4928"/>
            <w:shd w:val="clear" w:color="auto" w:fill="E8ED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000000"/>
                <w:sz w:val="19"/>
              </w:rPr>
              <w:t>SYSTEM TITLE</w:t>
            </w:r>
          </w:p>
        </w:tc>
        <w:tc>
          <w:tcPr>
            <w:tcW w:type="dxa" w:w="4928"/>
            <w:shd w:val="clear" w:color="auto" w:fill="FBFCFE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1F4E79"/>
                <w:sz w:val="22"/>
              </w:rPr>
              <w:t>Student Exam &amp; Results Management System</w:t>
            </w:r>
          </w:p>
        </w:tc>
      </w:tr>
      <w:tr>
        <w:trPr>
          <w:cantSplit/>
          <w:trHeight w:val="360" w:hRule="atLeast"/>
        </w:trPr>
        <w:tc>
          <w:tcPr>
            <w:tcW w:type="dxa" w:w="4928"/>
            <w:shd w:val="clear" w:color="auto" w:fill="E8ED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000000"/>
                <w:sz w:val="19"/>
              </w:rPr>
              <w:t>Client / Organization</w:t>
            </w:r>
          </w:p>
        </w:tc>
        <w:tc>
          <w:tcPr>
            <w:tcW w:type="dxa" w:w="4928"/>
            <w:shd w:val="clear" w:color="auto" w:fill="FBFCFE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9"/>
              </w:rPr>
              <w:t>Wayamba University of Sri Lanka</w:t>
            </w:r>
          </w:p>
        </w:tc>
      </w:tr>
      <w:tr>
        <w:trPr>
          <w:cantSplit/>
          <w:trHeight w:val="360" w:hRule="atLeast"/>
        </w:trPr>
        <w:tc>
          <w:tcPr>
            <w:tcW w:type="dxa" w:w="4928"/>
            <w:shd w:val="clear" w:color="auto" w:fill="E8ED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000000"/>
                <w:sz w:val="19"/>
              </w:rPr>
              <w:t>Date of Acceptance</w:t>
            </w:r>
          </w:p>
        </w:tc>
        <w:tc>
          <w:tcPr>
            <w:tcW w:type="dxa" w:w="4928"/>
            <w:shd w:val="clear" w:color="auto" w:fill="FBFCFE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60" w:hRule="atLeast"/>
        </w:trPr>
        <w:tc>
          <w:tcPr>
            <w:tcW w:type="dxa" w:w="4928"/>
            <w:shd w:val="clear" w:color="auto" w:fill="E8ED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000000"/>
                <w:sz w:val="19"/>
              </w:rPr>
              <w:t>Verified by (Name &amp; Designation)</w:t>
            </w:r>
          </w:p>
        </w:tc>
        <w:tc>
          <w:tcPr>
            <w:tcW w:type="dxa" w:w="4928"/>
            <w:shd w:val="clear" w:color="auto" w:fill="FBFCFE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keepNext/>
        <w:spacing w:before="240" w:after="100"/>
      </w:pPr>
      <w:r>
        <w:rPr>
          <w:rFonts w:ascii="Calibri" w:hAnsi="Calibri" w:cs="Calibri" w:eastAsia="Calibri"/>
          <w:b/>
          <w:color w:val="1F4E79"/>
          <w:sz w:val="22"/>
        </w:rPr>
        <w:t>Features</w:t>
      </w:r>
    </w:p>
    <w:tbl>
      <w:tblPr>
        <w:tblW w:type="dxa" w:w="9844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2461"/>
        <w:gridCol w:w="2461"/>
        <w:gridCol w:w="2461"/>
        <w:gridCol w:w="2461"/>
      </w:tblGrid>
      <w:tr>
        <w:trPr>
          <w:cantSplit/>
          <w:trHeight w:val="360" w:hRule="atLeast"/>
        </w:trPr>
        <w:tc>
          <w:tcPr>
            <w:tcW w:type="dxa" w:w="2461"/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b/>
                <w:color w:val="FFFFFF"/>
                <w:sz w:val="22"/>
              </w:rPr>
              <w:t>Main Feature</w:t>
            </w:r>
          </w:p>
        </w:tc>
        <w:tc>
          <w:tcPr>
            <w:tcW w:type="dxa" w:w="2461"/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b/>
                <w:color w:val="FFFFFF"/>
                <w:sz w:val="22"/>
              </w:rPr>
              <w:t>Feature</w:t>
            </w:r>
          </w:p>
        </w:tc>
        <w:tc>
          <w:tcPr>
            <w:tcW w:type="dxa" w:w="2461"/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b/>
                <w:color w:val="FFFFFF"/>
                <w:sz w:val="22"/>
              </w:rPr>
              <w:t>Implemented</w:t>
            </w:r>
          </w:p>
        </w:tc>
        <w:tc>
          <w:tcPr>
            <w:tcW w:type="dxa" w:w="2461"/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b/>
                <w:color w:val="FFFFFF"/>
                <w:sz w:val="22"/>
              </w:rPr>
              <w:t>Remarks</w:t>
            </w:r>
          </w:p>
        </w:tc>
      </w:tr>
      <w:tr>
        <w:trPr>
          <w:cantSplit/>
          <w:trHeight w:val="402" w:hRule="atLeast"/>
        </w:trPr>
        <w:tc>
          <w:tcPr>
            <w:tcW w:type="dxa" w:w="2461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000000"/>
                <w:sz w:val="17"/>
              </w:rPr>
              <w:t>Authentication &amp; Accounts</w:t>
            </w:r>
          </w:p>
        </w:tc>
        <w:tc>
          <w:tcPr>
            <w:tcW w:type="dxa" w:w="2461"/>
            <w:shd w:val="clear" w:color="auto" w:fill="FBFCFE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University e-mail login, lecturer sign-up, password reset, profile settings, role-based dashboards</w:t>
            </w:r>
          </w:p>
        </w:tc>
        <w:tc>
          <w:tcPr>
            <w:tcW w:type="dxa" w:w="2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18"/>
              </w:rPr>
              <w:t>Yes</w:t>
            </w:r>
          </w:p>
        </w:tc>
        <w:tc>
          <w:tcPr>
            <w:tcW w:type="dxa" w:w="2461"/>
            <w:shd w:val="clear" w:color="auto" w:fill="FBFCFE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Open: server-side API authorization; verified sender domain for live reset e-mails.</w:t>
            </w:r>
          </w:p>
        </w:tc>
      </w:tr>
      <w:tr>
        <w:trPr>
          <w:cantSplit/>
          <w:trHeight w:val="402" w:hRule="atLeast"/>
        </w:trPr>
        <w:tc>
          <w:tcPr>
            <w:tcW w:type="dxa" w:w="2461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000000"/>
                <w:sz w:val="17"/>
              </w:rPr>
              <w:t>System Administration</w:t>
            </w:r>
          </w:p>
        </w:tc>
        <w:tc>
          <w:tcPr>
            <w:tcW w:type="dxa" w:w="2461"/>
            <w:shd w:val="clear" w:color="auto" w:fill="FBFCFE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Create/delete user profiles, grant HOD, lecturer and examiner access, assign Second Examiners</w:t>
            </w:r>
          </w:p>
        </w:tc>
        <w:tc>
          <w:tcPr>
            <w:tcW w:type="dxa" w:w="2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18"/>
              </w:rPr>
              <w:t>Yes</w:t>
            </w:r>
          </w:p>
        </w:tc>
        <w:tc>
          <w:tcPr>
            <w:tcW w:type="dxa" w:w="2461"/>
            <w:shd w:val="clear" w:color="auto" w:fill="FBFCFE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Second Examiner assignments lock once a marksheet is submitted, frozen or finalised.</w:t>
            </w:r>
          </w:p>
        </w:tc>
      </w:tr>
      <w:tr>
        <w:trPr>
          <w:cantSplit/>
          <w:trHeight w:val="402" w:hRule="atLeast"/>
        </w:trPr>
        <w:tc>
          <w:tcPr>
            <w:tcW w:type="dxa" w:w="2461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000000"/>
                <w:sz w:val="17"/>
              </w:rPr>
              <w:t>HOD Console</w:t>
            </w:r>
          </w:p>
        </w:tc>
        <w:tc>
          <w:tcPr>
            <w:tcW w:type="dxa" w:w="2461"/>
            <w:shd w:val="clear" w:color="auto" w:fill="FBFCFE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Add, edit and delete modules (lecturer, eligibility, deadline), lecturer roster, result sheets</w:t>
            </w:r>
          </w:p>
        </w:tc>
        <w:tc>
          <w:tcPr>
            <w:tcW w:type="dxa" w:w="2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18"/>
              </w:rPr>
              <w:t>Yes</w:t>
            </w:r>
          </w:p>
        </w:tc>
        <w:tc>
          <w:tcPr>
            <w:tcW w:type="dxa" w:w="2461"/>
            <w:shd w:val="clear" w:color="auto" w:fill="FBFCFE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Result sheets show Grade, handover details and second-marking variance.</w:t>
            </w:r>
          </w:p>
        </w:tc>
      </w:tr>
      <w:tr>
        <w:trPr>
          <w:cantSplit/>
          <w:trHeight w:val="402" w:hRule="atLeast"/>
        </w:trPr>
        <w:tc>
          <w:tcPr>
            <w:tcW w:type="dxa" w:w="2461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000000"/>
                <w:sz w:val="17"/>
              </w:rPr>
              <w:t>Marks Management</w:t>
            </w:r>
          </w:p>
        </w:tc>
        <w:tc>
          <w:tcPr>
            <w:tcW w:type="dxa" w:w="2461"/>
            <w:shd w:val="clear" w:color="auto" w:fill="FBFCFE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CA and final-paper marking from a blueprint, absence, eligibility, roster paste, Excel import</w:t>
            </w:r>
          </w:p>
        </w:tc>
        <w:tc>
          <w:tcPr>
            <w:tcW w:type="dxa" w:w="2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18"/>
              </w:rPr>
              <w:t>Yes</w:t>
            </w:r>
          </w:p>
        </w:tc>
        <w:tc>
          <w:tcPr>
            <w:tcW w:type="dxa" w:w="2461"/>
            <w:shd w:val="clear" w:color="auto" w:fill="FBFCFE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CA types incl. MCQ; individual/common weighting; highest-scoring answers count.</w:t>
            </w:r>
          </w:p>
        </w:tc>
      </w:tr>
      <w:tr>
        <w:trPr>
          <w:cantSplit/>
          <w:trHeight w:val="402" w:hRule="atLeast"/>
        </w:trPr>
        <w:tc>
          <w:tcPr>
            <w:tcW w:type="dxa" w:w="2461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000000"/>
                <w:sz w:val="17"/>
              </w:rPr>
              <w:t>Second Examiner Workflow</w:t>
            </w:r>
          </w:p>
        </w:tc>
        <w:tc>
          <w:tcPr>
            <w:tcW w:type="dxa" w:w="2461"/>
            <w:shd w:val="clear" w:color="auto" w:fill="FBFCFE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Handover and recall, independent second marking, variance check, reconciliation</w:t>
            </w:r>
          </w:p>
        </w:tc>
        <w:tc>
          <w:tcPr>
            <w:tcW w:type="dxa" w:w="2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18"/>
              </w:rPr>
              <w:t>Yes</w:t>
            </w:r>
          </w:p>
        </w:tc>
        <w:tc>
          <w:tcPr>
            <w:tcW w:type="dxa" w:w="2461"/>
            <w:shd w:val="clear" w:color="auto" w:fill="FBFCFE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Weighted variance above 1 needs First Examiner approval, then reconciliation.</w:t>
            </w:r>
          </w:p>
        </w:tc>
      </w:tr>
      <w:tr>
        <w:trPr>
          <w:cantSplit/>
          <w:trHeight w:val="402" w:hRule="atLeast"/>
        </w:trPr>
        <w:tc>
          <w:tcPr>
            <w:tcW w:type="dxa" w:w="2461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000000"/>
                <w:sz w:val="17"/>
              </w:rPr>
              <w:t>Results, Grading &amp; Reports</w:t>
            </w:r>
          </w:p>
        </w:tc>
        <w:tc>
          <w:tcPr>
            <w:tcW w:type="dxa" w:w="2461"/>
            <w:shd w:val="clear" w:color="auto" w:fill="FBFCFE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Marksheet summary with letter grade, CSV export, Excel templates, print/PDF marksheets</w:t>
            </w:r>
          </w:p>
        </w:tc>
        <w:tc>
          <w:tcPr>
            <w:tcW w:type="dxa" w:w="2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18"/>
              </w:rPr>
              <w:t>Yes</w:t>
            </w:r>
          </w:p>
        </w:tc>
        <w:tc>
          <w:tcPr>
            <w:tcW w:type="dxa" w:w="2461"/>
            <w:shd w:val="clear" w:color="auto" w:fill="FBFCFE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Grade uses the unrounded mark (69.5 shows 70, grade A-); absence gives I, zero gives E.</w:t>
            </w:r>
          </w:p>
        </w:tc>
      </w:tr>
    </w:tbl>
    <w:p>
      <w:pPr>
        <w:keepNext/>
        <w:spacing w:before="260" w:after="180"/>
      </w:pPr>
      <w:r>
        <w:rPr>
          <w:rFonts w:ascii="Calibri" w:hAnsi="Calibri" w:cs="Calibri" w:eastAsia="Calibri"/>
          <w:b/>
          <w:color w:val="1F4E79"/>
          <w:sz w:val="22"/>
        </w:rPr>
        <w:t>Declaration</w:t>
      </w:r>
    </w:p>
    <w:p>
      <w:pPr>
        <w:spacing w:before="0" w:after="220" w:line="276" w:lineRule="auto"/>
      </w:pPr>
      <w:r>
        <w:rPr>
          <w:rFonts w:ascii="Calibri" w:hAnsi="Calibri" w:cs="Calibri" w:eastAsia="Calibri"/>
          <w:color w:val="000000"/>
          <w:sz w:val="19"/>
        </w:rPr>
        <w:t>By signing below, the client confirms that the features marked as Implemented in Section C have been demonstrated and tested, and are accepted as satisfying the corresponding requirements. Items recorded in Section E remain open and do not constitute acceptance. Acceptance of the features listed here does not waive any warranty, support or defect-rectification obligation agreed in.</w:t>
      </w:r>
    </w:p>
    <w:tbl>
      <w:tblPr>
        <w:tblW w:type="dxa" w:w="9856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Column="1" w:firstRow="1" w:lastColumn="0" w:lastRow="0" w:noHBand="0" w:noVBand="1" w:val="04A0"/>
      </w:tblPr>
      <w:tblGrid>
        <w:gridCol w:w="4928"/>
        <w:gridCol w:w="4928"/>
      </w:tblGrid>
      <w:tr>
        <w:trPr>
          <w:cantSplit/>
          <w:trHeight w:val="320" w:hRule="atLeast"/>
        </w:trPr>
        <w:tc>
          <w:tcPr>
            <w:tcW w:type="dxa" w:w="4928"/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b/>
                <w:color w:val="FFFFFF"/>
                <w:sz w:val="19"/>
              </w:rPr>
              <w:t>For the Client</w:t>
            </w:r>
          </w:p>
        </w:tc>
        <w:tc>
          <w:tcPr>
            <w:tcW w:type="dxa" w:w="4928"/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b/>
                <w:color w:val="FFFFFF"/>
                <w:sz w:val="19"/>
              </w:rPr>
              <w:t>For the Supplier</w:t>
            </w:r>
          </w:p>
        </w:tc>
      </w:tr>
      <w:tr>
        <w:trPr>
          <w:cantSplit/>
          <w:trHeight w:val="2260" w:hRule="atLeast"/>
        </w:trPr>
        <w:tc>
          <w:tcPr>
            <w:tcW w:type="dxa" w:w="4928"/>
            <w:shd w:val="clear" w:color="auto" w:fill="FBFCFE"/>
            <w:vAlign w:val="top"/>
          </w:tcPr>
          <w:p>
            <w:pPr>
              <w:spacing w:before="80" w:after="0" w:line="240" w:lineRule="auto"/>
            </w:pPr>
            <w:r>
              <w:rPr>
                <w:rFonts w:ascii="Calibri" w:hAnsi="Calibri" w:cs="Calibri" w:eastAsia="Calibri"/>
                <w:b/>
                <w:color w:val="000000"/>
                <w:sz w:val="18"/>
              </w:rPr>
              <w:t xml:space="preserve">Name: </w:t>
            </w:r>
            <w:r>
              <w:rPr>
                <w:rFonts w:ascii="Calibri" w:hAnsi="Calibri" w:cs="Calibri" w:eastAsia="Calibri"/>
                <w:color w:val="808080"/>
                <w:sz w:val="18"/>
              </w:rPr>
              <w:t>_______________________________</w:t>
            </w:r>
          </w:p>
          <w:p>
            <w:pPr>
              <w:spacing w:before="80" w:after="0" w:line="240" w:lineRule="auto"/>
            </w:pPr>
            <w:r>
              <w:rPr>
                <w:rFonts w:ascii="Calibri" w:hAnsi="Calibri" w:cs="Calibri" w:eastAsia="Calibri"/>
                <w:b/>
                <w:color w:val="000000"/>
                <w:sz w:val="18"/>
              </w:rPr>
              <w:t xml:space="preserve">Signature: </w:t>
            </w:r>
            <w:r>
              <w:rPr>
                <w:rFonts w:ascii="Calibri" w:hAnsi="Calibri" w:cs="Calibri" w:eastAsia="Calibri"/>
                <w:color w:val="808080"/>
                <w:sz w:val="18"/>
              </w:rPr>
              <w:t>_______________________________</w:t>
            </w:r>
          </w:p>
          <w:p>
            <w:pPr>
              <w:spacing w:before="180" w:after="0" w:line="240" w:lineRule="auto"/>
            </w:pPr>
            <w:r>
              <w:rPr>
                <w:rFonts w:ascii="Calibri" w:hAnsi="Calibri" w:cs="Calibri" w:eastAsia="Calibri"/>
                <w:b/>
                <w:color w:val="000000"/>
                <w:sz w:val="18"/>
              </w:rPr>
              <w:t xml:space="preserve">Date: </w:t>
            </w:r>
            <w:r>
              <w:rPr>
                <w:rFonts w:ascii="Calibri" w:hAnsi="Calibri" w:cs="Calibri" w:eastAsia="Calibri"/>
                <w:color w:val="808080"/>
                <w:sz w:val="18"/>
              </w:rPr>
              <w:t>_______________________________</w:t>
            </w:r>
          </w:p>
        </w:tc>
        <w:tc>
          <w:tcPr>
            <w:tcW w:type="dxa" w:w="4928"/>
            <w:shd w:val="clear" w:color="auto" w:fill="FBFCFE"/>
            <w:vAlign w:val="top"/>
          </w:tcPr>
          <w:p>
            <w:pPr>
              <w:spacing w:before="80" w:after="0" w:line="240" w:lineRule="auto"/>
            </w:pPr>
            <w:r>
              <w:rPr>
                <w:rFonts w:ascii="Calibri" w:hAnsi="Calibri" w:cs="Calibri" w:eastAsia="Calibri"/>
                <w:b/>
                <w:color w:val="000000"/>
                <w:sz w:val="18"/>
              </w:rPr>
              <w:t xml:space="preserve">Name: </w:t>
            </w:r>
            <w:r>
              <w:rPr>
                <w:rFonts w:ascii="Calibri" w:hAnsi="Calibri" w:cs="Calibri" w:eastAsia="Calibri"/>
                <w:color w:val="808080"/>
                <w:sz w:val="18"/>
              </w:rPr>
              <w:t>_______________________________</w:t>
            </w:r>
          </w:p>
          <w:p>
            <w:pPr>
              <w:spacing w:before="80" w:after="0" w:line="240" w:lineRule="auto"/>
            </w:pPr>
            <w:r>
              <w:rPr>
                <w:rFonts w:ascii="Calibri" w:hAnsi="Calibri" w:cs="Calibri" w:eastAsia="Calibri"/>
                <w:b/>
                <w:color w:val="000000"/>
                <w:sz w:val="18"/>
              </w:rPr>
              <w:t xml:space="preserve">Signature: </w:t>
            </w:r>
            <w:r>
              <w:rPr>
                <w:rFonts w:ascii="Calibri" w:hAnsi="Calibri" w:cs="Calibri" w:eastAsia="Calibri"/>
                <w:color w:val="808080"/>
                <w:sz w:val="18"/>
              </w:rPr>
              <w:t>_______________________________</w:t>
            </w:r>
          </w:p>
          <w:p>
            <w:pPr>
              <w:spacing w:before="180" w:after="0" w:line="240" w:lineRule="auto"/>
            </w:pPr>
            <w:r>
              <w:rPr>
                <w:rFonts w:ascii="Calibri" w:hAnsi="Calibri" w:cs="Calibri" w:eastAsia="Calibri"/>
                <w:b/>
                <w:color w:val="000000"/>
                <w:sz w:val="18"/>
              </w:rPr>
              <w:t xml:space="preserve">Date: </w:t>
            </w:r>
            <w:r>
              <w:rPr>
                <w:rFonts w:ascii="Calibri" w:hAnsi="Calibri" w:cs="Calibri" w:eastAsia="Calibri"/>
                <w:color w:val="808080"/>
                <w:sz w:val="18"/>
              </w:rPr>
              <w:t>_______________________________</w:t>
            </w:r>
          </w:p>
        </w:tc>
      </w:tr>
    </w:tbl>
    <w:p>
      <w:pPr>
        <w:spacing w:before="0" w:after="0" w:line="20" w:lineRule="exact"/>
      </w:pPr>
      <w:r>
        <w:rPr>
          <w:rFonts w:ascii="Calibri" w:hAnsi="Calibri" w:cs="Calibri" w:eastAsia="Calibri"/>
          <w:color w:val="000000"/>
          <w:sz w:val="2"/>
        </w:rPr>
      </w:r>
    </w:p>
    <w:sectPr w:rsidR="00FC693F" w:rsidRPr="0006063C" w:rsidSect="00034616">
      <w:footerReference w:type="default" r:id="rId9"/>
      <w:pgSz w:w="11906" w:h="16838"/>
      <w:pgMar w:top="800" w:right="1020" w:bottom="1080" w:left="1020" w:header="480" w:footer="5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rPr>
          <w:rFonts w:ascii="Calibri" w:hAnsi="Calibri" w:cs="Calibri" w:eastAsia="Calibri"/>
          <w:color w:val="808080"/>
          <w:sz w:val="16"/>
          <w:szCs w:val="16"/>
        </w:rPr>
        <w:t>1</w:t>
      </w:r>
    </w:fldSimple>
    <w:r>
      <w:rPr>
        <w:rFonts w:ascii="Calibri" w:hAnsi="Calibri" w:cs="Calibri" w:eastAsia="Calibri"/>
        <w:color w:val="808080"/>
        <w:sz w:val="16"/>
      </w:rPr>
      <w:t xml:space="preserve"> of </w:t>
    </w:r>
    <w:fldSimple w:instr=" NUMPAGES ">
      <w:r>
        <w:rPr>
          <w:rFonts w:ascii="Calibri" w:hAnsi="Calibri" w:cs="Calibri" w:eastAsia="Calibri"/>
          <w:color w:val="808080"/>
          <w:sz w:val="16"/>
          <w:szCs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cs="Calibri" w:eastAsia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Feature Acceptance Checklist - Student Exam &amp; Results Management System</dc:title>
  <dc:subject>Client confirmation of implemented features</dc:subject>
  <dc:creator/>
  <cp:keywords/>
  <dc:description/>
  <cp:lastModifiedBy/>
  <cp:revision>1</cp:revision>
  <dcterms:created xsi:type="dcterms:W3CDTF">2026-10-30T13:00:00Z</dcterms:created>
  <dcterms:modified xsi:type="dcterms:W3CDTF">2026-10-30T13:00:00Z</dcterms:modified>
  <cp:category/>
</cp:coreProperties>
</file>