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xmlns:wne="http://schemas.microsoft.com/office/word/2006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6"/>
          <w:lang w:val="en-US"/>
        </w:rPr>
      </w:pPr>
      <w:r>
        <w:rPr>
          <w:rFonts w:ascii="Segoe UI"/>
          <w:b/>
          <w:color w:val="0f1115"/>
          <w:sz w:val="36"/>
          <w:rtl w:val="off"/>
          <w:lang w:val="en-US"/>
        </w:rPr>
        <w:t>📄 ПОЛИТИКА КОНФИДЕНЦИАЛЬНОСТИ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3"/>
          <w:lang w:val="en-US"/>
        </w:rPr>
      </w:pPr>
      <w:r>
        <w:rPr>
          <w:rFonts w:ascii="Segoe UI"/>
          <w:b/>
          <w:color w:val="0f1115"/>
          <w:sz w:val="33"/>
          <w:rtl w:val="off"/>
          <w:lang w:val="en-US"/>
        </w:rPr>
        <w:t>Telegram-бот «300 Сердец»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1. Общие положения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1.1. Настоящая Политика конфиденциальности (далее — «Политика») определяет порядок обработки персональных данных Пользователя Оператором при использовании Telegram-бота «300 Сердец» (далее — «Бот»).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1.2. Основные понятия:</w:t>
      </w:r>
    </w:p>
    <w:p w14:paraId="0000000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Оператор</w:t>
      </w:r>
      <w:r>
        <w:rPr>
          <w:rFonts w:ascii="Segoe UI"/>
          <w:color w:val="000000"/>
          <w:sz w:val="18"/>
          <w:rtl w:val="off"/>
          <w:lang w:val="en-US"/>
        </w:rPr>
        <w:t xml:space="preserve"> — самозанятый Григорян Владислав Варданович (ИНН 270395149416).</w:t>
      </w:r>
    </w:p>
    <w:p w14:paraId="0000000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Бот</w:t>
      </w:r>
      <w:r>
        <w:rPr>
          <w:rFonts w:ascii="Segoe UI"/>
          <w:color w:val="000000"/>
          <w:sz w:val="18"/>
          <w:rtl w:val="off"/>
          <w:lang w:val="en-US"/>
        </w:rPr>
        <w:t xml:space="preserve"> — программный сервис «300 Сердец» в мессенджере Telegram.</w:t>
      </w:r>
    </w:p>
    <w:p w14:paraId="0000000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Пользователь</w:t>
      </w:r>
      <w:r>
        <w:rPr>
          <w:rFonts w:ascii="Segoe UI"/>
          <w:color w:val="000000"/>
          <w:sz w:val="18"/>
          <w:rtl w:val="off"/>
          <w:lang w:val="en-US"/>
        </w:rPr>
        <w:t xml:space="preserve"> — любое физическое лицо, начавшее взаимодействие с Ботом.</w:t>
      </w:r>
    </w:p>
    <w:p w14:paraId="0000000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Персональные данные (ПДн)</w:t>
      </w:r>
      <w:r>
        <w:rPr>
          <w:rFonts w:ascii="Segoe UI"/>
          <w:color w:val="000000"/>
          <w:sz w:val="18"/>
          <w:rtl w:val="off"/>
          <w:lang w:val="en-US"/>
        </w:rPr>
        <w:t xml:space="preserve"> — любая информация, относящаяся к прямо или косвенно определённому Пользователю.</w:t>
      </w:r>
    </w:p>
    <w:p w14:paraId="0000000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Обработка ПДн</w:t>
      </w:r>
      <w:r>
        <w:rPr>
          <w:rFonts w:ascii="Segoe UI"/>
          <w:color w:val="000000"/>
          <w:sz w:val="18"/>
          <w:rtl w:val="off"/>
          <w:lang w:val="en-US"/>
        </w:rPr>
        <w:t xml:space="preserve"> — любое действие с ПДн, включая сбор, запись, хранение и использование.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1.3. Начиная использование Бота (нажав /start), Пользователь подтверждает, что ознакомлен с условиями настоящей Политики и даёт свободное, конкретное, информированное и сознательное согласие на обработку своих персональных данных на условиях, изложенных ниже.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2. Состав и цели обработки персональных данных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2.1. Оператор обрабатывает следующие персональные данные Пользователя:</w:t>
      </w:r>
    </w:p>
    <w:p w14:paraId="0000000F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Идентификатор пользователя Telegram (user_id).</w:t>
      </w:r>
    </w:p>
    <w:p w14:paraId="0000001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Имя пользователя (username) в Telegram (если предоставлено).</w:t>
      </w:r>
    </w:p>
    <w:p w14:paraId="0000001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Имя, указанное Пользователем при регистрации.</w:t>
      </w:r>
    </w:p>
    <w:p w14:paraId="0000001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Имя партнёра, указанное Пользователем.</w:t>
      </w:r>
    </w:p>
    <w:p w14:paraId="0000001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Данные об использовании сервиса: прогресс, история взаимодействия, часовой пояс.</w:t>
      </w:r>
    </w:p>
    <w:p w14:paraId="0000001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Данные, необходимые для оплаты: идентификатор транзакции, сумма и статус. Данные банковских карт Оператором не обрабатываются.</w:t>
      </w:r>
    </w:p>
    <w:p w14:paraId="00000015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Данные о подарках и переводах Сердец внутри пары.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2.2. Цели обработки:</w:t>
      </w:r>
    </w:p>
    <w:p w14:paraId="00000017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Предоставление доступа к функционалу Бота.</w:t>
      </w:r>
    </w:p>
    <w:p w14:paraId="00000018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Отправка ежедневных вопросов, отслеживание прогресса.</w:t>
      </w:r>
    </w:p>
    <w:p w14:paraId="00000019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Заключение и исполнение договора (Пользовательского соглашения).</w:t>
      </w:r>
    </w:p>
    <w:p w14:paraId="0000001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Приём и обработка платежей.</w:t>
      </w:r>
    </w:p>
    <w:p w14:paraId="0000001B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Техническая поддержка и улучшение работы Бота.</w:t>
      </w:r>
    </w:p>
    <w:p w14:paraId="0000001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Соблюдение требований законодательства РФ.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3. Правовые основания и срок обработки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3.1. Правовые основания обработки:</w:t>
      </w:r>
    </w:p>
    <w:p w14:paraId="00000020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Согласие Пользователя (ст. 6 ч. 1 п. 1 152-ФЗ), выраженное началом использования Бота.</w:t>
      </w:r>
    </w:p>
    <w:p w14:paraId="0000002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Исполнение договора (Пользовательского соглашения) (ст. 6 ч. 1 п. 5 152-ФЗ) — для обработки данных, необходимых для оплаты и предоставления платных функций.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3.2. Срок обработки:</w:t>
      </w:r>
    </w:p>
    <w:p w14:paraId="0000002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Персональные данные обрабатываются до достижения целей обработки или до отзыва согласия Пользователем.</w:t>
      </w:r>
    </w:p>
    <w:p w14:paraId="0000002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Данные, необходимые для исполнения налогового законодательства (данные о платежах), хранятся в течение 3 (трёх) лет после окончания взаимоотношений.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4. Порядок обработки данных и привлечение процессоров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4.1. Обработка осуществляется автоматически и вручную, с соблюдением требований 152-ФЗ.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4.2. </w:t>
      </w:r>
      <w:r>
        <w:rPr>
          <w:rFonts w:ascii="Segoe UI"/>
          <w:color w:val="0f1115"/>
          <w:sz w:val="24"/>
          <w:rtl w:val="off"/>
          <w:lang w:val="en-US"/>
        </w:rPr>
        <w:t>Трансграничная передача ПДн.</w:t>
      </w:r>
      <w:r>
        <w:rPr>
          <w:rFonts w:ascii="Segoe UI"/>
          <w:color w:val="0f1115"/>
          <w:sz w:val="24"/>
          <w:rtl w:val="off"/>
          <w:lang w:val="en-US"/>
        </w:rPr>
        <w:t xml:space="preserve"> Данные хранятся на серверах хостинг-провайдера </w:t>
      </w:r>
      <w:r>
        <w:rPr>
          <w:rFonts w:ascii="Segoe UI"/>
          <w:color w:val="0f1115"/>
          <w:sz w:val="24"/>
          <w:rtl w:val="off"/>
          <w:lang w:val="en-US"/>
        </w:rPr>
        <w:t>ONE DASH / ООО «ВЕКТОР АЙТИ ТЕХНОЛОГИЙ»</w:t>
      </w:r>
      <w:r>
        <w:rPr>
          <w:rFonts w:ascii="Segoe UI"/>
          <w:color w:val="0f1115"/>
          <w:sz w:val="24"/>
          <w:rtl w:val="off"/>
          <w:lang w:val="en-US"/>
        </w:rPr>
        <w:t xml:space="preserve">, расположенных в </w:t>
      </w:r>
      <w:r>
        <w:rPr>
          <w:rFonts w:ascii="Segoe UI"/>
          <w:color w:val="0f1115"/>
          <w:sz w:val="24"/>
          <w:rtl w:val="off"/>
          <w:lang w:val="en-US"/>
        </w:rPr>
        <w:t>Хельсинки (Финляндия)</w:t>
      </w:r>
      <w:r>
        <w:rPr>
          <w:rFonts w:ascii="Segoe UI"/>
          <w:color w:val="0f1115"/>
          <w:sz w:val="24"/>
          <w:rtl w:val="off"/>
          <w:lang w:val="en-US"/>
        </w:rPr>
        <w:t>. Оператор уведомляет Пользователя о трансграничной передаче ПДн и получает согласие на неё при акцепте Политики.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4.3. Привлекаемые процессоры:</w:t>
      </w:r>
    </w:p>
    <w:p w14:paraId="0000002A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Telegram Messenger Inc.</w:t>
      </w:r>
      <w:r>
        <w:rPr>
          <w:rFonts w:ascii="Segoe UI"/>
          <w:color w:val="000000"/>
          <w:sz w:val="18"/>
          <w:rtl w:val="off"/>
          <w:lang w:val="en-US"/>
        </w:rPr>
        <w:t xml:space="preserve"> — платформа для работы Бота.</w:t>
      </w:r>
    </w:p>
    <w:p w14:paraId="0000002B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ЮKassa (АО «ЮМани»)</w:t>
      </w:r>
      <w:r>
        <w:rPr>
          <w:rFonts w:ascii="Segoe UI"/>
          <w:color w:val="000000"/>
          <w:sz w:val="18"/>
          <w:rtl w:val="off"/>
          <w:lang w:val="en-US"/>
        </w:rPr>
        <w:t xml:space="preserve"> — обработчик платежей.</w:t>
      </w:r>
    </w:p>
    <w:p w14:paraId="0000002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ONE DASH / ООО «ВЕКТОР АЙТИ ТЕХНОЛОГИЙ»</w:t>
      </w:r>
      <w:r>
        <w:rPr>
          <w:rFonts w:ascii="Segoe UI"/>
          <w:color w:val="000000"/>
          <w:sz w:val="18"/>
          <w:rtl w:val="off"/>
          <w:lang w:val="en-US"/>
        </w:rPr>
        <w:t xml:space="preserve"> — хостинг-провайдер (Хельсинки).</w:t>
      </w: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4.4. Оператор гарантирует, что процессоры обеспечивают надлежащую защиту ПДн.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5. Права Пользователя (субъекта ПДн)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5.1. Пользователь имеет право:</w:t>
      </w:r>
    </w:p>
    <w:p w14:paraId="0000003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Получать информацию об обработке своих ПДн.</w:t>
      </w:r>
    </w:p>
    <w:p w14:paraId="00000032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Требовать уточнения, блокирования или уничтожения своих ПДн.</w:t>
      </w:r>
    </w:p>
    <w:p w14:paraId="00000033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Отозвать согласие на обработку ПДн, направив заявление на email: </w:t>
      </w:r>
      <w:r>
        <w:rPr>
          <w:rFonts w:ascii="Segoe UI"/>
          <w:color w:val="000000"/>
          <w:sz w:val="18"/>
          <w:rtl w:val="off"/>
          <w:lang w:val="en-US"/>
        </w:rPr>
        <w:t>vladgrigoryan1999@gmail.com</w:t>
      </w:r>
      <w:r>
        <w:rPr>
          <w:rFonts w:ascii="Segoe UI"/>
          <w:color w:val="000000"/>
          <w:sz w:val="18"/>
          <w:rtl w:val="off"/>
          <w:lang w:val="en-US"/>
        </w:rPr>
        <w:t>.</w:t>
      </w:r>
    </w:p>
    <w:p w14:paraId="00000034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Отказаться от рекламных рассылок.</w:t>
      </w:r>
    </w:p>
    <w:p w14:paraId="00000035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Обратиться в Роскомнадзор или суд для защиты своих прав.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5.2. Отзыв согласия на обработку ПДн влечёт прекращение предоставления услуг Ботом и удаление учётной записи Пользователя.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5.3. </w:t>
      </w:r>
      <w:r>
        <w:rPr>
          <w:rFonts w:ascii="Segoe UI"/>
          <w:color w:val="0f1115"/>
          <w:sz w:val="24"/>
          <w:rtl w:val="off"/>
          <w:lang w:val="en-US"/>
        </w:rPr>
        <w:t>Удаление контента 18+.</w:t>
      </w:r>
      <w:r>
        <w:rPr>
          <w:rFonts w:ascii="Segoe UI"/>
          <w:color w:val="0f1115"/>
          <w:sz w:val="24"/>
          <w:rtl w:val="off"/>
          <w:lang w:val="en-US"/>
        </w:rPr>
        <w:t xml:space="preserve"> Пользователь вправе в любой момент удалить свои желания в разделе «Пятница желаний». Оператор не хранит удалённый контент.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6. Контактная информация Оператора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Оператор персональных данных: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Самозанятый Григорян Владислав Варданович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ИНН: 270395149416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Адрес: 681000, г. Комсомольск-на-Амуре, ул. Вокзальная, д. 72, кв. 352.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 xml:space="preserve">Email для обращений по вопросам ПДн: </w:t>
      </w:r>
      <w:r>
        <w:rPr>
          <w:rFonts w:ascii="Segoe UI"/>
          <w:color w:val="0f1115"/>
          <w:sz w:val="24"/>
          <w:rtl w:val="off"/>
          <w:lang w:val="en-US"/>
        </w:rPr>
        <w:t>vladgrigoryan1999@gmail.com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Segoe UI"/>
          <w:b/>
          <w:color w:val="0f1115"/>
          <w:sz w:val="30"/>
          <w:lang w:val="en-US"/>
        </w:rPr>
      </w:pPr>
      <w:r>
        <w:rPr>
          <w:rFonts w:ascii="Segoe UI"/>
          <w:b/>
          <w:color w:val="0f1115"/>
          <w:sz w:val="30"/>
          <w:rtl w:val="off"/>
          <w:lang w:val="en-US"/>
        </w:rPr>
        <w:t>7. Заключительные положения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7.1. Политика вступает в силу с момента публикации в Боте.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f1115"/>
          <w:sz w:val="24"/>
          <w:lang w:val="en-US"/>
        </w:rPr>
      </w:pPr>
      <w:r>
        <w:rPr>
          <w:rFonts w:ascii="Segoe UI"/>
          <w:color w:val="0f1115"/>
          <w:sz w:val="24"/>
          <w:rtl w:val="off"/>
          <w:lang w:val="en-US"/>
        </w:rPr>
        <w:t>7.2. Оператор вправе изменять Политику. Новая редакция вступает в силу с момента её публикации. Продолжение использования Бота означает согласие с новой редакцией.</w:t>
      </w:r>
    </w:p>
    <w:p w14:paraId="00000043">
      <w:pPr>
        <w:widowControl w:val="on"/>
        <w:spacing w:before="0" w:after="160" w:line="259" w:lineRule="auto"/>
        <w:ind w:right="0"/>
        <w:jc w:val="left"/>
        <w:rPr/>
      </w:pPr>
    </w:p>
    <w:sectPr>
      <w:pgSz w:w="11906" w:h="16838" w:orient="portrait"/>
      <w:pgMar w:top="1134" w:right="850" w:bottom="1134" w:left="1701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auto"/>
    <w:pitch w:val="variable"/>
    <w:sig w:usb0="00000000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XO Thames"/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suff w:val="tab"/>
      <w:lvlText w:val="%1."/>
      <w:pPr>
        <w:widowControl w:val="on"/>
        <w:ind w:left="360" w:hanging="360"/>
      </w:pPr>
    </w:lvl>
    <w:lvl w:ilvl="1" w:tentative="0">
      <w:start w:val="1"/>
      <w:numFmt w:val="decimal"/>
      <w:suff w:val="tab"/>
      <w:lvlText w:val="%1.%2."/>
      <w:pPr>
        <w:widowControl w:val="on"/>
        <w:ind w:left="790" w:hanging="430"/>
      </w:pPr>
    </w:lvl>
    <w:lvl w:ilvl="2" w:tentative="0">
      <w:start w:val="1"/>
      <w:numFmt w:val="decimal"/>
      <w:suff w:val="tab"/>
      <w:lvlText w:val="%1.%2.%3."/>
      <w:pPr>
        <w:widowControl w:val="on"/>
        <w:ind w:left="1225" w:hanging="505"/>
      </w:pPr>
    </w:lvl>
    <w:lvl w:ilvl="3" w:tentative="0">
      <w:start w:val="1"/>
      <w:numFmt w:val="decimal"/>
      <w:suff w:val="tab"/>
      <w:lvlText w:val="%1.%2.%3.%4."/>
      <w:pPr>
        <w:widowControl w:val="on"/>
        <w:ind w:left="1730" w:hanging="650"/>
      </w:pPr>
    </w:lvl>
    <w:lvl w:ilvl="4" w:tentative="0">
      <w:start w:val="1"/>
      <w:numFmt w:val="decimal"/>
      <w:suff w:val="tab"/>
      <w:lvlText w:val="%1.%2.%3.%4.%5."/>
      <w:pPr>
        <w:widowControl w:val="on"/>
        <w:ind w:left="2230" w:hanging="790"/>
      </w:pPr>
    </w:lvl>
    <w:lvl w:ilvl="5" w:tentative="0">
      <w:start w:val="1"/>
      <w:numFmt w:val="decimal"/>
      <w:suff w:val="tab"/>
      <w:lvlText w:val="%1.%2.%3.%4.%5.%6."/>
      <w:pPr>
        <w:widowControl w:val="on"/>
        <w:ind w:left="2735" w:hanging="935"/>
      </w:pPr>
    </w:lvl>
    <w:lvl w:ilvl="6" w:tentative="0">
      <w:start w:val="1"/>
      <w:numFmt w:val="decimal"/>
      <w:suff w:val="tab"/>
      <w:lvlText w:val="%1.%2.%3.%4.%5.%6.%7."/>
      <w:pPr>
        <w:widowControl w:val="on"/>
        <w:ind w:left="3240" w:hanging="1080"/>
      </w:pPr>
    </w:lvl>
    <w:lvl w:ilvl="7" w:tentative="0">
      <w:start w:val="1"/>
      <w:numFmt w:val="decimal"/>
      <w:suff w:val="tab"/>
      <w:lvlText w:val="%1.%2.%3.%4.%5.%6.%7.%8."/>
      <w:pPr>
        <w:widowControl w:val="on"/>
        <w:ind w:left="3745" w:hanging="1225"/>
      </w:pPr>
    </w:lvl>
    <w:lvl w:ilvl="8" w:tentative="0">
      <w:start w:val="1"/>
      <w:numFmt w:val="decimal"/>
      <w:suff w:val="tab"/>
      <w:lvlText w:val="%1.%2.%3.%4.%5.%6.%7.%8.%9."/>
      <w:pPr>
        <w:widowControl w:val="on"/>
        <w:ind w:left="4320" w:hanging="1440"/>
      </w:pPr>
    </w:lvl>
  </w:abstractNum>
  <w:abstractNum w:abstractNumId="1"/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on"/>
        <w:spacing w:before="0" w:after="160" w:line="259" w:lineRule="auto"/>
        <w:ind w:left="0" w:right="0" w:firstLine="0"/>
        <w:jc w:val="left"/>
      </w:pPr>
    </w:pPrDefault>
  </w:docDefaults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default="1" w:styleId="Normal">
    <w:name w:val="Normal"/>
    <w:uiPriority w:val="99"/>
  </w:style>
  <w:style w:type="character" w:styleId="Toc2">
    <w:name w:val="Toc 2"/>
    <w:uiPriority w:val="99"/>
    <w:rPr>
      <w:rFonts w:ascii="XO Thames" w:hAnsi="XO Thames"/>
      <w:sz w:val="28"/>
    </w:rPr>
  </w:style>
  <w:style w:type="character" w:styleId="Toc4">
    <w:name w:val="Toc 4"/>
    <w:uiPriority w:val="99"/>
    <w:rPr>
      <w:rFonts w:ascii="XO Thames" w:hAnsi="XO Thames"/>
      <w:sz w:val="28"/>
    </w:rPr>
  </w:style>
  <w:style w:type="character" w:styleId="Toc6">
    <w:name w:val="Toc 6"/>
    <w:uiPriority w:val="99"/>
    <w:rPr>
      <w:rFonts w:ascii="XO Thames" w:hAnsi="XO Thames"/>
      <w:sz w:val="28"/>
    </w:rPr>
  </w:style>
  <w:style w:type="character" w:styleId="Toc7">
    <w:name w:val="Toc 7"/>
    <w:uiPriority w:val="99"/>
    <w:rPr>
      <w:rFonts w:ascii="XO Thames" w:hAnsi="XO Thames"/>
      <w:sz w:val="28"/>
    </w:rPr>
  </w:style>
  <w:style w:type="character" w:styleId="Endnote">
    <w:name w:val="Endnote"/>
    <w:uiPriority w:val="99"/>
    <w:rPr>
      <w:rFonts w:ascii="XO Thames" w:hAnsi="XO Thames"/>
      <w:sz w:val="22"/>
    </w:rPr>
  </w:style>
  <w:style w:type="character" w:styleId="Heading3">
    <w:name w:val="Heading 3"/>
    <w:uiPriority w:val="99"/>
    <w:rPr>
      <w:rFonts w:ascii="XO Thames" w:hAnsi="XO Thames"/>
      <w:b/>
      <w:sz w:val="26"/>
    </w:rPr>
  </w:style>
  <w:style w:type="character" w:styleId="DefaultParagraphFont">
    <w:name w:val="Default Paragraph Font"/>
    <w:uiPriority w:val="99"/>
  </w:style>
  <w:style w:type="character" w:styleId="Toc3">
    <w:name w:val="Toc 3"/>
    <w:uiPriority w:val="99"/>
    <w:rPr>
      <w:rFonts w:ascii="XO Thames" w:hAnsi="XO Thames"/>
      <w:sz w:val="28"/>
    </w:rPr>
  </w:style>
  <w:style w:type="character" w:styleId="Heading5">
    <w:name w:val="Heading 5"/>
    <w:uiPriority w:val="99"/>
    <w:rPr>
      <w:rFonts w:ascii="XO Thames" w:hAnsi="XO Thames"/>
      <w:b/>
      <w:sz w:val="22"/>
    </w:rPr>
  </w:style>
  <w:style w:type="character" w:styleId="Heading1">
    <w:name w:val="Heading 1"/>
    <w:uiPriority w:val="99"/>
    <w:rPr>
      <w:rFonts w:ascii="XO Thames" w:hAnsi="XO Thames"/>
      <w:b/>
      <w:sz w:val="32"/>
    </w:rPr>
  </w:style>
  <w:style w:type="character" w:styleId="Hyperlink">
    <w:name w:val="Hyperlink"/>
    <w:basedOn w:val="DefaultParagraphFont"/>
    <w:uiPriority w:val="99"/>
    <w:rPr>
      <w:color w:val="0563c1" w:themeColor="hyperlink"/>
      <w:u w:val="single"/>
    </w:rPr>
  </w:style>
  <w:style w:type="character" w:styleId="Footnote">
    <w:name w:val="Footnote"/>
    <w:uiPriority w:val="99"/>
    <w:rPr>
      <w:rFonts w:ascii="XO Thames" w:hAnsi="XO Thames"/>
      <w:sz w:val="22"/>
    </w:rPr>
  </w:style>
  <w:style w:type="character" w:styleId="Toc1">
    <w:name w:val="Toc 1"/>
    <w:uiPriority w:val="99"/>
    <w:rPr>
      <w:rFonts w:ascii="XO Thames" w:hAnsi="XO Thames"/>
      <w:b/>
      <w:sz w:val="28"/>
    </w:rPr>
  </w:style>
  <w:style w:type="character" w:styleId="HeaderandFooter">
    <w:name w:val="Header and Footer"/>
    <w:uiPriority w:val="99"/>
    <w:rPr>
      <w:rFonts w:ascii="XO Thames" w:hAnsi="XO Thames"/>
      <w:sz w:val="28"/>
    </w:rPr>
  </w:style>
  <w:style w:type="character" w:styleId="Toc9">
    <w:name w:val="Toc 9"/>
    <w:uiPriority w:val="99"/>
    <w:rPr>
      <w:rFonts w:ascii="XO Thames" w:hAnsi="XO Thames"/>
      <w:sz w:val="28"/>
    </w:rPr>
  </w:style>
  <w:style w:type="character" w:styleId="Toc8">
    <w:name w:val="Toc 8"/>
    <w:uiPriority w:val="99"/>
    <w:rPr>
      <w:rFonts w:ascii="XO Thames" w:hAnsi="XO Thames"/>
      <w:sz w:val="28"/>
    </w:rPr>
  </w:style>
  <w:style w:type="character" w:styleId="Toc5">
    <w:name w:val="Toc 5"/>
    <w:uiPriority w:val="99"/>
    <w:rPr>
      <w:rFonts w:ascii="XO Thames" w:hAnsi="XO Thames"/>
      <w:sz w:val="28"/>
    </w:rPr>
  </w:style>
  <w:style w:type="character" w:styleId="ListParagraph">
    <w:name w:val="List Paragraph"/>
    <w:basedOn w:val="Normal"/>
    <w:uiPriority w:val="99"/>
  </w:style>
  <w:style w:type="character" w:styleId="Subtitle">
    <w:name w:val="Subtitle"/>
    <w:uiPriority w:val="99"/>
    <w:rPr>
      <w:rFonts w:ascii="XO Thames" w:hAnsi="XO Thames"/>
      <w:i/>
      <w:sz w:val="24"/>
    </w:rPr>
  </w:style>
  <w:style w:type="character" w:styleId="Title">
    <w:name w:val="Title"/>
    <w:uiPriority w:val="99"/>
    <w:rPr>
      <w:rFonts w:ascii="XO Thames" w:hAnsi="XO Thames"/>
      <w:b/>
      <w:caps/>
      <w:sz w:val="40"/>
    </w:rPr>
  </w:style>
  <w:style w:type="character" w:styleId="Heading4">
    <w:name w:val="Heading 4"/>
    <w:uiPriority w:val="99"/>
    <w:rPr>
      <w:rFonts w:ascii="XO Thames" w:hAnsi="XO Thames"/>
      <w:b/>
      <w:sz w:val="24"/>
    </w:rPr>
  </w:style>
  <w:style w:type="character" w:styleId="Heading2">
    <w:name w:val="Heading 2"/>
    <w:uiPriority w:val="99"/>
    <w:rPr>
      <w:rFonts w:ascii="XO Thames" w:hAnsi="XO Thames"/>
      <w:b/>
      <w:sz w:val="28"/>
    </w:rPr>
  </w:style>
  <w:style w:type="table" w:default="1" w:styleId="NormalTable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4" Type="http://schemas.microsoft.com/office/2007/relationships/stylesWithEffects" Target="stylesWithEffects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0" scaled="0"/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Григорян</dc:creator>
  <cp:lastModifiedBy>Владислав Григорян</cp:lastModifiedBy>
</cp:coreProperties>
</file>