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32"/>
          <w:szCs w:val="32"/>
        </w:rPr>
        <w:t xml:space="preserve">BANCO AURUM DIGITAL S.A.</w:t>
      </w:r>
    </w:p>
    <w:p>
      <w:pPr>
        <w:spacing w:after="60"/>
      </w:pPr>
      <w:r>
        <w:rPr>
          <w:b/>
          <w:bCs/>
          <w:color w:val="B08D57"/>
          <w:sz w:val="26"/>
          <w:szCs w:val="26"/>
        </w:rPr>
        <w:t xml:space="preserve">Manual de Recursos Humanos</w:t>
      </w:r>
    </w:p>
    <w:p>
      <w:pPr>
        <w:spacing w:after="240"/>
      </w:pPr>
      <w:r>
        <w:rPr>
          <w:i/>
          <w:iCs/>
          <w:color w:val="595959"/>
          <w:sz w:val="22"/>
          <w:szCs w:val="22"/>
        </w:rPr>
        <w:t xml:space="preserve">Recrutamento, Contratação, Benefícios, Férias, Desempenho e Ciclo de Vida do Colaborador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2A44" w:val="clear"/>
            <w:tcMar>
              <w:top w:type="dxa" w:w="100"/>
              <w:left w:type="dxa" w:w="120"/>
              <w:bottom w:type="dxa" w:w="100"/>
              <w:right w:type="dxa" w:w="120"/>
            </w:tcMar>
          </w:tcPr>
          <w:p>
            <w:r>
              <w:rPr>
                <w:b/>
                <w:bCs/>
                <w:color w:val="FFFFFF"/>
                <w:sz w:val="20"/>
                <w:szCs w:val="20"/>
              </w:rPr>
              <w:t xml:space="preserve">Campo</w:t>
            </w:r>
          </w:p>
        </w:tc>
        <w:tc>
          <w:tcPr>
            <w:tcW w:type="dxa" w:w="5800"/>
            <w:shd w:fill="1F2A44" w:val="clear"/>
            <w:tcMar>
              <w:top w:type="dxa" w:w="100"/>
              <w:left w:type="dxa" w:w="120"/>
              <w:bottom w:type="dxa" w:w="100"/>
              <w:right w:type="dxa" w:w="120"/>
            </w:tcMar>
          </w:tcPr>
          <w:p>
            <w:r>
              <w:rPr>
                <w:b/>
                <w:bCs/>
                <w:color w:val="FFFFFF"/>
                <w:sz w:val="20"/>
                <w:szCs w:val="20"/>
              </w:rPr>
              <w:t xml:space="preserve">Valor</w:t>
            </w:r>
          </w:p>
        </w:tc>
      </w:tr>
      <w:tr>
        <w:tc>
          <w:tcPr>
            <w:tcW w:type="dxa" w:w="3200"/>
            <w:tcMar>
              <w:top w:type="dxa" w:w="100"/>
              <w:left w:type="dxa" w:w="120"/>
              <w:bottom w:type="dxa" w:w="100"/>
              <w:right w:type="dxa" w:w="120"/>
            </w:tcMar>
          </w:tcPr>
          <w:p>
            <w:r>
              <w:rPr>
                <w:b w:val="false"/>
                <w:bCs w:val="false"/>
                <w:color w:val="222222"/>
                <w:sz w:val="20"/>
                <w:szCs w:val="20"/>
              </w:rPr>
              <w:t xml:space="preserve">Código do Documento</w:t>
            </w:r>
          </w:p>
        </w:tc>
        <w:tc>
          <w:tcPr>
            <w:tcW w:type="dxa" w:w="5800"/>
            <w:tcMar>
              <w:top w:type="dxa" w:w="100"/>
              <w:left w:type="dxa" w:w="120"/>
              <w:bottom w:type="dxa" w:w="100"/>
              <w:right w:type="dxa" w:w="120"/>
            </w:tcMar>
          </w:tcPr>
          <w:p>
            <w:r>
              <w:rPr>
                <w:b w:val="false"/>
                <w:bCs w:val="false"/>
                <w:color w:val="222222"/>
                <w:sz w:val="20"/>
                <w:szCs w:val="20"/>
              </w:rPr>
              <w:t xml:space="preserve">MAN-RH-001</w:t>
            </w:r>
          </w:p>
        </w:tc>
      </w:tr>
      <w:tr>
        <w:tc>
          <w:tcPr>
            <w:tcW w:type="dxa" w:w="3200"/>
            <w:shd w:fill="F2EFE9" w:val="clear"/>
            <w:tcMar>
              <w:top w:type="dxa" w:w="100"/>
              <w:left w:type="dxa" w:w="120"/>
              <w:bottom w:type="dxa" w:w="100"/>
              <w:right w:type="dxa" w:w="120"/>
            </w:tcMar>
          </w:tcPr>
          <w:p>
            <w:r>
              <w:rPr>
                <w:b w:val="false"/>
                <w:bCs w:val="false"/>
                <w:color w:val="222222"/>
                <w:sz w:val="20"/>
                <w:szCs w:val="20"/>
              </w:rPr>
              <w:t xml:space="preserve">Versão</w:t>
            </w:r>
          </w:p>
        </w:tc>
        <w:tc>
          <w:tcPr>
            <w:tcW w:type="dxa" w:w="5800"/>
            <w:shd w:fill="F2EFE9" w:val="clear"/>
            <w:tcMar>
              <w:top w:type="dxa" w:w="100"/>
              <w:left w:type="dxa" w:w="120"/>
              <w:bottom w:type="dxa" w:w="100"/>
              <w:right w:type="dxa" w:w="120"/>
            </w:tcMar>
          </w:tcPr>
          <w:p>
            <w:r>
              <w:rPr>
                <w:b w:val="false"/>
                <w:bCs w:val="false"/>
                <w:color w:val="222222"/>
                <w:sz w:val="20"/>
                <w:szCs w:val="20"/>
              </w:rPr>
              <w:t xml:space="preserve">1.1.0</w:t>
            </w:r>
          </w:p>
        </w:tc>
      </w:tr>
      <w:tr>
        <w:tc>
          <w:tcPr>
            <w:tcW w:type="dxa" w:w="3200"/>
            <w:tcMar>
              <w:top w:type="dxa" w:w="100"/>
              <w:left w:type="dxa" w:w="120"/>
              <w:bottom w:type="dxa" w:w="100"/>
              <w:right w:type="dxa" w:w="120"/>
            </w:tcMar>
          </w:tcPr>
          <w:p>
            <w:r>
              <w:rPr>
                <w:b w:val="false"/>
                <w:bCs w:val="false"/>
                <w:color w:val="222222"/>
                <w:sz w:val="20"/>
                <w:szCs w:val="20"/>
              </w:rPr>
              <w:t xml:space="preserve">Última Atualização</w:t>
            </w:r>
          </w:p>
        </w:tc>
        <w:tc>
          <w:tcPr>
            <w:tcW w:type="dxa" w:w="5800"/>
            <w:tcMar>
              <w:top w:type="dxa" w:w="100"/>
              <w:left w:type="dxa" w:w="120"/>
              <w:bottom w:type="dxa" w:w="100"/>
              <w:right w:type="dxa" w:w="120"/>
            </w:tcMar>
          </w:tcPr>
          <w:p>
            <w:r>
              <w:rPr>
                <w:b w:val="false"/>
                <w:bCs w:val="false"/>
                <w:color w:val="222222"/>
                <w:sz w:val="20"/>
                <w:szCs w:val="20"/>
              </w:rPr>
              <w:t xml:space="preserve">Agosto de 2026</w:t>
            </w:r>
          </w:p>
        </w:tc>
      </w:tr>
      <w:tr>
        <w:tc>
          <w:tcPr>
            <w:tcW w:type="dxa" w:w="3200"/>
            <w:shd w:fill="F2EFE9" w:val="clear"/>
            <w:tcMar>
              <w:top w:type="dxa" w:w="100"/>
              <w:left w:type="dxa" w:w="120"/>
              <w:bottom w:type="dxa" w:w="100"/>
              <w:right w:type="dxa" w:w="120"/>
            </w:tcMar>
          </w:tcPr>
          <w:p>
            <w:r>
              <w:rPr>
                <w:b w:val="false"/>
                <w:bCs w:val="false"/>
                <w:color w:val="222222"/>
                <w:sz w:val="20"/>
                <w:szCs w:val="20"/>
              </w:rPr>
              <w:t xml:space="preserve">Área Responsável</w:t>
            </w:r>
          </w:p>
        </w:tc>
        <w:tc>
          <w:tcPr>
            <w:tcW w:type="dxa" w:w="5800"/>
            <w:shd w:fill="F2EFE9" w:val="clear"/>
            <w:tcMar>
              <w:top w:type="dxa" w:w="100"/>
              <w:left w:type="dxa" w:w="120"/>
              <w:bottom w:type="dxa" w:w="100"/>
              <w:right w:type="dxa" w:w="120"/>
            </w:tcMar>
          </w:tcPr>
          <w:p>
            <w:r>
              <w:rPr>
                <w:b w:val="false"/>
                <w:bCs w:val="false"/>
                <w:color w:val="222222"/>
                <w:sz w:val="20"/>
                <w:szCs w:val="20"/>
              </w:rPr>
              <w:t xml:space="preserve">Diretoria de Gente e Cultura</w:t>
            </w:r>
          </w:p>
        </w:tc>
      </w:tr>
      <w:tr>
        <w:tc>
          <w:tcPr>
            <w:tcW w:type="dxa" w:w="3200"/>
            <w:tcMar>
              <w:top w:type="dxa" w:w="100"/>
              <w:left w:type="dxa" w:w="120"/>
              <w:bottom w:type="dxa" w:w="100"/>
              <w:right w:type="dxa" w:w="120"/>
            </w:tcMar>
          </w:tcPr>
          <w:p>
            <w:r>
              <w:rPr>
                <w:b w:val="false"/>
                <w:bCs w:val="false"/>
                <w:color w:val="222222"/>
                <w:sz w:val="20"/>
                <w:szCs w:val="20"/>
              </w:rPr>
              <w:t xml:space="preserve">Aplicabilidade</w:t>
            </w:r>
          </w:p>
        </w:tc>
        <w:tc>
          <w:tcPr>
            <w:tcW w:type="dxa" w:w="5800"/>
            <w:tcMar>
              <w:top w:type="dxa" w:w="100"/>
              <w:left w:type="dxa" w:w="120"/>
              <w:bottom w:type="dxa" w:w="100"/>
              <w:right w:type="dxa" w:w="120"/>
            </w:tcMar>
          </w:tcPr>
          <w:p>
            <w:r>
              <w:rPr>
                <w:b w:val="false"/>
                <w:bCs w:val="false"/>
                <w:color w:val="222222"/>
                <w:sz w:val="20"/>
                <w:szCs w:val="20"/>
              </w:rPr>
              <w:t xml:space="preserve">Todos os colaboradores e gestores</w:t>
            </w:r>
          </w:p>
        </w:tc>
      </w:tr>
      <w:tr>
        <w:tc>
          <w:tcPr>
            <w:tcW w:type="dxa" w:w="3200"/>
            <w:shd w:fill="F2EFE9" w:val="clear"/>
            <w:tcMar>
              <w:top w:type="dxa" w:w="100"/>
              <w:left w:type="dxa" w:w="120"/>
              <w:bottom w:type="dxa" w:w="100"/>
              <w:right w:type="dxa" w:w="120"/>
            </w:tcMar>
          </w:tcPr>
          <w:p>
            <w:r>
              <w:rPr>
                <w:b w:val="false"/>
                <w:bCs w:val="false"/>
                <w:color w:val="222222"/>
                <w:sz w:val="20"/>
                <w:szCs w:val="20"/>
              </w:rPr>
              <w:t xml:space="preserve">Classificação</w:t>
            </w:r>
          </w:p>
        </w:tc>
        <w:tc>
          <w:tcPr>
            <w:tcW w:type="dxa" w:w="5800"/>
            <w:shd w:fill="F2EFE9" w:val="clear"/>
            <w:tcMar>
              <w:top w:type="dxa" w:w="100"/>
              <w:left w:type="dxa" w:w="120"/>
              <w:bottom w:type="dxa" w:w="100"/>
              <w:right w:type="dxa" w:w="120"/>
            </w:tcMar>
          </w:tcPr>
          <w:p>
            <w:r>
              <w:rPr>
                <w:b w:val="false"/>
                <w:bCs w:val="false"/>
                <w:color w:val="222222"/>
                <w:sz w:val="20"/>
                <w:szCs w:val="20"/>
              </w:rPr>
              <w:t xml:space="preserve">Uso Interno — Confidencial</w:t>
            </w:r>
          </w:p>
        </w:tc>
      </w:tr>
    </w:tbl>
    <w:p>
      <w:pPr>
        <w:spacing w:before="200"/>
      </w:pPr>
      <w:r>
        <w:rPr>
          <w:i/>
          <w:iCs/>
          <w:color w:val="595959"/>
          <w:sz w:val="18"/>
          <w:szCs w:val="18"/>
        </w:rPr>
        <w:t xml:space="preserve">Este documento é de propriedade do Banco Aurum Digital S.A. A reprodução ou divulgação externa sem autorização prévia da Diretoria de Governança é proibida.</w:t>
      </w:r>
    </w:p>
    <w:p>
      <w:pPr>
        <w:pBdr>
          <w:bottom w:val="single" w:color="CCCCCC" w:sz="4" w:space="1"/>
        </w:pBdr>
        <w:spacing w:after="300" w:before="300"/>
      </w:pPr>
    </w:p>
    <w:p>
      <w:pPr>
        <w:pStyle w:val="Heading1"/>
        <w:pBdr>
          <w:bottom w:val="single" w:color="B08D57" w:sz="6" w:space="4"/>
        </w:pBdr>
        <w:spacing w:after="200" w:before="400"/>
      </w:pPr>
      <w:r>
        <w:rPr>
          <w:b/>
          <w:bCs/>
          <w:color w:val="1F2A44"/>
          <w:sz w:val="28"/>
          <w:szCs w:val="28"/>
        </w:rPr>
        <w:t xml:space="preserve">1. Apresentação da Área</w:t>
      </w:r>
    </w:p>
    <w:p>
      <w:pPr>
        <w:spacing w:after="160" w:line="300"/>
      </w:pPr>
      <w:r>
        <w:rPr>
          <w:color w:val="222222"/>
          <w:sz w:val="21"/>
          <w:szCs w:val="21"/>
        </w:rPr>
        <w:t xml:space="preserve">A Diretoria de Gente e Cultura é responsável por todo o ciclo de vida do colaborador no Banco Aurum Digital, desde o recrutamento até o desligamento, e atua como guardiã da cultura organizacional definida na Missão, Visão e Valores do banco.</w:t>
      </w:r>
    </w:p>
    <w:p>
      <w:pPr>
        <w:pStyle w:val="Heading1"/>
        <w:pBdr>
          <w:bottom w:val="single" w:color="B08D57" w:sz="6" w:space="4"/>
        </w:pBdr>
        <w:spacing w:after="200" w:before="400"/>
      </w:pPr>
      <w:r>
        <w:rPr>
          <w:b/>
          <w:bCs/>
          <w:color w:val="1F2A44"/>
          <w:sz w:val="28"/>
          <w:szCs w:val="28"/>
        </w:rPr>
        <w:t xml:space="preserve">2. Recrutamento, Seleção e Contratação</w:t>
      </w:r>
    </w:p>
    <w:p>
      <w:pPr>
        <w:pStyle w:val="Heading2"/>
        <w:spacing w:after="140" w:before="280"/>
      </w:pPr>
      <w:r>
        <w:rPr>
          <w:b/>
          <w:bCs/>
          <w:color w:val="1F2A44"/>
          <w:sz w:val="24"/>
          <w:szCs w:val="24"/>
        </w:rPr>
        <w:t xml:space="preserve">2.1. Processo Seletivo</w:t>
      </w:r>
    </w:p>
    <w:p>
      <w:pPr>
        <w:pStyle w:val="ListParagraph"/>
        <w:numPr>
          <w:ilvl w:val="0"/>
          <w:numId w:val="2"/>
        </w:numPr>
        <w:spacing w:after="100" w:line="290"/>
      </w:pPr>
      <w:r>
        <w:rPr>
          <w:color w:val="222222"/>
          <w:sz w:val="21"/>
          <w:szCs w:val="21"/>
        </w:rPr>
        <w:t xml:space="preserve">Todas as vagas são divulgadas prioritariamente internamente por 5 dias úteis antes da divulgação externa, respeitando a política de recrutamento interno.</w:t>
      </w:r>
    </w:p>
    <w:p>
      <w:pPr>
        <w:pStyle w:val="ListParagraph"/>
        <w:numPr>
          <w:ilvl w:val="0"/>
          <w:numId w:val="2"/>
        </w:numPr>
        <w:spacing w:after="100" w:line="290"/>
      </w:pPr>
      <w:r>
        <w:rPr>
          <w:color w:val="222222"/>
          <w:sz w:val="21"/>
          <w:szCs w:val="21"/>
        </w:rPr>
        <w:t xml:space="preserve">Processos seletivos incluem, no mínimo, uma etapa técnica e uma etapa de aderência cultural, conduzidas por diferentes avaliadores.</w:t>
      </w:r>
    </w:p>
    <w:p>
      <w:pPr>
        <w:pStyle w:val="ListParagraph"/>
        <w:numPr>
          <w:ilvl w:val="0"/>
          <w:numId w:val="2"/>
        </w:numPr>
        <w:spacing w:after="100" w:line="290"/>
      </w:pPr>
      <w:r>
        <w:rPr>
          <w:color w:val="222222"/>
          <w:sz w:val="21"/>
          <w:szCs w:val="21"/>
        </w:rPr>
        <w:t xml:space="preserve">É vedada qualquer pergunta discriminatória relacionada a estado civil, planos de gravidez, religião ou orientação sexual durante entrevistas.</w:t>
      </w:r>
    </w:p>
    <w:p>
      <w:pPr>
        <w:pStyle w:val="ListParagraph"/>
        <w:numPr>
          <w:ilvl w:val="0"/>
          <w:numId w:val="2"/>
        </w:numPr>
        <w:spacing w:after="100" w:line="290"/>
      </w:pPr>
      <w:r>
        <w:rPr>
          <w:color w:val="222222"/>
          <w:sz w:val="21"/>
          <w:szCs w:val="21"/>
        </w:rPr>
        <w:t xml:space="preserve">Vagas de liderança devem obrigatoriamente incluir ao menos um candidato de grupo sub-representado na etapa final, sempre que houver candidaturas qualificadas disponíveis.</w:t>
      </w:r>
    </w:p>
    <w:p>
      <w:pPr>
        <w:pStyle w:val="Heading2"/>
        <w:spacing w:after="140" w:before="280"/>
      </w:pPr>
      <w:r>
        <w:rPr>
          <w:b/>
          <w:bCs/>
          <w:color w:val="1F2A44"/>
          <w:sz w:val="24"/>
          <w:szCs w:val="24"/>
        </w:rPr>
        <w:t xml:space="preserve">2.2. Contratação e Documentação Admissional</w:t>
      </w:r>
    </w:p>
    <w:p>
      <w:pPr>
        <w:spacing w:after="160" w:line="300"/>
      </w:pPr>
      <w:r>
        <w:rPr>
          <w:color w:val="222222"/>
          <w:sz w:val="21"/>
          <w:szCs w:val="21"/>
        </w:rPr>
        <w:t xml:space="preserve">Após aprovação em todas as etapas, o candidato recebe proposta formal via Portal Gente, com prazo de 5 dias úteis para aceite. A efetivação da contratação depende do envio e validação da seguinte documentação:</w:t>
      </w:r>
    </w:p>
    <w:p>
      <w:pPr>
        <w:pStyle w:val="ListParagraph"/>
        <w:numPr>
          <w:ilvl w:val="0"/>
          <w:numId w:val="2"/>
        </w:numPr>
        <w:spacing w:after="100" w:line="290"/>
      </w:pPr>
      <w:r>
        <w:rPr>
          <w:color w:val="222222"/>
          <w:sz w:val="21"/>
          <w:szCs w:val="21"/>
        </w:rPr>
        <w:t xml:space="preserve">RG, CPF e comprovante de endereço atualizado (até 90 dias).</w:t>
      </w:r>
    </w:p>
    <w:p>
      <w:pPr>
        <w:pStyle w:val="ListParagraph"/>
        <w:numPr>
          <w:ilvl w:val="0"/>
          <w:numId w:val="2"/>
        </w:numPr>
        <w:spacing w:after="100" w:line="290"/>
      </w:pPr>
      <w:r>
        <w:rPr>
          <w:color w:val="222222"/>
          <w:sz w:val="21"/>
          <w:szCs w:val="21"/>
        </w:rPr>
        <w:t xml:space="preserve">Comprovação de escolaridade compatível com o cargo (diploma ou declaração de conclusão).</w:t>
      </w:r>
    </w:p>
    <w:p>
      <w:pPr>
        <w:pStyle w:val="ListParagraph"/>
        <w:numPr>
          <w:ilvl w:val="0"/>
          <w:numId w:val="2"/>
        </w:numPr>
        <w:spacing w:after="100" w:line="290"/>
      </w:pPr>
      <w:r>
        <w:rPr>
          <w:color w:val="222222"/>
          <w:sz w:val="21"/>
          <w:szCs w:val="21"/>
        </w:rPr>
        <w:t xml:space="preserve">Exame médico admissional (ASO), realizado pela clínica conveniada, com validade de 15 dias.</w:t>
      </w:r>
    </w:p>
    <w:p>
      <w:pPr>
        <w:pStyle w:val="ListParagraph"/>
        <w:numPr>
          <w:ilvl w:val="0"/>
          <w:numId w:val="2"/>
        </w:numPr>
        <w:spacing w:after="100" w:line="290"/>
      </w:pPr>
      <w:r>
        <w:rPr>
          <w:color w:val="222222"/>
          <w:sz w:val="21"/>
          <w:szCs w:val="21"/>
        </w:rPr>
        <w:t xml:space="preserve">Certidão de antecedentes cíveis e criminais, obrigatória para cargos com acesso a sistemas financeiros críticos, conforme política de segurança.</w:t>
      </w:r>
    </w:p>
    <w:p>
      <w:pPr>
        <w:pStyle w:val="ListParagraph"/>
        <w:numPr>
          <w:ilvl w:val="0"/>
          <w:numId w:val="2"/>
        </w:numPr>
        <w:spacing w:after="100" w:line="290"/>
      </w:pPr>
      <w:r>
        <w:rPr>
          <w:color w:val="222222"/>
          <w:sz w:val="21"/>
          <w:szCs w:val="21"/>
        </w:rPr>
        <w:t xml:space="preserve">Dados bancários para pagamento de salário e abertura de conta-salário, quando aplicável.</w:t>
      </w:r>
    </w:p>
    <w:p>
      <w:pPr>
        <w:spacing w:after="160" w:line="300"/>
      </w:pPr>
      <w:r>
        <w:rPr>
          <w:color w:val="222222"/>
          <w:sz w:val="21"/>
          <w:szCs w:val="21"/>
        </w:rPr>
        <w:t xml:space="preserve">A não entrega da documentação completa no prazo de 10 dias corridos após o aceite da proposta pode acarretar o cancelamento da contratação.</w:t>
      </w:r>
    </w:p>
    <w:p>
      <w:pPr>
        <w:pStyle w:val="Heading2"/>
        <w:spacing w:after="140" w:before="280"/>
      </w:pPr>
      <w:r>
        <w:rPr>
          <w:b/>
          <w:bCs/>
          <w:color w:val="1F2A44"/>
          <w:sz w:val="24"/>
          <w:szCs w:val="24"/>
        </w:rPr>
        <w:t xml:space="preserve">2.3. Período de Experiência</w:t>
      </w:r>
    </w:p>
    <w:p>
      <w:pPr>
        <w:spacing w:after="160" w:line="300"/>
      </w:pPr>
      <w:r>
        <w:rPr>
          <w:color w:val="222222"/>
          <w:sz w:val="21"/>
          <w:szCs w:val="21"/>
        </w:rPr>
        <w:t xml:space="preserve">Todos os contratos CLT iniciam com período de experiência de 90 dias, dividido em dois ciclos de 45 dias. Ao final de cada ciclo, gestor e colaborador realizam uma conversa estruturada de acompanhamento, registrada pelo RH. A efetivação, prorrogação por até 45 dias adicionais (respeitado o limite legal de 90 dias) ou o encerramento do contrato devem ser comunicados à área de Gente e Cultura com, no mínimo, 5 dias úteis de antecedência do vencimento do ciclo.</w:t>
      </w:r>
    </w:p>
    <w:p>
      <w:pPr>
        <w:pStyle w:val="Heading2"/>
        <w:spacing w:after="140" w:before="280"/>
      </w:pPr>
      <w:r>
        <w:rPr>
          <w:b/>
          <w:bCs/>
          <w:color w:val="1F2A44"/>
          <w:sz w:val="24"/>
          <w:szCs w:val="24"/>
        </w:rPr>
        <w:t xml:space="preserve">2.4. Onboarding</w:t>
      </w:r>
    </w:p>
    <w:p>
      <w:pPr>
        <w:spacing w:after="160" w:line="300"/>
      </w:pPr>
      <w:r>
        <w:rPr>
          <w:color w:val="222222"/>
          <w:sz w:val="21"/>
          <w:szCs w:val="21"/>
        </w:rPr>
        <w:t xml:space="preserve">Novos colaboradores passam por um programa de integração de duas semanas, incluindo treinamento obrigatório sobre o Código de Conduta, Segurança da Informação e Prevenção à Lavagem de Dinheiro (PLD/FT), com certificação registrada pela área de Compliance. O onboarding inclui também apresentação da liderança, tour pelos sistemas internos e definição de metas dos primeiros 90 dias em conjunto com o gestor direto.</w:t>
      </w:r>
    </w:p>
    <w:p>
      <w:pPr>
        <w:pStyle w:val="Heading1"/>
        <w:pBdr>
          <w:bottom w:val="single" w:color="B08D57" w:sz="6" w:space="4"/>
        </w:pBdr>
        <w:spacing w:after="200" w:before="400"/>
      </w:pPr>
      <w:r>
        <w:rPr>
          <w:b/>
          <w:bCs/>
          <w:color w:val="1F2A44"/>
          <w:sz w:val="28"/>
          <w:szCs w:val="28"/>
        </w:rPr>
        <w:t xml:space="preserve">3. Jornada de Trabalho, Remuneração e Benefícios</w:t>
      </w:r>
    </w:p>
    <w:p>
      <w:pPr>
        <w:pStyle w:val="Heading2"/>
        <w:spacing w:after="140" w:before="280"/>
      </w:pPr>
      <w:r>
        <w:rPr>
          <w:b/>
          <w:bCs/>
          <w:color w:val="1F2A44"/>
          <w:sz w:val="24"/>
          <w:szCs w:val="24"/>
        </w:rPr>
        <w:t xml:space="preserve">3.1. Modelo de Trabalho</w:t>
      </w:r>
    </w:p>
    <w:p>
      <w:pPr>
        <w:spacing w:after="160" w:line="300"/>
      </w:pPr>
      <w:r>
        <w:rPr>
          <w:color w:val="222222"/>
          <w:sz w:val="21"/>
          <w:szCs w:val="21"/>
        </w:rPr>
        <w:t xml:space="preserve">O Banco Aurum Digital adota modelo híbrido, com mínimo de 2 dias presenciais semanais para áreas administrativas, conforme definido pela diretoria de cada área, e jornada de 40 horas semanais com banco de horas.</w:t>
      </w:r>
    </w:p>
    <w:p>
      <w:pPr>
        <w:pStyle w:val="Heading2"/>
        <w:spacing w:after="140" w:before="280"/>
      </w:pPr>
      <w:r>
        <w:rPr>
          <w:b/>
          <w:bCs/>
          <w:color w:val="1F2A44"/>
          <w:sz w:val="24"/>
          <w:szCs w:val="24"/>
        </w:rPr>
        <w:t xml:space="preserve">3.2. Remuneração e Décimo Terceiro Salário</w:t>
      </w:r>
    </w:p>
    <w:p>
      <w:pPr>
        <w:spacing w:after="160" w:line="300"/>
      </w:pPr>
      <w:r>
        <w:rPr>
          <w:color w:val="222222"/>
          <w:sz w:val="21"/>
          <w:szCs w:val="21"/>
        </w:rPr>
        <w:t xml:space="preserve">Salários são pagos até o 5º dia útil do mês subsequente, via depósito em conta. O décimo terceiro salário é pago em duas parcelas: a primeira até 30 de novembro, a título de antecipação, e a segunda até 20 de dezembro, com os descontos legais aplicáveis. Colaboradores admitidos ao longo do ano recebem valor proporcional aos meses trabalhados.</w:t>
      </w:r>
    </w:p>
    <w:p>
      <w:pPr>
        <w:pStyle w:val="Heading2"/>
        <w:spacing w:after="140" w:before="280"/>
      </w:pPr>
      <w:r>
        <w:rPr>
          <w:b/>
          <w:bCs/>
          <w:color w:val="1F2A44"/>
          <w:sz w:val="24"/>
          <w:szCs w:val="24"/>
        </w:rPr>
        <w:t xml:space="preserve">3.3. Pacote de Benefícios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2A44" w:val="clear"/>
            <w:tcMar>
              <w:top w:type="dxa" w:w="100"/>
              <w:left w:type="dxa" w:w="120"/>
              <w:bottom w:type="dxa" w:w="100"/>
              <w:right w:type="dxa" w:w="120"/>
            </w:tcMar>
          </w:tcPr>
          <w:p>
            <w:r>
              <w:rPr>
                <w:b/>
                <w:bCs/>
                <w:color w:val="FFFFFF"/>
                <w:sz w:val="20"/>
                <w:szCs w:val="20"/>
              </w:rPr>
              <w:t xml:space="preserve">Benefício</w:t>
            </w:r>
          </w:p>
        </w:tc>
        <w:tc>
          <w:tcPr>
            <w:tcW w:type="dxa" w:w="3200"/>
            <w:shd w:fill="1F2A44" w:val="clear"/>
            <w:tcMar>
              <w:top w:type="dxa" w:w="100"/>
              <w:left w:type="dxa" w:w="120"/>
              <w:bottom w:type="dxa" w:w="100"/>
              <w:right w:type="dxa" w:w="120"/>
            </w:tcMar>
          </w:tcPr>
          <w:p>
            <w:r>
              <w:rPr>
                <w:b/>
                <w:bCs/>
                <w:color w:val="FFFFFF"/>
                <w:sz w:val="20"/>
                <w:szCs w:val="20"/>
              </w:rPr>
              <w:t xml:space="preserve">Elegibilidade</w:t>
            </w:r>
          </w:p>
        </w:tc>
        <w:tc>
          <w:tcPr>
            <w:tcW w:type="dxa" w:w="3200"/>
            <w:shd w:fill="1F2A44" w:val="clear"/>
            <w:tcMar>
              <w:top w:type="dxa" w:w="100"/>
              <w:left w:type="dxa" w:w="120"/>
              <w:bottom w:type="dxa" w:w="100"/>
              <w:right w:type="dxa" w:w="120"/>
            </w:tcMar>
          </w:tcPr>
          <w:p>
            <w:r>
              <w:rPr>
                <w:b/>
                <w:bCs/>
                <w:color w:val="FFFFFF"/>
                <w:sz w:val="20"/>
                <w:szCs w:val="20"/>
              </w:rPr>
              <w:t xml:space="preserve">Observações</w:t>
            </w:r>
          </w:p>
        </w:tc>
      </w:tr>
      <w:tr>
        <w:tc>
          <w:tcPr>
            <w:tcW w:type="dxa" w:w="2600"/>
            <w:tcMar>
              <w:top w:type="dxa" w:w="100"/>
              <w:left w:type="dxa" w:w="120"/>
              <w:bottom w:type="dxa" w:w="100"/>
              <w:right w:type="dxa" w:w="120"/>
            </w:tcMar>
          </w:tcPr>
          <w:p>
            <w:r>
              <w:rPr>
                <w:b w:val="false"/>
                <w:bCs w:val="false"/>
                <w:color w:val="222222"/>
                <w:sz w:val="20"/>
                <w:szCs w:val="20"/>
              </w:rPr>
              <w:t xml:space="preserve">Plano de Saúde e Odontológico</w:t>
            </w:r>
          </w:p>
        </w:tc>
        <w:tc>
          <w:tcPr>
            <w:tcW w:type="dxa" w:w="3200"/>
            <w:tcMar>
              <w:top w:type="dxa" w:w="100"/>
              <w:left w:type="dxa" w:w="120"/>
              <w:bottom w:type="dxa" w:w="100"/>
              <w:right w:type="dxa" w:w="120"/>
            </w:tcMar>
          </w:tcPr>
          <w:p>
            <w:r>
              <w:rPr>
                <w:b w:val="false"/>
                <w:bCs w:val="false"/>
                <w:color w:val="222222"/>
                <w:sz w:val="20"/>
                <w:szCs w:val="20"/>
              </w:rPr>
              <w:t xml:space="preserve">Todos os colaboradores CLT, a partir da admissão</w:t>
            </w:r>
          </w:p>
        </w:tc>
        <w:tc>
          <w:tcPr>
            <w:tcW w:type="dxa" w:w="3200"/>
            <w:tcMar>
              <w:top w:type="dxa" w:w="100"/>
              <w:left w:type="dxa" w:w="120"/>
              <w:bottom w:type="dxa" w:w="100"/>
              <w:right w:type="dxa" w:w="120"/>
            </w:tcMar>
          </w:tcPr>
          <w:p>
            <w:r>
              <w:rPr>
                <w:b w:val="false"/>
                <w:bCs w:val="false"/>
                <w:color w:val="222222"/>
                <w:sz w:val="20"/>
                <w:szCs w:val="20"/>
              </w:rPr>
              <w:t xml:space="preserve">Extensível a dependentes com coparticipação</w:t>
            </w:r>
          </w:p>
        </w:tc>
      </w:tr>
      <w:tr>
        <w:tc>
          <w:tcPr>
            <w:tcW w:type="dxa" w:w="2600"/>
            <w:shd w:fill="F2EFE9" w:val="clear"/>
            <w:tcMar>
              <w:top w:type="dxa" w:w="100"/>
              <w:left w:type="dxa" w:w="120"/>
              <w:bottom w:type="dxa" w:w="100"/>
              <w:right w:type="dxa" w:w="120"/>
            </w:tcMar>
          </w:tcPr>
          <w:p>
            <w:r>
              <w:rPr>
                <w:b w:val="false"/>
                <w:bCs w:val="false"/>
                <w:color w:val="222222"/>
                <w:sz w:val="20"/>
                <w:szCs w:val="20"/>
              </w:rPr>
              <w:t xml:space="preserve">Vale-Refeição/Alimentação</w:t>
            </w:r>
          </w:p>
        </w:tc>
        <w:tc>
          <w:tcPr>
            <w:tcW w:type="dxa" w:w="3200"/>
            <w:shd w:fill="F2EFE9" w:val="clear"/>
            <w:tcMar>
              <w:top w:type="dxa" w:w="100"/>
              <w:left w:type="dxa" w:w="120"/>
              <w:bottom w:type="dxa" w:w="100"/>
              <w:right w:type="dxa" w:w="120"/>
            </w:tcMar>
          </w:tcPr>
          <w:p>
            <w:r>
              <w:rPr>
                <w:b w:val="false"/>
                <w:bCs w:val="false"/>
                <w:color w:val="222222"/>
                <w:sz w:val="20"/>
                <w:szCs w:val="20"/>
              </w:rPr>
              <w:t xml:space="preserve">Todos os colaboradores</w:t>
            </w:r>
          </w:p>
        </w:tc>
        <w:tc>
          <w:tcPr>
            <w:tcW w:type="dxa" w:w="3200"/>
            <w:shd w:fill="F2EFE9" w:val="clear"/>
            <w:tcMar>
              <w:top w:type="dxa" w:w="100"/>
              <w:left w:type="dxa" w:w="120"/>
              <w:bottom w:type="dxa" w:w="100"/>
              <w:right w:type="dxa" w:w="120"/>
            </w:tcMar>
          </w:tcPr>
          <w:p>
            <w:r>
              <w:rPr>
                <w:b w:val="false"/>
                <w:bCs w:val="false"/>
                <w:color w:val="222222"/>
                <w:sz w:val="20"/>
                <w:szCs w:val="20"/>
              </w:rPr>
              <w:t xml:space="preserve">Valor definido anualmente em acordo coletivo</w:t>
            </w:r>
          </w:p>
        </w:tc>
      </w:tr>
      <w:tr>
        <w:tc>
          <w:tcPr>
            <w:tcW w:type="dxa" w:w="2600"/>
            <w:tcMar>
              <w:top w:type="dxa" w:w="100"/>
              <w:left w:type="dxa" w:w="120"/>
              <w:bottom w:type="dxa" w:w="100"/>
              <w:right w:type="dxa" w:w="120"/>
            </w:tcMar>
          </w:tcPr>
          <w:p>
            <w:r>
              <w:rPr>
                <w:b w:val="false"/>
                <w:bCs w:val="false"/>
                <w:color w:val="222222"/>
                <w:sz w:val="20"/>
                <w:szCs w:val="20"/>
              </w:rPr>
              <w:t xml:space="preserve">Auxílio Home Office</w:t>
            </w:r>
          </w:p>
        </w:tc>
        <w:tc>
          <w:tcPr>
            <w:tcW w:type="dxa" w:w="3200"/>
            <w:tcMar>
              <w:top w:type="dxa" w:w="100"/>
              <w:left w:type="dxa" w:w="120"/>
              <w:bottom w:type="dxa" w:w="100"/>
              <w:right w:type="dxa" w:w="120"/>
            </w:tcMar>
          </w:tcPr>
          <w:p>
            <w:r>
              <w:rPr>
                <w:b w:val="false"/>
                <w:bCs w:val="false"/>
                <w:color w:val="222222"/>
                <w:sz w:val="20"/>
                <w:szCs w:val="20"/>
              </w:rPr>
              <w:t xml:space="preserve">Colaboradores em modelo híbrido ou remoto</w:t>
            </w:r>
          </w:p>
        </w:tc>
        <w:tc>
          <w:tcPr>
            <w:tcW w:type="dxa" w:w="3200"/>
            <w:tcMar>
              <w:top w:type="dxa" w:w="100"/>
              <w:left w:type="dxa" w:w="120"/>
              <w:bottom w:type="dxa" w:w="100"/>
              <w:right w:type="dxa" w:w="120"/>
            </w:tcMar>
          </w:tcPr>
          <w:p>
            <w:r>
              <w:rPr>
                <w:b w:val="false"/>
                <w:bCs w:val="false"/>
                <w:color w:val="222222"/>
                <w:sz w:val="20"/>
                <w:szCs w:val="20"/>
              </w:rPr>
              <w:t xml:space="preserve">Pago mensalmente via folha</w:t>
            </w:r>
          </w:p>
        </w:tc>
      </w:tr>
      <w:tr>
        <w:tc>
          <w:tcPr>
            <w:tcW w:type="dxa" w:w="2600"/>
            <w:shd w:fill="F2EFE9" w:val="clear"/>
            <w:tcMar>
              <w:top w:type="dxa" w:w="100"/>
              <w:left w:type="dxa" w:w="120"/>
              <w:bottom w:type="dxa" w:w="100"/>
              <w:right w:type="dxa" w:w="120"/>
            </w:tcMar>
          </w:tcPr>
          <w:p>
            <w:r>
              <w:rPr>
                <w:b w:val="false"/>
                <w:bCs w:val="false"/>
                <w:color w:val="222222"/>
                <w:sz w:val="20"/>
                <w:szCs w:val="20"/>
              </w:rPr>
              <w:t xml:space="preserve">Previdência Privada</w:t>
            </w:r>
          </w:p>
        </w:tc>
        <w:tc>
          <w:tcPr>
            <w:tcW w:type="dxa" w:w="3200"/>
            <w:shd w:fill="F2EFE9" w:val="clear"/>
            <w:tcMar>
              <w:top w:type="dxa" w:w="100"/>
              <w:left w:type="dxa" w:w="120"/>
              <w:bottom w:type="dxa" w:w="100"/>
              <w:right w:type="dxa" w:w="120"/>
            </w:tcMar>
          </w:tcPr>
          <w:p>
            <w:r>
              <w:rPr>
                <w:b w:val="false"/>
                <w:bCs w:val="false"/>
                <w:color w:val="222222"/>
                <w:sz w:val="20"/>
                <w:szCs w:val="20"/>
              </w:rPr>
              <w:t xml:space="preserve">Colaboradores com 6 meses ou mais de casa</w:t>
            </w:r>
          </w:p>
        </w:tc>
        <w:tc>
          <w:tcPr>
            <w:tcW w:type="dxa" w:w="3200"/>
            <w:shd w:fill="F2EFE9" w:val="clear"/>
            <w:tcMar>
              <w:top w:type="dxa" w:w="100"/>
              <w:left w:type="dxa" w:w="120"/>
              <w:bottom w:type="dxa" w:w="100"/>
              <w:right w:type="dxa" w:w="120"/>
            </w:tcMar>
          </w:tcPr>
          <w:p>
            <w:r>
              <w:rPr>
                <w:b w:val="false"/>
                <w:bCs w:val="false"/>
                <w:color w:val="222222"/>
                <w:sz w:val="20"/>
                <w:szCs w:val="20"/>
              </w:rPr>
              <w:t xml:space="preserve">Contrapartida da empresa em até 3% do salário</w:t>
            </w:r>
          </w:p>
        </w:tc>
      </w:tr>
      <w:tr>
        <w:tc>
          <w:tcPr>
            <w:tcW w:type="dxa" w:w="2600"/>
            <w:tcMar>
              <w:top w:type="dxa" w:w="100"/>
              <w:left w:type="dxa" w:w="120"/>
              <w:bottom w:type="dxa" w:w="100"/>
              <w:right w:type="dxa" w:w="120"/>
            </w:tcMar>
          </w:tcPr>
          <w:p>
            <w:r>
              <w:rPr>
                <w:b w:val="false"/>
                <w:bCs w:val="false"/>
                <w:color w:val="222222"/>
                <w:sz w:val="20"/>
                <w:szCs w:val="20"/>
              </w:rPr>
              <w:t xml:space="preserve">Licença-Parentalidade Estendida</w:t>
            </w:r>
          </w:p>
        </w:tc>
        <w:tc>
          <w:tcPr>
            <w:tcW w:type="dxa" w:w="3200"/>
            <w:tcMar>
              <w:top w:type="dxa" w:w="100"/>
              <w:left w:type="dxa" w:w="120"/>
              <w:bottom w:type="dxa" w:w="100"/>
              <w:right w:type="dxa" w:w="120"/>
            </w:tcMar>
          </w:tcPr>
          <w:p>
            <w:r>
              <w:rPr>
                <w:b w:val="false"/>
                <w:bCs w:val="false"/>
                <w:color w:val="222222"/>
                <w:sz w:val="20"/>
                <w:szCs w:val="20"/>
              </w:rPr>
              <w:t xml:space="preserve">Todos os gêneros, conforme política interna</w:t>
            </w:r>
          </w:p>
        </w:tc>
        <w:tc>
          <w:tcPr>
            <w:tcW w:type="dxa" w:w="3200"/>
            <w:tcMar>
              <w:top w:type="dxa" w:w="100"/>
              <w:left w:type="dxa" w:w="120"/>
              <w:bottom w:type="dxa" w:w="100"/>
              <w:right w:type="dxa" w:w="120"/>
            </w:tcMar>
          </w:tcPr>
          <w:p>
            <w:r>
              <w:rPr>
                <w:b w:val="false"/>
                <w:bCs w:val="false"/>
                <w:color w:val="222222"/>
                <w:sz w:val="20"/>
                <w:szCs w:val="20"/>
              </w:rPr>
              <w:t xml:space="preserve">180 dias para gestantes; 30 dias para o(a) parceiro(a)</w:t>
            </w:r>
          </w:p>
        </w:tc>
      </w:tr>
    </w:tbl>
    <w:p>
      <w:pPr>
        <w:pStyle w:val="Heading1"/>
        <w:pBdr>
          <w:bottom w:val="single" w:color="B08D57" w:sz="6" w:space="4"/>
        </w:pBdr>
        <w:spacing w:after="200" w:before="400"/>
      </w:pPr>
      <w:r>
        <w:rPr>
          <w:b/>
          <w:bCs/>
          <w:color w:val="1F2A44"/>
          <w:sz w:val="28"/>
          <w:szCs w:val="28"/>
        </w:rPr>
        <w:t xml:space="preserve">4. Férias</w:t>
      </w:r>
    </w:p>
    <w:p>
      <w:pPr>
        <w:pStyle w:val="Heading2"/>
        <w:spacing w:after="140" w:before="280"/>
      </w:pPr>
      <w:r>
        <w:rPr>
          <w:b/>
          <w:bCs/>
          <w:color w:val="1F2A44"/>
          <w:sz w:val="24"/>
          <w:szCs w:val="24"/>
        </w:rPr>
        <w:t xml:space="preserve">4.1. Direito e Período Aquisitivo</w:t>
      </w:r>
    </w:p>
    <w:p>
      <w:pPr>
        <w:spacing w:after="160" w:line="300"/>
      </w:pPr>
      <w:r>
        <w:rPr>
          <w:color w:val="222222"/>
          <w:sz w:val="21"/>
          <w:szCs w:val="21"/>
        </w:rPr>
        <w:t xml:space="preserve">Todo colaborador CLT adquire direito a 30 dias corridos de férias após completar 12 meses de trabalho (período aquisitivo), a serem usufruídos nos 12 meses subsequentes (período concessivo), conforme legislação trabalhista vigente.</w:t>
      </w:r>
    </w:p>
    <w:p>
      <w:pPr>
        <w:pStyle w:val="Heading2"/>
        <w:spacing w:after="140" w:before="280"/>
      </w:pPr>
      <w:r>
        <w:rPr>
          <w:b/>
          <w:bCs/>
          <w:color w:val="1F2A44"/>
          <w:sz w:val="24"/>
          <w:szCs w:val="24"/>
        </w:rPr>
        <w:t xml:space="preserve">4.2. Programação e Solicitação</w:t>
      </w:r>
    </w:p>
    <w:p>
      <w:pPr>
        <w:spacing w:after="160" w:line="300"/>
      </w:pPr>
      <w:r>
        <w:rPr>
          <w:color w:val="222222"/>
          <w:sz w:val="21"/>
          <w:szCs w:val="21"/>
        </w:rPr>
        <w:t xml:space="preserve">A programação de férias é feita em conjunto com o gestor direto, com antecedência mínima de 60 dias em relação à data de início pretendida, por meio do Portal Gente. O gestor deve aprovar ou propor ajuste de data em até 5 dias úteis, considerando a continuidade operacional da área.</w:t>
      </w:r>
    </w:p>
    <w:p>
      <w:pPr>
        <w:pStyle w:val="Heading2"/>
        <w:spacing w:after="140" w:before="280"/>
      </w:pPr>
      <w:r>
        <w:rPr>
          <w:b/>
          <w:bCs/>
          <w:color w:val="1F2A44"/>
          <w:sz w:val="24"/>
          <w:szCs w:val="24"/>
        </w:rPr>
        <w:t xml:space="preserve">4.3. Fracionamento</w:t>
      </w:r>
    </w:p>
    <w:p>
      <w:pPr>
        <w:spacing w:after="160" w:line="300"/>
      </w:pPr>
      <w:r>
        <w:rPr>
          <w:color w:val="222222"/>
          <w:sz w:val="21"/>
          <w:szCs w:val="21"/>
        </w:rPr>
        <w:t xml:space="preserve">As férias podem ser fracionadas em até 3 períodos, mediante concordância do colaborador, sendo que um dos períodos não pode ser inferior a 14 dias corridos e os demais não podem ser inferiores a 5 dias corridos cada. O fracionamento não é permitido para menores de 18 anos ou maiores de 50 anos.</w:t>
      </w:r>
    </w:p>
    <w:p>
      <w:pPr>
        <w:pStyle w:val="Heading2"/>
        <w:spacing w:after="140" w:before="280"/>
      </w:pPr>
      <w:r>
        <w:rPr>
          <w:b/>
          <w:bCs/>
          <w:color w:val="1F2A44"/>
          <w:sz w:val="24"/>
          <w:szCs w:val="24"/>
        </w:rPr>
        <w:t xml:space="preserve">4.4. Abono Pecuniário (Venda de Férias)</w:t>
      </w:r>
    </w:p>
    <w:p>
      <w:pPr>
        <w:spacing w:after="160" w:line="300"/>
      </w:pPr>
      <w:r>
        <w:rPr>
          <w:color w:val="222222"/>
          <w:sz w:val="21"/>
          <w:szCs w:val="21"/>
        </w:rPr>
        <w:t xml:space="preserve">O colaborador pode converter até 1/3 (10 dias) do período de férias em abono pecuniário. A solicitação deve ser feita junto ao Portal Gente até 15 dias antes do término do período aquisitivo, sendo irrevogável após aprovação.</w:t>
      </w:r>
    </w:p>
    <w:p>
      <w:pPr>
        <w:pStyle w:val="Heading2"/>
        <w:spacing w:after="140" w:before="280"/>
      </w:pPr>
      <w:r>
        <w:rPr>
          <w:b/>
          <w:bCs/>
          <w:color w:val="1F2A44"/>
          <w:sz w:val="24"/>
          <w:szCs w:val="24"/>
        </w:rPr>
        <w:t xml:space="preserve">4.5. Pagamento</w:t>
      </w:r>
    </w:p>
    <w:p>
      <w:pPr>
        <w:spacing w:after="160" w:line="300"/>
      </w:pPr>
      <w:r>
        <w:rPr>
          <w:color w:val="222222"/>
          <w:sz w:val="21"/>
          <w:szCs w:val="21"/>
        </w:rPr>
        <w:t xml:space="preserve">O pagamento das férias, acrescido do terço constitucional, é realizado em até 2 dias antes do início do respectivo período de descanso, conforme determina a legislação.</w:t>
      </w:r>
    </w:p>
    <w:p>
      <w:pPr>
        <w:pStyle w:val="Heading1"/>
        <w:pBdr>
          <w:bottom w:val="single" w:color="B08D57" w:sz="6" w:space="4"/>
        </w:pBdr>
        <w:spacing w:after="200" w:before="400"/>
      </w:pPr>
      <w:r>
        <w:rPr>
          <w:b/>
          <w:bCs/>
          <w:color w:val="1F2A44"/>
          <w:sz w:val="28"/>
          <w:szCs w:val="28"/>
        </w:rPr>
        <w:t xml:space="preserve">5. Avaliação de Desempenho</w:t>
      </w:r>
    </w:p>
    <w:p>
      <w:pPr>
        <w:spacing w:after="160" w:line="300"/>
      </w:pPr>
      <w:r>
        <w:rPr>
          <w:color w:val="222222"/>
          <w:sz w:val="21"/>
          <w:szCs w:val="21"/>
        </w:rPr>
        <w:t xml:space="preserve">O ciclo de avaliação de desempenho ocorre semestralmente e combina autoavaliação, avaliação do gestor e avaliação de pares (modelo 180 graus), com foco em metas individuais e em comportamentos alinhados aos valores do banco.</w:t>
      </w:r>
    </w:p>
    <w:p>
      <w:pPr>
        <w:pStyle w:val="ListParagraph"/>
        <w:numPr>
          <w:ilvl w:val="0"/>
          <w:numId w:val="2"/>
        </w:numPr>
        <w:spacing w:after="100" w:line="290"/>
      </w:pPr>
      <w:r>
        <w:rPr>
          <w:color w:val="222222"/>
          <w:sz w:val="21"/>
          <w:szCs w:val="21"/>
        </w:rPr>
        <w:t xml:space="preserve">Resultados de desempenho impactam diretamente elegibilidade a promoções e reajustes por mérito.</w:t>
      </w:r>
    </w:p>
    <w:p>
      <w:pPr>
        <w:pStyle w:val="ListParagraph"/>
        <w:numPr>
          <w:ilvl w:val="0"/>
          <w:numId w:val="2"/>
        </w:numPr>
        <w:spacing w:after="100" w:line="290"/>
      </w:pPr>
      <w:r>
        <w:rPr>
          <w:color w:val="222222"/>
          <w:sz w:val="21"/>
          <w:szCs w:val="21"/>
        </w:rPr>
        <w:t xml:space="preserve">Colaboradores com avaliação abaixo do esperado por dois ciclos consecutivos entram em Plano de Desenvolvimento Individual (PDI) formal, acompanhado por RH e gestor direto.</w:t>
      </w:r>
    </w:p>
    <w:p>
      <w:pPr>
        <w:pStyle w:val="Heading1"/>
        <w:pBdr>
          <w:bottom w:val="single" w:color="B08D57" w:sz="6" w:space="4"/>
        </w:pBdr>
        <w:spacing w:after="200" w:before="400"/>
      </w:pPr>
      <w:r>
        <w:rPr>
          <w:b/>
          <w:bCs/>
          <w:color w:val="1F2A44"/>
          <w:sz w:val="28"/>
          <w:szCs w:val="28"/>
        </w:rPr>
        <w:t xml:space="preserve">6. Licenças e Afastamentos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2A44" w:val="clear"/>
            <w:tcMar>
              <w:top w:type="dxa" w:w="100"/>
              <w:left w:type="dxa" w:w="120"/>
              <w:bottom w:type="dxa" w:w="100"/>
              <w:right w:type="dxa" w:w="120"/>
            </w:tcMar>
          </w:tcPr>
          <w:p>
            <w:r>
              <w:rPr>
                <w:b/>
                <w:bCs/>
                <w:color w:val="FFFFFF"/>
                <w:sz w:val="20"/>
                <w:szCs w:val="20"/>
              </w:rPr>
              <w:t xml:space="preserve">Tipo</w:t>
            </w:r>
          </w:p>
        </w:tc>
        <w:tc>
          <w:tcPr>
            <w:tcW w:type="dxa" w:w="2400"/>
            <w:shd w:fill="1F2A44" w:val="clear"/>
            <w:tcMar>
              <w:top w:type="dxa" w:w="100"/>
              <w:left w:type="dxa" w:w="120"/>
              <w:bottom w:type="dxa" w:w="100"/>
              <w:right w:type="dxa" w:w="120"/>
            </w:tcMar>
          </w:tcPr>
          <w:p>
            <w:r>
              <w:rPr>
                <w:b/>
                <w:bCs/>
                <w:color w:val="FFFFFF"/>
                <w:sz w:val="20"/>
                <w:szCs w:val="20"/>
              </w:rPr>
              <w:t xml:space="preserve">Duração Padrão</w:t>
            </w:r>
          </w:p>
        </w:tc>
        <w:tc>
          <w:tcPr>
            <w:tcW w:type="dxa" w:w="4000"/>
            <w:shd w:fill="1F2A44" w:val="clear"/>
            <w:tcMar>
              <w:top w:type="dxa" w:w="100"/>
              <w:left w:type="dxa" w:w="120"/>
              <w:bottom w:type="dxa" w:w="100"/>
              <w:right w:type="dxa" w:w="120"/>
            </w:tcMar>
          </w:tcPr>
          <w:p>
            <w:r>
              <w:rPr>
                <w:b/>
                <w:bCs/>
                <w:color w:val="FFFFFF"/>
                <w:sz w:val="20"/>
                <w:szCs w:val="20"/>
              </w:rPr>
              <w:t xml:space="preserve">Observação</w:t>
            </w:r>
          </w:p>
        </w:tc>
      </w:tr>
      <w:tr>
        <w:tc>
          <w:tcPr>
            <w:tcW w:type="dxa" w:w="2600"/>
            <w:tcMar>
              <w:top w:type="dxa" w:w="100"/>
              <w:left w:type="dxa" w:w="120"/>
              <w:bottom w:type="dxa" w:w="100"/>
              <w:right w:type="dxa" w:w="120"/>
            </w:tcMar>
          </w:tcPr>
          <w:p>
            <w:r>
              <w:rPr>
                <w:b w:val="false"/>
                <w:bCs w:val="false"/>
                <w:color w:val="222222"/>
                <w:sz w:val="20"/>
                <w:szCs w:val="20"/>
              </w:rPr>
              <w:t xml:space="preserve">Licença-Maternidade</w:t>
            </w:r>
          </w:p>
        </w:tc>
        <w:tc>
          <w:tcPr>
            <w:tcW w:type="dxa" w:w="2400"/>
            <w:tcMar>
              <w:top w:type="dxa" w:w="100"/>
              <w:left w:type="dxa" w:w="120"/>
              <w:bottom w:type="dxa" w:w="100"/>
              <w:right w:type="dxa" w:w="120"/>
            </w:tcMar>
          </w:tcPr>
          <w:p>
            <w:r>
              <w:rPr>
                <w:b w:val="false"/>
                <w:bCs w:val="false"/>
                <w:color w:val="222222"/>
                <w:sz w:val="20"/>
                <w:szCs w:val="20"/>
              </w:rPr>
              <w:t xml:space="preserve">180 dias</w:t>
            </w:r>
          </w:p>
        </w:tc>
        <w:tc>
          <w:tcPr>
            <w:tcW w:type="dxa" w:w="4000"/>
            <w:tcMar>
              <w:top w:type="dxa" w:w="100"/>
              <w:left w:type="dxa" w:w="120"/>
              <w:bottom w:type="dxa" w:w="100"/>
              <w:right w:type="dxa" w:w="120"/>
            </w:tcMar>
          </w:tcPr>
          <w:p>
            <w:r>
              <w:rPr>
                <w:b w:val="false"/>
                <w:bCs w:val="false"/>
                <w:color w:val="222222"/>
                <w:sz w:val="20"/>
                <w:szCs w:val="20"/>
              </w:rPr>
              <w:t xml:space="preserve">Empresa cidadã, sem necessidade de solicitação adicional</w:t>
            </w:r>
          </w:p>
        </w:tc>
      </w:tr>
      <w:tr>
        <w:tc>
          <w:tcPr>
            <w:tcW w:type="dxa" w:w="2600"/>
            <w:shd w:fill="F2EFE9" w:val="clear"/>
            <w:tcMar>
              <w:top w:type="dxa" w:w="100"/>
              <w:left w:type="dxa" w:w="120"/>
              <w:bottom w:type="dxa" w:w="100"/>
              <w:right w:type="dxa" w:w="120"/>
            </w:tcMar>
          </w:tcPr>
          <w:p>
            <w:r>
              <w:rPr>
                <w:b w:val="false"/>
                <w:bCs w:val="false"/>
                <w:color w:val="222222"/>
                <w:sz w:val="20"/>
                <w:szCs w:val="20"/>
              </w:rPr>
              <w:t xml:space="preserve">Licença-Paternidade</w:t>
            </w:r>
          </w:p>
        </w:tc>
        <w:tc>
          <w:tcPr>
            <w:tcW w:type="dxa" w:w="2400"/>
            <w:shd w:fill="F2EFE9" w:val="clear"/>
            <w:tcMar>
              <w:top w:type="dxa" w:w="100"/>
              <w:left w:type="dxa" w:w="120"/>
              <w:bottom w:type="dxa" w:w="100"/>
              <w:right w:type="dxa" w:w="120"/>
            </w:tcMar>
          </w:tcPr>
          <w:p>
            <w:r>
              <w:rPr>
                <w:b w:val="false"/>
                <w:bCs w:val="false"/>
                <w:color w:val="222222"/>
                <w:sz w:val="20"/>
                <w:szCs w:val="20"/>
              </w:rPr>
              <w:t xml:space="preserve">30 dias</w:t>
            </w:r>
          </w:p>
        </w:tc>
        <w:tc>
          <w:tcPr>
            <w:tcW w:type="dxa" w:w="4000"/>
            <w:shd w:fill="F2EFE9" w:val="clear"/>
            <w:tcMar>
              <w:top w:type="dxa" w:w="100"/>
              <w:left w:type="dxa" w:w="120"/>
              <w:bottom w:type="dxa" w:w="100"/>
              <w:right w:type="dxa" w:w="120"/>
            </w:tcMar>
          </w:tcPr>
          <w:p>
            <w:r>
              <w:rPr>
                <w:b w:val="false"/>
                <w:bCs w:val="false"/>
                <w:color w:val="222222"/>
                <w:sz w:val="20"/>
                <w:szCs w:val="20"/>
              </w:rPr>
              <w:t xml:space="preserve">Concedida conforme política estendida interna</w:t>
            </w:r>
          </w:p>
        </w:tc>
      </w:tr>
      <w:tr>
        <w:tc>
          <w:tcPr>
            <w:tcW w:type="dxa" w:w="2600"/>
            <w:tcMar>
              <w:top w:type="dxa" w:w="100"/>
              <w:left w:type="dxa" w:w="120"/>
              <w:bottom w:type="dxa" w:w="100"/>
              <w:right w:type="dxa" w:w="120"/>
            </w:tcMar>
          </w:tcPr>
          <w:p>
            <w:r>
              <w:rPr>
                <w:b w:val="false"/>
                <w:bCs w:val="false"/>
                <w:color w:val="222222"/>
                <w:sz w:val="20"/>
                <w:szCs w:val="20"/>
              </w:rPr>
              <w:t xml:space="preserve">Licença por Luto</w:t>
            </w:r>
          </w:p>
        </w:tc>
        <w:tc>
          <w:tcPr>
            <w:tcW w:type="dxa" w:w="2400"/>
            <w:tcMar>
              <w:top w:type="dxa" w:w="100"/>
              <w:left w:type="dxa" w:w="120"/>
              <w:bottom w:type="dxa" w:w="100"/>
              <w:right w:type="dxa" w:w="120"/>
            </w:tcMar>
          </w:tcPr>
          <w:p>
            <w:r>
              <w:rPr>
                <w:b w:val="false"/>
                <w:bCs w:val="false"/>
                <w:color w:val="222222"/>
                <w:sz w:val="20"/>
                <w:szCs w:val="20"/>
              </w:rPr>
              <w:t xml:space="preserve">5 dias corridos</w:t>
            </w:r>
          </w:p>
        </w:tc>
        <w:tc>
          <w:tcPr>
            <w:tcW w:type="dxa" w:w="4000"/>
            <w:tcMar>
              <w:top w:type="dxa" w:w="100"/>
              <w:left w:type="dxa" w:w="120"/>
              <w:bottom w:type="dxa" w:w="100"/>
              <w:right w:type="dxa" w:w="120"/>
            </w:tcMar>
          </w:tcPr>
          <w:p>
            <w:r>
              <w:rPr>
                <w:b w:val="false"/>
                <w:bCs w:val="false"/>
                <w:color w:val="222222"/>
                <w:sz w:val="20"/>
                <w:szCs w:val="20"/>
              </w:rPr>
              <w:t xml:space="preserve">Cônjuge, filhos, pais ou irmãos</w:t>
            </w:r>
          </w:p>
        </w:tc>
      </w:tr>
      <w:tr>
        <w:tc>
          <w:tcPr>
            <w:tcW w:type="dxa" w:w="2600"/>
            <w:shd w:fill="F2EFE9" w:val="clear"/>
            <w:tcMar>
              <w:top w:type="dxa" w:w="100"/>
              <w:left w:type="dxa" w:w="120"/>
              <w:bottom w:type="dxa" w:w="100"/>
              <w:right w:type="dxa" w:w="120"/>
            </w:tcMar>
          </w:tcPr>
          <w:p>
            <w:r>
              <w:rPr>
                <w:b w:val="false"/>
                <w:bCs w:val="false"/>
                <w:color w:val="222222"/>
                <w:sz w:val="20"/>
                <w:szCs w:val="20"/>
              </w:rPr>
              <w:t xml:space="preserve">Licença Não Remunerada</w:t>
            </w:r>
          </w:p>
        </w:tc>
        <w:tc>
          <w:tcPr>
            <w:tcW w:type="dxa" w:w="2400"/>
            <w:shd w:fill="F2EFE9" w:val="clear"/>
            <w:tcMar>
              <w:top w:type="dxa" w:w="100"/>
              <w:left w:type="dxa" w:w="120"/>
              <w:bottom w:type="dxa" w:w="100"/>
              <w:right w:type="dxa" w:w="120"/>
            </w:tcMar>
          </w:tcPr>
          <w:p>
            <w:r>
              <w:rPr>
                <w:b w:val="false"/>
                <w:bCs w:val="false"/>
                <w:color w:val="222222"/>
                <w:sz w:val="20"/>
                <w:szCs w:val="20"/>
              </w:rPr>
              <w:t xml:space="preserve">Até 90 dias</w:t>
            </w:r>
          </w:p>
        </w:tc>
        <w:tc>
          <w:tcPr>
            <w:tcW w:type="dxa" w:w="4000"/>
            <w:shd w:fill="F2EFE9" w:val="clear"/>
            <w:tcMar>
              <w:top w:type="dxa" w:w="100"/>
              <w:left w:type="dxa" w:w="120"/>
              <w:bottom w:type="dxa" w:w="100"/>
              <w:right w:type="dxa" w:w="120"/>
            </w:tcMar>
          </w:tcPr>
          <w:p>
            <w:r>
              <w:rPr>
                <w:b w:val="false"/>
                <w:bCs w:val="false"/>
                <w:color w:val="222222"/>
                <w:sz w:val="20"/>
                <w:szCs w:val="20"/>
              </w:rPr>
              <w:t xml:space="preserve">Sujeita a aprovação do gestor e da Diretoria de Gente e Cultura</w:t>
            </w:r>
          </w:p>
        </w:tc>
      </w:tr>
    </w:tbl>
    <w:p>
      <w:pPr>
        <w:pStyle w:val="Heading1"/>
        <w:pBdr>
          <w:bottom w:val="single" w:color="B08D57" w:sz="6" w:space="4"/>
        </w:pBdr>
        <w:spacing w:after="200" w:before="400"/>
      </w:pPr>
      <w:r>
        <w:rPr>
          <w:b/>
          <w:bCs/>
          <w:color w:val="1F2A44"/>
          <w:sz w:val="28"/>
          <w:szCs w:val="28"/>
        </w:rPr>
        <w:t xml:space="preserve">7. Desligamento</w:t>
      </w:r>
    </w:p>
    <w:p>
      <w:pPr>
        <w:spacing w:after="160" w:line="300"/>
      </w:pPr>
      <w:r>
        <w:rPr>
          <w:color w:val="222222"/>
          <w:sz w:val="21"/>
          <w:szCs w:val="21"/>
        </w:rPr>
        <w:t xml:space="preserve">Desligamentos podem ocorrer por iniciativa da empresa, do colaborador, ou por justa causa em caso de violação grave ao Código de Conduta apurada pelo Comitê de Ética, conforme descrito no Manual Institucional.</w:t>
      </w:r>
    </w:p>
    <w:p>
      <w:pPr>
        <w:pStyle w:val="ListParagraph"/>
        <w:numPr>
          <w:ilvl w:val="0"/>
          <w:numId w:val="2"/>
        </w:numPr>
        <w:spacing w:after="100" w:line="290"/>
      </w:pPr>
      <w:r>
        <w:rPr>
          <w:color w:val="222222"/>
          <w:sz w:val="21"/>
          <w:szCs w:val="21"/>
        </w:rPr>
        <w:t xml:space="preserve">Todo desligamento por iniciativa da empresa inclui entrevista de desligamento conduzida por RH, exceto em casos de justa causa.</w:t>
      </w:r>
    </w:p>
    <w:p>
      <w:pPr>
        <w:pStyle w:val="ListParagraph"/>
        <w:numPr>
          <w:ilvl w:val="0"/>
          <w:numId w:val="2"/>
        </w:numPr>
        <w:spacing w:after="100" w:line="290"/>
      </w:pPr>
      <w:r>
        <w:rPr>
          <w:color w:val="222222"/>
          <w:sz w:val="21"/>
          <w:szCs w:val="21"/>
        </w:rPr>
        <w:t xml:space="preserve">O acesso a todos os sistemas corporativos é revogado em até 2 horas após a formalização do desligamento, conforme política de segurança da área de Tecnologia.</w:t>
      </w:r>
    </w:p>
    <w:p>
      <w:pPr>
        <w:pStyle w:val="ListParagraph"/>
        <w:numPr>
          <w:ilvl w:val="0"/>
          <w:numId w:val="2"/>
        </w:numPr>
        <w:spacing w:after="100" w:line="290"/>
      </w:pPr>
      <w:r>
        <w:rPr>
          <w:color w:val="222222"/>
          <w:sz w:val="21"/>
          <w:szCs w:val="21"/>
        </w:rPr>
        <w:t xml:space="preserve">Colaboradores desligados por justa causa relacionada a fraude ou vazamento de dados têm o caso comunicado às autoridades competentes, conforme prevê o Manual Institucional.</w:t>
      </w:r>
    </w:p>
    <w:p>
      <w:pPr>
        <w:pStyle w:val="Heading1"/>
        <w:pBdr>
          <w:bottom w:val="single" w:color="B08D57" w:sz="6" w:space="4"/>
        </w:pBdr>
        <w:spacing w:after="200" w:before="400"/>
      </w:pPr>
      <w:r>
        <w:rPr>
          <w:b/>
          <w:bCs/>
          <w:color w:val="1F2A44"/>
          <w:sz w:val="28"/>
          <w:szCs w:val="28"/>
        </w:rPr>
        <w:t xml:space="preserve">8. Perguntas Frequentes</w:t>
      </w:r>
    </w:p>
    <w:p>
      <w:pPr>
        <w:spacing w:after="160" w:line="300"/>
      </w:pPr>
      <w:r>
        <w:rPr>
          <w:color w:val="222222"/>
          <w:sz w:val="21"/>
          <w:szCs w:val="21"/>
        </w:rPr>
        <w:t xml:space="preserve">Reunimos abaixo as dúvidas mais comuns recebidas pela área de Gente e Cultura. Para casos não cobertos aqui, entre em contato pelo Portal Gente.</w:t>
      </w:r>
    </w:p>
    <w:p>
      <w:pPr>
        <w:spacing w:after="60" w:before="160"/>
      </w:pPr>
      <w:r>
        <w:rPr>
          <w:b/>
          <w:bCs/>
          <w:color w:val="1F2A44"/>
          <w:sz w:val="21"/>
          <w:szCs w:val="21"/>
        </w:rPr>
        <w:t xml:space="preserve">P: Como solicito minhas férias?</w:t>
      </w:r>
    </w:p>
    <w:p>
      <w:pPr>
        <w:spacing w:after="60" w:line="290"/>
      </w:pPr>
      <w:r>
        <w:rPr>
          <w:color w:val="222222"/>
          <w:sz w:val="21"/>
          <w:szCs w:val="21"/>
        </w:rPr>
        <w:t xml:space="preserve">R: Pelo Portal Gente, em conjunto com seu gestor, com no mínimo 60 dias de antecedência da data pretendida (ver seção 4.2).</w:t>
      </w:r>
    </w:p>
    <w:p>
      <w:pPr>
        <w:spacing w:after="60" w:before="160"/>
      </w:pPr>
      <w:r>
        <w:rPr>
          <w:b/>
          <w:bCs/>
          <w:color w:val="1F2A44"/>
          <w:sz w:val="21"/>
          <w:szCs w:val="21"/>
        </w:rPr>
        <w:t xml:space="preserve">P: Posso vender parte das minhas férias?</w:t>
      </w:r>
    </w:p>
    <w:p>
      <w:pPr>
        <w:spacing w:after="60" w:line="290"/>
      </w:pPr>
      <w:r>
        <w:rPr>
          <w:color w:val="222222"/>
          <w:sz w:val="21"/>
          <w:szCs w:val="21"/>
        </w:rPr>
        <w:t xml:space="preserve">R: Sim, até 1/3 do período (10 dias), por meio do abono pecuniário solicitado no Portal Gente até 15 dias antes do fim do período aquisitivo (ver seção 4.4).</w:t>
      </w:r>
    </w:p>
    <w:p>
      <w:pPr>
        <w:spacing w:after="60" w:before="160"/>
      </w:pPr>
      <w:r>
        <w:rPr>
          <w:b/>
          <w:bCs/>
          <w:color w:val="1F2A44"/>
          <w:sz w:val="21"/>
          <w:szCs w:val="21"/>
        </w:rPr>
        <w:t xml:space="preserve">P: Quantos dias eu preciso ir ao escritório?</w:t>
      </w:r>
    </w:p>
    <w:p>
      <w:pPr>
        <w:spacing w:after="60" w:line="290"/>
      </w:pPr>
      <w:r>
        <w:rPr>
          <w:color w:val="222222"/>
          <w:sz w:val="21"/>
          <w:szCs w:val="21"/>
        </w:rPr>
        <w:t xml:space="preserve">R: No modelo híbrido, o mínimo é de 2 dias presenciais por semana para áreas administrativas, definidos pela diretoria de cada área (ver seção 3.1).</w:t>
      </w:r>
    </w:p>
    <w:p>
      <w:pPr>
        <w:spacing w:after="60" w:before="160"/>
      </w:pPr>
      <w:r>
        <w:rPr>
          <w:b/>
          <w:bCs/>
          <w:color w:val="1F2A44"/>
          <w:sz w:val="21"/>
          <w:szCs w:val="21"/>
        </w:rPr>
        <w:t xml:space="preserve">P: Quando recebo o décimo terceiro salário?</w:t>
      </w:r>
    </w:p>
    <w:p>
      <w:pPr>
        <w:spacing w:after="60" w:line="290"/>
      </w:pPr>
      <w:r>
        <w:rPr>
          <w:color w:val="222222"/>
          <w:sz w:val="21"/>
          <w:szCs w:val="21"/>
        </w:rPr>
        <w:t xml:space="preserve">R: A primeira parcela é paga até 30 de novembro e a segunda até 20 de dezembro, com valor proporcional para quem foi admitido durante o ano (ver seção 3.2).</w:t>
      </w:r>
    </w:p>
    <w:p>
      <w:pPr>
        <w:spacing w:after="60" w:before="160"/>
      </w:pPr>
      <w:r>
        <w:rPr>
          <w:b/>
          <w:bCs/>
          <w:color w:val="1F2A44"/>
          <w:sz w:val="21"/>
          <w:szCs w:val="21"/>
        </w:rPr>
        <w:t xml:space="preserve">P: Quanto tempo dura o período de experiência?</w:t>
      </w:r>
    </w:p>
    <w:p>
      <w:pPr>
        <w:spacing w:after="60" w:line="290"/>
      </w:pPr>
      <w:r>
        <w:rPr>
          <w:color w:val="222222"/>
          <w:sz w:val="21"/>
          <w:szCs w:val="21"/>
        </w:rPr>
        <w:t xml:space="preserve">R: 90 dias, divididos em dois ciclos de 45 dias, com conversa de acompanhamento ao final de cada ciclo (ver seção 2.3).</w:t>
      </w:r>
    </w:p>
    <w:p>
      <w:pPr>
        <w:spacing w:after="60" w:before="160"/>
      </w:pPr>
      <w:r>
        <w:rPr>
          <w:b/>
          <w:bCs/>
          <w:color w:val="1F2A44"/>
          <w:sz w:val="21"/>
          <w:szCs w:val="21"/>
        </w:rPr>
        <w:t xml:space="preserve">P: Quais documentos preciso entregar na contratação?</w:t>
      </w:r>
    </w:p>
    <w:p>
      <w:pPr>
        <w:spacing w:after="60" w:line="290"/>
      </w:pPr>
      <w:r>
        <w:rPr>
          <w:color w:val="222222"/>
          <w:sz w:val="21"/>
          <w:szCs w:val="21"/>
        </w:rPr>
        <w:t xml:space="preserve">R: RG, CPF, comprovante de endereço, comprovação de escolaridade, exame admissional (ASO) e dados bancários; certidões de antecedentes são exigidas para cargos com acesso a sistemas financeiros críticos (ver seção 2.2).</w:t>
      </w:r>
    </w:p>
    <w:p>
      <w:pPr>
        <w:spacing w:after="60" w:before="160"/>
      </w:pPr>
      <w:r>
        <w:rPr>
          <w:b/>
          <w:bCs/>
          <w:color w:val="1F2A44"/>
          <w:sz w:val="21"/>
          <w:szCs w:val="21"/>
        </w:rPr>
        <w:t xml:space="preserve">P: Como funciona a avaliação de desempenho?</w:t>
      </w:r>
    </w:p>
    <w:p>
      <w:pPr>
        <w:spacing w:after="60" w:line="290"/>
      </w:pPr>
      <w:r>
        <w:rPr>
          <w:color w:val="222222"/>
          <w:sz w:val="21"/>
          <w:szCs w:val="21"/>
        </w:rPr>
        <w:t xml:space="preserve">R: Ocorre semestralmente, no modelo 180 graus (autoavaliação, gestor e pares), e impacta promoções e reajustes por mérito (ver seção 5).</w:t>
      </w:r>
    </w:p>
    <w:p>
      <w:pPr>
        <w:spacing w:after="60" w:before="160"/>
      </w:pPr>
      <w:r>
        <w:rPr>
          <w:b/>
          <w:bCs/>
          <w:color w:val="1F2A44"/>
          <w:sz w:val="21"/>
          <w:szCs w:val="21"/>
        </w:rPr>
        <w:t xml:space="preserve">P: O que acontece se eu tiver duas avaliações seguidas abaixo do esperado?</w:t>
      </w:r>
    </w:p>
    <w:p>
      <w:pPr>
        <w:spacing w:after="60" w:line="290"/>
      </w:pPr>
      <w:r>
        <w:rPr>
          <w:color w:val="222222"/>
          <w:sz w:val="21"/>
          <w:szCs w:val="21"/>
        </w:rPr>
        <w:t xml:space="preserve">R: Você entra em um Plano de Desenvolvimento Individual (PDI) formal, acompanhado por RH e pelo seu gestor direto (ver seção 5).</w:t>
      </w:r>
    </w:p>
    <w:p>
      <w:pPr>
        <w:spacing w:after="60" w:before="160"/>
      </w:pPr>
      <w:r>
        <w:rPr>
          <w:b/>
          <w:bCs/>
          <w:color w:val="1F2A44"/>
          <w:sz w:val="21"/>
          <w:szCs w:val="21"/>
        </w:rPr>
        <w:t xml:space="preserve">P: Tenho direito a licença-paternidade estendida?</w:t>
      </w:r>
    </w:p>
    <w:p>
      <w:pPr>
        <w:spacing w:after="60" w:line="290"/>
      </w:pPr>
      <w:r>
        <w:rPr>
          <w:color w:val="222222"/>
          <w:sz w:val="21"/>
          <w:szCs w:val="21"/>
        </w:rPr>
        <w:t xml:space="preserve">R: Sim, a política interna concede 30 dias ao parceiro ou parceira, além do previsto em lei (ver seções 3.3 e 5).</w:t>
      </w:r>
    </w:p>
    <w:p>
      <w:pPr>
        <w:spacing w:after="60" w:before="160"/>
      </w:pPr>
      <w:r>
        <w:rPr>
          <w:b/>
          <w:bCs/>
          <w:color w:val="1F2A44"/>
          <w:sz w:val="21"/>
          <w:szCs w:val="21"/>
        </w:rPr>
        <w:t xml:space="preserve">P: Em quanto tempo meu acesso aos sistemas é bloqueado após o desligamento?</w:t>
      </w:r>
    </w:p>
    <w:p>
      <w:pPr>
        <w:spacing w:after="60" w:line="290"/>
      </w:pPr>
      <w:r>
        <w:rPr>
          <w:color w:val="222222"/>
          <w:sz w:val="21"/>
          <w:szCs w:val="21"/>
        </w:rPr>
        <w:t xml:space="preserve">R: Em até 2 horas após a formalização do desligamento, por política de segurança da área de Tecnologia (ver seção 7).</w:t>
      </w:r>
    </w:p>
    <w:p>
      <w:pPr>
        <w:spacing w:after="60" w:before="160"/>
      </w:pPr>
      <w:r>
        <w:rPr>
          <w:b/>
          <w:bCs/>
          <w:color w:val="1F2A44"/>
          <w:sz w:val="21"/>
          <w:szCs w:val="21"/>
        </w:rPr>
        <w:t xml:space="preserve">P: Posso me candidatar a vagas internas de liderança?</w:t>
      </w:r>
    </w:p>
    <w:p>
      <w:pPr>
        <w:spacing w:after="60" w:line="290"/>
      </w:pPr>
      <w:r>
        <w:rPr>
          <w:color w:val="222222"/>
          <w:sz w:val="21"/>
          <w:szCs w:val="21"/>
        </w:rPr>
        <w:t xml:space="preserve">R: Sim. Vagas divulgadas internamente seguem o mesmo processo seletivo padrão, com etapa técnica e de aderência cultural (ver seção 2.1).</w:t>
      </w:r>
    </w:p>
    <w:p>
      <w:pPr>
        <w:pStyle w:val="Heading1"/>
        <w:pBdr>
          <w:bottom w:val="single" w:color="B08D57" w:sz="6" w:space="4"/>
        </w:pBdr>
        <w:spacing w:after="200" w:before="400"/>
      </w:pPr>
      <w:r>
        <w:rPr>
          <w:b/>
          <w:bCs/>
          <w:color w:val="1F2A44"/>
          <w:sz w:val="28"/>
          <w:szCs w:val="28"/>
        </w:rPr>
        <w:t xml:space="preserve">9. Glossário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A44" w:val="clear"/>
            <w:tcMar>
              <w:top w:type="dxa" w:w="100"/>
              <w:left w:type="dxa" w:w="120"/>
              <w:bottom w:type="dxa" w:w="100"/>
              <w:right w:type="dxa" w:w="120"/>
            </w:tcMar>
          </w:tcPr>
          <w:p>
            <w:r>
              <w:rPr>
                <w:b/>
                <w:bCs/>
                <w:color w:val="FFFFFF"/>
                <w:sz w:val="20"/>
                <w:szCs w:val="20"/>
              </w:rPr>
              <w:t xml:space="preserve">Termo</w:t>
            </w:r>
          </w:p>
        </w:tc>
        <w:tc>
          <w:tcPr>
            <w:tcW w:type="dxa" w:w="6400"/>
            <w:shd w:fill="1F2A44" w:val="clear"/>
            <w:tcMar>
              <w:top w:type="dxa" w:w="100"/>
              <w:left w:type="dxa" w:w="120"/>
              <w:bottom w:type="dxa" w:w="100"/>
              <w:right w:type="dxa" w:w="120"/>
            </w:tcMar>
          </w:tcPr>
          <w:p>
            <w:r>
              <w:rPr>
                <w:b/>
                <w:bCs/>
                <w:color w:val="FFFFFF"/>
                <w:sz w:val="20"/>
                <w:szCs w:val="20"/>
              </w:rPr>
              <w:t xml:space="preserve">Significado</w:t>
            </w:r>
          </w:p>
        </w:tc>
      </w:tr>
      <w:tr>
        <w:tc>
          <w:tcPr>
            <w:tcW w:type="dxa" w:w="2600"/>
            <w:tcMar>
              <w:top w:type="dxa" w:w="100"/>
              <w:left w:type="dxa" w:w="120"/>
              <w:bottom w:type="dxa" w:w="100"/>
              <w:right w:type="dxa" w:w="120"/>
            </w:tcMar>
          </w:tcPr>
          <w:p>
            <w:r>
              <w:rPr>
                <w:b w:val="false"/>
                <w:bCs w:val="false"/>
                <w:color w:val="222222"/>
                <w:sz w:val="20"/>
                <w:szCs w:val="20"/>
              </w:rPr>
              <w:t xml:space="preserve">PDI</w:t>
            </w:r>
          </w:p>
        </w:tc>
        <w:tc>
          <w:tcPr>
            <w:tcW w:type="dxa" w:w="6400"/>
            <w:tcMar>
              <w:top w:type="dxa" w:w="100"/>
              <w:left w:type="dxa" w:w="120"/>
              <w:bottom w:type="dxa" w:w="100"/>
              <w:right w:type="dxa" w:w="120"/>
            </w:tcMar>
          </w:tcPr>
          <w:p>
            <w:r>
              <w:rPr>
                <w:b w:val="false"/>
                <w:bCs w:val="false"/>
                <w:color w:val="222222"/>
                <w:sz w:val="20"/>
                <w:szCs w:val="20"/>
              </w:rPr>
              <w:t xml:space="preserve">Plano de Desenvolvimento Individual, elaborado para colaboradores com desempenho abaixo do esperado.</w:t>
            </w:r>
          </w:p>
        </w:tc>
      </w:tr>
      <w:tr>
        <w:tc>
          <w:tcPr>
            <w:tcW w:type="dxa" w:w="2600"/>
            <w:shd w:fill="F2EFE9" w:val="clear"/>
            <w:tcMar>
              <w:top w:type="dxa" w:w="100"/>
              <w:left w:type="dxa" w:w="120"/>
              <w:bottom w:type="dxa" w:w="100"/>
              <w:right w:type="dxa" w:w="120"/>
            </w:tcMar>
          </w:tcPr>
          <w:p>
            <w:r>
              <w:rPr>
                <w:b w:val="false"/>
                <w:bCs w:val="false"/>
                <w:color w:val="222222"/>
                <w:sz w:val="20"/>
                <w:szCs w:val="20"/>
              </w:rPr>
              <w:t xml:space="preserve">Avaliação 180 graus</w:t>
            </w:r>
          </w:p>
        </w:tc>
        <w:tc>
          <w:tcPr>
            <w:tcW w:type="dxa" w:w="6400"/>
            <w:shd w:fill="F2EFE9" w:val="clear"/>
            <w:tcMar>
              <w:top w:type="dxa" w:w="100"/>
              <w:left w:type="dxa" w:w="120"/>
              <w:bottom w:type="dxa" w:w="100"/>
              <w:right w:type="dxa" w:w="120"/>
            </w:tcMar>
          </w:tcPr>
          <w:p>
            <w:r>
              <w:rPr>
                <w:b w:val="false"/>
                <w:bCs w:val="false"/>
                <w:color w:val="222222"/>
                <w:sz w:val="20"/>
                <w:szCs w:val="20"/>
              </w:rPr>
              <w:t xml:space="preserve">Modelo de avaliação de desempenho que combina autoavaliação, avaliação do gestor e de pares.</w:t>
            </w:r>
          </w:p>
        </w:tc>
      </w:tr>
      <w:tr>
        <w:tc>
          <w:tcPr>
            <w:tcW w:type="dxa" w:w="2600"/>
            <w:tcMar>
              <w:top w:type="dxa" w:w="100"/>
              <w:left w:type="dxa" w:w="120"/>
              <w:bottom w:type="dxa" w:w="100"/>
              <w:right w:type="dxa" w:w="120"/>
            </w:tcMar>
          </w:tcPr>
          <w:p>
            <w:r>
              <w:rPr>
                <w:b w:val="false"/>
                <w:bCs w:val="false"/>
                <w:color w:val="222222"/>
                <w:sz w:val="20"/>
                <w:szCs w:val="20"/>
              </w:rPr>
              <w:t xml:space="preserve">Onboarding</w:t>
            </w:r>
          </w:p>
        </w:tc>
        <w:tc>
          <w:tcPr>
            <w:tcW w:type="dxa" w:w="6400"/>
            <w:tcMar>
              <w:top w:type="dxa" w:w="100"/>
              <w:left w:type="dxa" w:w="120"/>
              <w:bottom w:type="dxa" w:w="100"/>
              <w:right w:type="dxa" w:w="120"/>
            </w:tcMar>
          </w:tcPr>
          <w:p>
            <w:r>
              <w:rPr>
                <w:b w:val="false"/>
                <w:bCs w:val="false"/>
                <w:color w:val="222222"/>
                <w:sz w:val="20"/>
                <w:szCs w:val="20"/>
              </w:rPr>
              <w:t xml:space="preserve">Processo de integração de novos colaboradores à empresa.</w:t>
            </w:r>
          </w:p>
        </w:tc>
      </w:tr>
      <w:tr>
        <w:tc>
          <w:tcPr>
            <w:tcW w:type="dxa" w:w="2600"/>
            <w:shd w:fill="F2EFE9" w:val="clear"/>
            <w:tcMar>
              <w:top w:type="dxa" w:w="100"/>
              <w:left w:type="dxa" w:w="120"/>
              <w:bottom w:type="dxa" w:w="100"/>
              <w:right w:type="dxa" w:w="120"/>
            </w:tcMar>
          </w:tcPr>
          <w:p>
            <w:r>
              <w:rPr>
                <w:b w:val="false"/>
                <w:bCs w:val="false"/>
                <w:color w:val="222222"/>
                <w:sz w:val="20"/>
                <w:szCs w:val="20"/>
              </w:rPr>
              <w:t xml:space="preserve">ASO</w:t>
            </w:r>
          </w:p>
        </w:tc>
        <w:tc>
          <w:tcPr>
            <w:tcW w:type="dxa" w:w="6400"/>
            <w:shd w:fill="F2EFE9" w:val="clear"/>
            <w:tcMar>
              <w:top w:type="dxa" w:w="100"/>
              <w:left w:type="dxa" w:w="120"/>
              <w:bottom w:type="dxa" w:w="100"/>
              <w:right w:type="dxa" w:w="120"/>
            </w:tcMar>
          </w:tcPr>
          <w:p>
            <w:r>
              <w:rPr>
                <w:b w:val="false"/>
                <w:bCs w:val="false"/>
                <w:color w:val="222222"/>
                <w:sz w:val="20"/>
                <w:szCs w:val="20"/>
              </w:rPr>
              <w:t xml:space="preserve">Atestado de Saúde Ocupacional, exame médico exigido na admissão e em outras etapas do vínculo.</w:t>
            </w:r>
          </w:p>
        </w:tc>
      </w:tr>
      <w:tr>
        <w:tc>
          <w:tcPr>
            <w:tcW w:type="dxa" w:w="2600"/>
            <w:tcMar>
              <w:top w:type="dxa" w:w="100"/>
              <w:left w:type="dxa" w:w="120"/>
              <w:bottom w:type="dxa" w:w="100"/>
              <w:right w:type="dxa" w:w="120"/>
            </w:tcMar>
          </w:tcPr>
          <w:p>
            <w:r>
              <w:rPr>
                <w:b w:val="false"/>
                <w:bCs w:val="false"/>
                <w:color w:val="222222"/>
                <w:sz w:val="20"/>
                <w:szCs w:val="20"/>
              </w:rPr>
              <w:t xml:space="preserve">Período Aquisitivo</w:t>
            </w:r>
          </w:p>
        </w:tc>
        <w:tc>
          <w:tcPr>
            <w:tcW w:type="dxa" w:w="6400"/>
            <w:tcMar>
              <w:top w:type="dxa" w:w="100"/>
              <w:left w:type="dxa" w:w="120"/>
              <w:bottom w:type="dxa" w:w="100"/>
              <w:right w:type="dxa" w:w="120"/>
            </w:tcMar>
          </w:tcPr>
          <w:p>
            <w:r>
              <w:rPr>
                <w:b w:val="false"/>
                <w:bCs w:val="false"/>
                <w:color w:val="222222"/>
                <w:sz w:val="20"/>
                <w:szCs w:val="20"/>
              </w:rPr>
              <w:t xml:space="preserve">Período de 12 meses de trabalho que gera o direito às férias.</w:t>
            </w:r>
          </w:p>
        </w:tc>
      </w:tr>
      <w:tr>
        <w:tc>
          <w:tcPr>
            <w:tcW w:type="dxa" w:w="2600"/>
            <w:shd w:fill="F2EFE9" w:val="clear"/>
            <w:tcMar>
              <w:top w:type="dxa" w:w="100"/>
              <w:left w:type="dxa" w:w="120"/>
              <w:bottom w:type="dxa" w:w="100"/>
              <w:right w:type="dxa" w:w="120"/>
            </w:tcMar>
          </w:tcPr>
          <w:p>
            <w:r>
              <w:rPr>
                <w:b w:val="false"/>
                <w:bCs w:val="false"/>
                <w:color w:val="222222"/>
                <w:sz w:val="20"/>
                <w:szCs w:val="20"/>
              </w:rPr>
              <w:t xml:space="preserve">Abono Pecuniário</w:t>
            </w:r>
          </w:p>
        </w:tc>
        <w:tc>
          <w:tcPr>
            <w:tcW w:type="dxa" w:w="6400"/>
            <w:shd w:fill="F2EFE9" w:val="clear"/>
            <w:tcMar>
              <w:top w:type="dxa" w:w="100"/>
              <w:left w:type="dxa" w:w="120"/>
              <w:bottom w:type="dxa" w:w="100"/>
              <w:right w:type="dxa" w:w="120"/>
            </w:tcMar>
          </w:tcPr>
          <w:p>
            <w:r>
              <w:rPr>
                <w:b w:val="false"/>
                <w:bCs w:val="false"/>
                <w:color w:val="222222"/>
                <w:sz w:val="20"/>
                <w:szCs w:val="20"/>
              </w:rPr>
              <w:t xml:space="preserve">Conversão de até 1/3 das férias em pagamento, também chamada de venda de férias.</w:t>
            </w:r>
          </w:p>
        </w:tc>
      </w:tr>
    </w:tbl>
    <w:p>
      <w:pPr>
        <w:pBdr>
          <w:bottom w:val="single" w:color="CCCCCC" w:sz="4" w:space="1"/>
        </w:pBdr>
        <w:spacing w:after="300" w:before="300"/>
      </w:pPr>
    </w:p>
    <w:p>
      <w:pPr>
        <w:spacing w:before="200"/>
      </w:pPr>
      <w:r>
        <w:rPr>
          <w:i/>
          <w:iCs/>
          <w:color w:val="595959"/>
          <w:sz w:val="18"/>
          <w:szCs w:val="18"/>
        </w:rPr>
        <w:t xml:space="preserve">Este documento é de propriedade do Banco Aurum Digital S.A. A reprodução ou divulgação externa sem autorização prévia da Diretoria de Governança é proibida.</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2026-08-17T00:23:56.033Z</dcterms:created>
  <dcterms:modified xsi:type="dcterms:W3CDTF">2026-08-17T00:23:56.056Z</dcterms:modified>
</cp:coreProperties>
</file>

<file path=docProps/custom.xml><?xml version="1.0" encoding="utf-8"?>
<Properties xmlns="http://schemas.openxmlformats.org/officeDocument/2006/custom-properties" xmlns:vt="http://schemas.openxmlformats.org/officeDocument/2006/docPropsVTypes"/>
</file>