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2A4A"/>
          <w:sz w:val="30"/>
          <w:szCs w:val="30"/>
        </w:rPr>
        <w:t xml:space="preserve">BANCO Aurum DIGITAL S.A.</w:t>
      </w:r>
    </w:p>
    <w:p>
      <w:pPr>
        <w:spacing w:after="80"/>
        <w:jc w:val="center"/>
      </w:pPr>
      <w:r>
        <w:rPr>
          <w:b/>
          <w:bCs/>
          <w:color w:val="1B2A4A"/>
          <w:sz w:val="26"/>
          <w:szCs w:val="26"/>
        </w:rPr>
        <w:t xml:space="preserve">Manual da Área Comercial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Estrutura, Metas, Processos de Venda e Relacionamento com o Cliente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40"/>
      </w:tblGrid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do Documento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MAN-COM-001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Última Atualização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Agosto de 2026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Responsável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Diretoria Comercial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Aplicabilidade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Gerentes de Relacionamento, Consultores de Vendas PF/PJ, Coordenadores Comerciais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Uso Interno — Confidencial</w:t>
            </w:r>
          </w:p>
        </w:tc>
      </w:tr>
    </w:tbl>
    <w:p>
      <w:pPr>
        <w:spacing w:after="100" w:before="300"/>
      </w:pPr>
      <w:r>
        <w:rPr>
          <w:i/>
          <w:iCs/>
          <w:color w:val="444444"/>
          <w:sz w:val="18"/>
          <w:szCs w:val="18"/>
        </w:rPr>
        <w:t xml:space="preserve">Este documento é de propriedade do Banco Aurum Digital S.A. A reprodução ou divulgação externa sem autorização prévia da Diretoria de Governança é proibida.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1. Apresentação da Área Comercial</w:t>
      </w:r>
    </w:p>
    <w:p>
      <w:pPr>
        <w:spacing w:after="160"/>
      </w:pPr>
      <w:r>
        <w:rPr>
          <w:sz w:val="21"/>
          <w:szCs w:val="21"/>
        </w:rPr>
        <w:t xml:space="preserve">A Diretoria Comercial do Banco Aurum Digital é responsável por originar, expandir e reter relacionamentos com clientes pessoa física e pessoa jurídica, sempre em conformidade com as políticas de crédito, Compliance e proteção de dados vigentes na instituição.</w:t>
      </w:r>
    </w:p>
    <w:p>
      <w:pPr>
        <w:spacing w:after="160"/>
      </w:pPr>
      <w:r>
        <w:rPr>
          <w:sz w:val="21"/>
          <w:szCs w:val="21"/>
        </w:rPr>
        <w:t xml:space="preserve">A área atua por meio de canais digitais (aplicativo, site e televendas) e de um time de Gerentes de Relacionamento dedicados a contas de maior complexidade, organizados em três frentes: Varejo Digital, Pequenas e Médias Empresas (PJ) e Private/Alta Renda.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1.1. Estrutura da Área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320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Frente</w:t>
            </w:r>
          </w:p>
        </w:tc>
        <w:tc>
          <w:tcPr>
            <w:tcW w:type="dxa" w:w="4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Principal Canal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Varejo Digital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Pessoa física, conta corrente e cartão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Aplicativo e televendas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PJ Empresas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Empresas com faturamento de até R$ 50 milhões/ano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Gerente de Relacionamento dedicado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Private / Alta Renda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Clientes com investimentos acima de R$ 3 milhões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Assessor de Investimentos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1.2. Metas e Remuneração Variável</w:t>
      </w:r>
    </w:p>
    <w:p>
      <w:pPr>
        <w:spacing w:after="160"/>
      </w:pPr>
      <w:r>
        <w:rPr>
          <w:sz w:val="21"/>
          <w:szCs w:val="21"/>
        </w:rPr>
        <w:t xml:space="preserve">Consultores e Gerentes de Relacionamento possuem metas trimestrais definidas em conjunto com a Diretoria Comercial, compostas por indicadores de volume (novas contas, crédito originado) e de qualidade (satisfação do cliente e aderência a normas).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remuneração variável é limitada a, no máximo, 40% da remuneração fixa anual do colaborador.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Metas de volume nunca podem representar mais de 60% do peso total da avaliação, para evitar incentivos a vendas inadequadas.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É vedada qualquer meta ou bonificação individual vinculada à venda de produtos de crédito sem análise de capacidade de pagamento do cliente.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2. Processo Comercial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2.1. Funil de Vendas e CRM</w:t>
      </w:r>
    </w:p>
    <w:p>
      <w:pPr>
        <w:spacing w:after="160"/>
      </w:pPr>
      <w:r>
        <w:rPr>
          <w:sz w:val="21"/>
          <w:szCs w:val="21"/>
        </w:rPr>
        <w:t xml:space="preserve">Toda interação comercial, da prospecção ao fechamento, deve ser registrada no CRM corporativo. Propostas conduzidas fora da ferramenta oficial não são reconhecidas para fins de comissionamento nem de auditoria.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Etapa 1 — Prospecção: qualificação inicial do potencial cliente, com registro da origem do lead (indicação, canal digital ou ativo).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Etapa 2 — Diagnóstico: levantamento de necessidades financeiras e enquadramento de produtos elegíveis.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Etapa 3 — Proposta: apresentação de condições comerciais dentro das faixas de alçada definidas pela Diretoria de Produtos.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Etapa 4 — Formalização: abertura de conta ou contratação, sujeita a validação de KYC e análise de crédito, quando aplicável.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Etapa 5 — Pós-venda: acompanhamento de ativação e satisfação nos primeiros 90 dias.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2.2. Política de Precificação e Descontos</w:t>
      </w:r>
    </w:p>
    <w:p>
      <w:pPr>
        <w:spacing w:after="160"/>
      </w:pPr>
      <w:r>
        <w:rPr>
          <w:sz w:val="21"/>
          <w:szCs w:val="21"/>
        </w:rPr>
        <w:t xml:space="preserve">As tabelas de tarifas e taxas praticadas são definidas centralmente pela Diretoria de Produtos. Consultores e Gerentes podem conceder descontos apenas dentro das faixas de alçada abaixo, sempre registrados no CRM com justificativa.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300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Alçada de Desconto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Aprovação Necessária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Consultor de Vendas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10% sobre tarifas padrão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Automática, dentro da faixa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Gerente de Relacionamento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25% sobre tarifas padrão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Coordenador Comercial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Acima de 25%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Caso a caso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Diretoria Comercial + Diretoria Financeira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3. Compliance Comercial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3.1. Venda Consciente e Vedação a Venda Casada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É proibida a chamada "venda casada", ou seja, condicionar a contratação de um produto à contratação obrigatória de outro.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Produtos de crédito só podem ser ofertados após verificação de capacidade de pagamento do cliente, conforme política de crédito responsável.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Todo material de divulgação comercial deve ser previamente validado pela área de Compliance e Marketing antes de veiculação.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3.2. Prevenção à Lavagem de Dinheiro na Prospecção</w:t>
      </w:r>
    </w:p>
    <w:p>
      <w:pPr>
        <w:spacing w:after="160"/>
      </w:pPr>
      <w:r>
        <w:rPr>
          <w:sz w:val="21"/>
          <w:szCs w:val="21"/>
        </w:rPr>
        <w:t xml:space="preserve">Consultores e Gerentes de Relacionamento realizam treinamento obrigatório anual de PLD/FT e devem reportar imediatamente à área de Prevenção a Fraudes qualquer indício de operação atípica identificado durante a prospecção ou o relacionamento com o cliente.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3.3. Uso de Dados de Clientes em Ações Comerciais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Campanhas de prospecção ativa só podem utilizar dados de clientes com base legal documentada (consentimento ou legítimo interesse registrado).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É vedado o compartilhamento de listas de clientes com parceiros externos sem validação prévia da área de Proteção de Dados.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Clientes que exercerem o direito de opt-out de comunicações comerciais devem ser excluídos de novas campanhas em até 5 dias úteis.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4. Relacionamento com o Cliente</w:t>
      </w:r>
    </w:p>
    <w:p>
      <w:pPr>
        <w:spacing w:after="160"/>
      </w:pPr>
      <w:r>
        <w:rPr>
          <w:sz w:val="21"/>
          <w:szCs w:val="21"/>
        </w:rPr>
        <w:t xml:space="preserve">Reclamações e solicitações que não puderem ser resolvidas diretamente pelo time comercial devem ser encaminhadas à Ouvidoria, que atua de forma independente das áreas de negócio e possui prazo de resposta de até 10 dias úteis, conforme normativo do Banco Central.</w:t>
      </w:r>
    </w:p>
    <w:p>
      <w:pPr>
        <w:spacing w:after="160"/>
      </w:pPr>
      <w:r>
        <w:rPr>
          <w:sz w:val="21"/>
          <w:szCs w:val="21"/>
        </w:rPr>
        <w:t xml:space="preserve">É vedado ao time comercial orientar o cliente a desistir de uma reclamação registrada ou a evitar o canal de Ouvidoria.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5. Glossário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CRM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Sistema de gestão de relacionamento com o cliente utilizado para registrar toda a jornada comercial.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Alçada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Limite de autonomia atribuído a um cargo para aprovar condições comerciais ou descontos.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Opt-out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Solicitação do cliente para deixar de receber comunicações comerciais.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 Casada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Prática vedada de condicionar a venda de um produto à contratação de outro.</w:t>
            </w:r>
          </w:p>
        </w:tc>
      </w:tr>
    </w:tbl>
    <w:p>
      <w:pPr>
        <w:spacing w:after="100" w:before="300"/>
      </w:pPr>
      <w:r>
        <w:rPr>
          <w:i/>
          <w:iCs/>
          <w:color w:val="444444"/>
          <w:sz w:val="18"/>
          <w:szCs w:val="18"/>
        </w:rPr>
        <w:t xml:space="preserve">Este documento é de propriedade do Banco Aurum Digital S.A. A reprodução ou divulgação externa sem autorização prévia da Diretoria de Governança é proibida.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2026-08-09T15:20:37.991Z</dcterms:created>
  <dcterms:modified xsi:type="dcterms:W3CDTF">2026-08-09T15:20:37.991Z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