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2A4A"/>
          <w:sz w:val="30"/>
          <w:szCs w:val="30"/>
        </w:rPr>
        <w:t xml:space="preserve">BANCO Aurum DIGITAL S.A.</w:t>
      </w:r>
    </w:p>
    <w:p>
      <w:pPr>
        <w:spacing w:after="80"/>
        <w:jc w:val="center"/>
      </w:pPr>
      <w:r>
        <w:rPr>
          <w:b/>
          <w:bCs/>
          <w:color w:val="1B2A4A"/>
          <w:sz w:val="26"/>
          <w:szCs w:val="26"/>
        </w:rPr>
        <w:t xml:space="preserve">Manual de Compliance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Programa de Integridade, PLD/FT, Sanções e Gestão de Terceiros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40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Código do Documento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MAN-CMP-001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Última Atualização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Agosto de 2026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Responsável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Diretoria de Compliance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Aplicabilidade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colaboradores, com aprofundamento para as áreas de Compliance, Jurídico, Comercial e Crédito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4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 Interno — Confidencial</w:t>
            </w:r>
          </w:p>
        </w:tc>
      </w:tr>
    </w:tbl>
    <w:p>
      <w:pPr>
        <w:spacing w:after="100" w:before="300"/>
      </w:pPr>
      <w:r>
        <w:rPr>
          <w:i/>
          <w:iCs/>
          <w:color w:val="444444"/>
          <w:sz w:val="18"/>
          <w:szCs w:val="18"/>
        </w:rPr>
        <w:t xml:space="preserve">Este documento é de propriedade do Banco Aurum Digital S.A. A reprodução ou divulgação externa sem autorização prévia da Diretoria de Governança é proibida.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1. Apresentação da Área</w:t>
      </w:r>
    </w:p>
    <w:p>
      <w:pPr>
        <w:spacing w:after="160"/>
      </w:pPr>
      <w:r>
        <w:rPr>
          <w:sz w:val="21"/>
          <w:szCs w:val="21"/>
        </w:rPr>
        <w:t xml:space="preserve">Este manual complementa a Seção 3 do Manual Institucional, detalhando os processos, papéis e controles do Programa de Integridade do Banco Aurum Digital. A Diretoria de Compliance reporta-se diretamente ao Comitê de Auditoria, garantindo independência em relação às áreas de negócio.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2. Programa de Integridade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2.1. Estrutura e Papéis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00"/>
      </w:tblGrid>
      <w:tr>
        <w:trPr>
          <w:tblHeader/>
        </w:trPr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5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 Principal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Diretor de Compliance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Responde pelo Programa de Integridade perante a Diretoria Executiva e o Conselho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Comitê de Ética e Conduta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Julga violações ao Código de Conduta e recomenda medidas disciplinares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Analistas de PLD/FT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Monitoram transações e conduzem due diligence de clientes de maior risco</w:t>
            </w:r>
          </w:p>
        </w:tc>
      </w:tr>
      <w:tr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Encarregado de Proteção de Dados (DPO)</w:t>
            </w:r>
          </w:p>
        </w:tc>
        <w:tc>
          <w:tcPr>
            <w:tcW w:type="dxa" w:w="5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Ponto de contato formal com a ANPD e supervisão do tratamento de dados pessoais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2.2. Avaliação de Risco de Integridade</w:t>
      </w:r>
    </w:p>
    <w:p>
      <w:pPr>
        <w:spacing w:after="160"/>
      </w:pPr>
      <w:r>
        <w:rPr>
          <w:sz w:val="21"/>
          <w:szCs w:val="21"/>
        </w:rPr>
        <w:t xml:space="preserve">O Banco Aurum Digital realiza avaliação de risco de integridade (risk assessment) anualmente, mapeando áreas mais expostas a fraude, corrupção e conflito de interesses, com planos de ação específicos revisados trimestralmente pelo Comitê de Auditoria.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3. Prevenção à Lavagem de Dinheiro e Financiamento ao Terrorismo (PLD/FT)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3.1. Conheça Seu Cliente (KYC)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Toda abertura de conta exige verificação de identidade, comprovação de endereço e classificação de risco (baixo, médio, alto) do cliente.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Clientes classificados como Pessoas Expostas Politicamente (PEP) recebem tratamento de due diligence reforçada (Enhanced Due Diligence), incluindo aprovação de gestor sênior de Compliance.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reclassificação de risco do cliente é revisada periodicamente, com frequência maior para clientes de risco alto (anual) do que para risco baixo (a cada 5 anos).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3.2. Monitoramento de Transações</w:t>
      </w:r>
    </w:p>
    <w:p>
      <w:pPr>
        <w:spacing w:after="160"/>
      </w:pPr>
      <w:r>
        <w:rPr>
          <w:sz w:val="21"/>
          <w:szCs w:val="21"/>
        </w:rPr>
        <w:t xml:space="preserve">Transações são monitoradas por sistema automatizado de detecção de padrões atípicos, que gera alertas analisados pela equipe de PLD/FT dentro de prazos internos definidos por criticidade.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20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 de Alerta</w:t>
            </w:r>
          </w:p>
        </w:tc>
        <w:tc>
          <w:tcPr>
            <w:tcW w:type="dxa" w:w="5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Prazo de Análise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Crítico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Padrão compatível com fracionamento para evitar reporte (smurfing)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24 horas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type="dxa" w:w="5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Movimentação incompatível com perfil declarado do cliente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3 dias úteis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Padrão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Alteração cadastral seguida de grande movimentação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Até 10 dias úteis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sz w:val="21"/>
          <w:szCs w:val="21"/>
        </w:rPr>
        <w:t xml:space="preserve">Operações que, após análise, forem consideradas suspeitas são comunicadas ao COAF nos prazos legais, sem qualquer comunicação ao cliente envolvido, conforme determina a Lei nº 9.613/1998.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4. Sanções e Listas Restritivas</w:t>
      </w:r>
    </w:p>
    <w:p>
      <w:pPr>
        <w:spacing w:after="160"/>
      </w:pPr>
      <w:r>
        <w:rPr>
          <w:sz w:val="21"/>
          <w:szCs w:val="21"/>
        </w:rPr>
        <w:t xml:space="preserve">Antes da formalização de qualquer relacionamento — com clientes, fornecedores ou parceiros — é obrigatória a checagem contra listas restritivas nacionais e internacionais.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Listas verificadas incluem, entre outras, a Lista de Sanções da ONU, listas do OFAC (Office of Foreign Assets Control) e a Lista Nacional de Pessoas Envolvidas com Terrorismo do Ministério da Justiça.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Qualquer correspondência (match) com listas restritivas bloqueia automaticamente a formalização do relacionamento até análise manual da equipe de Compliance.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checagem contra listas restritivas é refeita periodicamente para toda a base de clientes ativos, não apenas no momento da entrada.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5. Gestão de Terceiros e Fornecedores</w:t>
      </w:r>
    </w:p>
    <w:p>
      <w:pPr>
        <w:pStyle w:val="Heading2"/>
        <w:spacing w:after="150" w:before="300"/>
      </w:pPr>
      <w:r>
        <w:rPr>
          <w:b/>
          <w:bCs/>
          <w:color w:val="1B2A4A"/>
        </w:rPr>
        <w:t xml:space="preserve">5.1. Due Diligence de Fornecedores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Fornecedores com contratos acima de R$ 100.000,00/ano passam por due diligence de integridade antes da contratação, incluindo checagem de listas restritivas e histórico de litígios.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Contratos com fornecedores devem incluir cláusula anticorrupção e cláusula de auditoria, conforme padrão jurídico do banco.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Fornecedores que tratam dados pessoais de clientes em nome do banco (operadores de dados, nos termos da LGPD) são submetidos a avaliação de segurança da informação antes da contratação.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6. Canal de Denúncias e Investigações</w:t>
      </w:r>
    </w:p>
    <w:p>
      <w:pPr>
        <w:spacing w:after="160"/>
      </w:pPr>
      <w:r>
        <w:rPr>
          <w:sz w:val="21"/>
          <w:szCs w:val="21"/>
        </w:rPr>
        <w:t xml:space="preserve">O Canal de Denúncias (Ouvidoria de Ética), operado por empresa terceira independente, recebe relatos de violações ao Código de Conduta e a este Manual de Compliance, garantindo anonimato e vedando qualquer forma de retaliação.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Denúncias envolvendo membros da Diretoria são encaminhadas diretamente ao Comitê de Auditoria, sem intermediação da Diretoria de Compliance.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Toda denúncia recebe um número de protocolo e retorno sobre o andamento em até 30 dias, mesmo quando a investigação segue em curso.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7. Auditoria e Testes de Efetividade</w:t>
      </w:r>
    </w:p>
    <w:p>
      <w:pPr>
        <w:spacing w:after="160"/>
      </w:pPr>
      <w:r>
        <w:rPr>
          <w:sz w:val="21"/>
          <w:szCs w:val="21"/>
        </w:rPr>
        <w:t xml:space="preserve">A área de Auditoria Interna realiza testes periódicos de efetividade dos controles de Compliance, incluindo testes de aderência ao processo de KYC, simulações de alertas de PLD/FT e revisão de amostras de aprovações de crédito e despesas.</w:t>
      </w:r>
    </w:p>
    <w:p>
      <w:pPr>
        <w:spacing w:after="160"/>
      </w:pPr>
      <w:r>
        <w:rPr>
          <w:sz w:val="21"/>
          <w:szCs w:val="21"/>
        </w:rPr>
        <w:t xml:space="preserve">Resultados de auditoria com apontamentos críticos são reportados diretamente ao Comitê de Auditoria, com plano de ação obrigatório e prazo de remediação acompanhado mensalmente.</w:t>
      </w:r>
    </w:p>
    <w:p>
      <w:pPr>
        <w:pStyle w:val="Heading1"/>
        <w:spacing w:after="200" w:before="400"/>
      </w:pPr>
      <w:r>
        <w:rPr>
          <w:b/>
          <w:bCs/>
          <w:color w:val="1B2A4A"/>
        </w:rPr>
        <w:t xml:space="preserve">8. Glossário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PEP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Pessoa Exposta Politicamente — cliente que exerce ou exerceu cargo público relevante, sujeito a due diligence reforçada.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Enhanced Due Diligence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Processo reforçado de verificação aplicado a clientes ou terceiros de maior risco.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Smurfing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Técnica de fracionar transações em valores menores para evitar limites de reporte regulatório.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OFAC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Office of Foreign Assets Control — órgão do Tesouro dos EUA responsável por listas de sanções internacionais.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Operador de Dados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Nos termos da LGPD, terceiro que trata dados pessoais em nome do controlador (o banco).</w:t>
            </w:r>
          </w:p>
        </w:tc>
      </w:tr>
    </w:tbl>
    <w:p>
      <w:pPr>
        <w:spacing w:after="100" w:before="300"/>
      </w:pPr>
      <w:r>
        <w:rPr>
          <w:i/>
          <w:iCs/>
          <w:color w:val="444444"/>
          <w:sz w:val="18"/>
          <w:szCs w:val="18"/>
        </w:rPr>
        <w:t xml:space="preserve">Este documento é de propriedade do Banco Aurum Digital S.A. A reprodução ou divulgação externa sem autorização prévia da Diretoria de Governança é proibida.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2026-08-09T15:20:39.374Z</dcterms:created>
  <dcterms:modified xsi:type="dcterms:W3CDTF">2026-08-09T15:20:39.374Z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