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30"/>
          <w:szCs w:val="30"/>
        </w:rPr>
        <w:t xml:space="preserve">BANCO Aurum DIGITAL S.A.</w:t>
      </w:r>
    </w:p>
    <w:p>
      <w:pPr>
        <w:spacing w:after="80"/>
        <w:jc w:val="center"/>
      </w:pPr>
      <w:r>
        <w:rPr>
          <w:b/>
          <w:bCs/>
          <w:color w:val="1B2A4A"/>
          <w:sz w:val="26"/>
          <w:szCs w:val="26"/>
        </w:rPr>
        <w:t xml:space="preserve">Manual da Área Financeira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Orçamento, Despesas Corporativas, Tesouraria e Reporte Regulatório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MAN-FIN-001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Responsável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Diretoria Financeira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Aplicabilidade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Colaboradores das áreas de Controladoria, Tesouraria, FP&amp;A e gestores orçamentários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Interno — Confidencial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Apresentação da Área Financeira</w:t>
      </w:r>
    </w:p>
    <w:p>
      <w:pPr>
        <w:spacing w:after="160"/>
      </w:pPr>
      <w:r>
        <w:rPr>
          <w:sz w:val="21"/>
          <w:szCs w:val="21"/>
        </w:rPr>
        <w:t xml:space="preserve">A Diretoria Financeira do Banco Aurum Digital é responsável pela gestão do orçamento corporativo, controladoria, tesouraria e pelo cumprimento das obrigações regulatórias de natureza financeira e prudencial junto ao Banco Central do Brasil.</w:t>
      </w:r>
    </w:p>
    <w:p>
      <w:pPr>
        <w:spacing w:after="160"/>
      </w:pPr>
      <w:r>
        <w:rPr>
          <w:sz w:val="21"/>
          <w:szCs w:val="21"/>
        </w:rPr>
        <w:t xml:space="preserve">A área está organizada em três frentes: Controladoria (contabilidade e reporte), Tesouraria (gestão de caixa e liquidez) e FP&amp;A — Financial Planning &amp; Analysis (orçamento e projeções).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Processo Orçamentário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2.1. Ciclo Orçamentário 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 orçamento anual é construído entre setembro e novembro do ano anterior, com aprovação final pelo Conselho de Administração.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Revisões orçamentárias trimestrais (forecasts) ajustam projeções conforme desempenho realizado, sem alterar o teto orçamentário aprovado sem validação da Diretoria Financeira.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Cada diretoria possui um gestor orçamentário responsável por acompanhar a execução mensal do seu centro de custo.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2.2. Alçadas de Aprovação de Despesas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da Despesa</w:t>
            </w:r>
          </w:p>
        </w:tc>
        <w:tc>
          <w:tcPr>
            <w:tcW w:type="dxa" w:w="5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Aprovador Necessário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R$ 5.000,00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Gestor direto da área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 R$ 5.000,01 a R$ 50.000,00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 da área + Controladoria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 R$ 50.000,01 a R$ 500.000,00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Diretoria Financeira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Acima de R$ 500.000,00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Diretoria Executiva (Comitê de Investimentos)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Política de Despesas e Reembolsos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3.1. Despesas Reembolsáveis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Despesas de viagem a trabalho, alimentação em contexto de reunião externa e materiais necessários à função são reembolsáveis mediante nota fiscal.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Solicitações de reembolso devem ser registradas no sistema corporativo em até 30 dias corridos após a data da despesa.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Despesas sem comprovante fiscal válido não são reembolsáveis, salvo exceções documentadas e aprovadas pela Controladoria.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3.2. Política de Viagens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8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 Aérea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Hospedagem (limite/diária)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Analistas e Coordenadores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Econômica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R$ 450,00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Gerentes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Econômica (Executiva acima de 6h de voo)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R$ 650,00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Diretoria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Executiva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R$ 900,00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Viagens internacionais exigem aprovação prévia da Diretoria Financeira, independentemente da categoria do colaborador, e devem ser registradas no sistema de gestão de viagens corporativas com no mínimo 10 dias úteis de antecedência.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Gestão de Tesouraria</w:t>
      </w:r>
    </w:p>
    <w:p>
      <w:pPr>
        <w:spacing w:after="160"/>
      </w:pPr>
      <w:r>
        <w:rPr>
          <w:sz w:val="21"/>
          <w:szCs w:val="21"/>
        </w:rPr>
        <w:t xml:space="preserve">A Tesouraria é responsável pela gestão de caixa, liquidez e captação do Banco Aurum Digital, operando dentro dos limites de exposição a risco de mercado definidos pelo Comitê de Riscos.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 caixa mínimo regulatório é monitorado diariamente e reportado ao Banco Central conforme cronograma definido pela regulamentação prudencial.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Operações de tesouraria estão sujeitas a limites de alçada e a segregação de funções entre mesa de operações (front office) e controle de risco (middle office).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Colaboradores da Tesouraria estão sujeitos às políticas de blackout period para negociação de ativos financeiros pessoais, conforme Código de Conduta.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Reporte Regulatório</w:t>
      </w:r>
    </w:p>
    <w:p>
      <w:pPr>
        <w:spacing w:after="160"/>
      </w:pPr>
      <w:r>
        <w:rPr>
          <w:sz w:val="21"/>
          <w:szCs w:val="21"/>
        </w:rPr>
        <w:t xml:space="preserve">Como instituição financeira do Segmento S2 junto ao Banco Central, o Banco Aurum Digital está sujeito a um calendário extenso de obrigações de reporte prudencial e contábil, cujo cumprimento é de responsabilidade da Controladoria em conjunto com a área de Compliance.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8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Obrigação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Periodicidade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Demonstrações Financeiras Padronizadas (DFP)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Anual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Controladoria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Informações Financeiras Trimestrais (IFT)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Trimestral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Controladoria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 de Índice de Basileia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Tesouraria / Gestão de Riscos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Relatório de Gestão de Riscos (RGR)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Anual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Diretoria de Riscos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6. Glossário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FP&amp;A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Planning &amp; Analysis — planejamento e análise financeira.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Revisão de projeção orçamentária realizada periodicamente ao longo do ano.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 office / Middle office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Segregação entre a área que executa operações financeiras e a que controla os riscos associados.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Índice de Basileia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Indicador prudencial que mede a solidez de capital de uma instituição financeira.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2026-08-09T15:20:39.178Z</dcterms:created>
  <dcterms:modified xsi:type="dcterms:W3CDTF">2026-08-09T15:20:39.178Z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