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50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B08D57"/>
          <w:sz w:val="30"/>
          <w:szCs w:val="30"/>
        </w:rPr>
        <w:t xml:space="preserve">BANCO </w:t>
      </w:r>
      <w:r>
        <w:rPr>
          <w:b/>
          <w:bCs/>
          <w:color w:val="B08D57"/>
          <w:sz w:val="30"/>
          <w:szCs w:val="30"/>
        </w:rPr>
        <w:t>Aurum</w:t>
      </w:r>
      <w:r>
        <w:rPr>
          <w:b/>
          <w:bCs/>
          <w:color w:val="B08D57"/>
          <w:sz w:val="30"/>
          <w:szCs w:val="30"/>
        </w:rPr>
        <w:t xml:space="preserve"> DIGITAL S.A.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0B2545"/>
          <w:sz w:val="50"/>
          <w:szCs w:val="50"/>
        </w:rPr>
        <w:t>Manual Institucional e Normas Internas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jc w:val="center"/>
        <w:rPr/>
      </w:pPr>
      <w:r>
        <w:rPr>
          <w:i/>
          <w:iCs/>
          <w:color w:val="444444"/>
          <w:sz w:val="24"/>
          <w:szCs w:val="24"/>
        </w:rPr>
        <w:t>Quem Somos, Como Trabalhamos e o que Rege a Nossa Atuação</w:t>
      </w:r>
    </w:p>
    <w:p>
      <w:pPr>
        <w:pStyle w:val="Normal"/>
        <w:spacing w:before="0" w:after="1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600"/>
        <w:gridCol w:w="6749"/>
      </w:tblGrid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Código do Documento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MAN-INST-001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Versão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1.0.0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Última Atualização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Agosto de 2026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Área Responsável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Governança Corporativa / Compliance / Recursos Humanos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Aplicabilidade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Todos os colaboradores, estagiários e prestadores de serviço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Classificação</w:t>
            </w:r>
          </w:p>
        </w:tc>
        <w:tc>
          <w:tcPr>
            <w:tcW w:w="6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Uso Interno — Confidencial</w:t>
            </w:r>
          </w:p>
        </w:tc>
      </w:tr>
    </w:tbl>
    <w:p>
      <w:pPr>
        <w:pStyle w:val="Normal"/>
        <w:spacing w:before="0" w:after="1400"/>
        <w:rPr/>
      </w:pPr>
      <w:r>
        <w:rPr/>
      </w:r>
    </w:p>
    <w:p>
      <w:pPr>
        <w:pStyle w:val="Normal"/>
        <w:jc w:val="center"/>
        <w:rPr/>
      </w:pPr>
      <w:r>
        <w:rPr>
          <w:i/>
          <w:iCs/>
          <w:color w:val="888888"/>
          <w:sz w:val="18"/>
          <w:szCs w:val="18"/>
        </w:rPr>
        <w:t>Este documento é de propriedade do Banco Aurum Digital S.A. A reprodução ou divulgação externa sem autorização prévia da Diretoria de Governança é proibida.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B08D57"/>
        </w:pBdr>
        <w:spacing w:before="0" w:after="240"/>
        <w:rPr/>
      </w:pPr>
      <w:r>
        <w:rPr>
          <w:b/>
          <w:bCs/>
          <w:color w:val="0B2545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sdt>
            <w:sdtPr>
              <w:alias w:val="Sumário"/>
              <w:text/>
            </w:sdtPr>
            <w:sdtContent>
              <w:r>
                <w:rPr/>
              </w:r>
              <w:r>
                <w:rPr/>
              </w:r>
            </w:sdtContent>
          </w:sdt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B08D57"/>
        </w:pBdr>
        <w:spacing w:before="480" w:after="240"/>
        <w:rPr/>
      </w:pPr>
      <w:r>
        <w:rPr>
          <w:b/>
          <w:bCs/>
          <w:color w:val="0B2545"/>
        </w:rPr>
        <w:t>1. Apresentação Institucional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1.1. Quem Somos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O Banco Aurum Digital S.A. é uma instituição financeira múltipla, autorizada a funcionar pelo Banco Central do Brasil (BACEN), com atuação em contas correntes, meios de pagamento, crédito pessoal e empresarial, e câmbio. Combinamos a solidez de um banco tradicional com a agilidade de uma operação nativamente digital.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Fundado como banco digital em 2014 e convertido em banco múltiplo em 2019, o Aurum Digital atende hoje pessoas físicas e jurídicas em todo o território nacional, com sede em São Paulo/SP e escritórios regionais em Recife, Belo Horizonte e Porto Alegre.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1.2. Missão, Visão e Valores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00"/>
        <w:gridCol w:w="7149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Missão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Simplificar o acesso a serviços financeiros seguros, transparentes e justos para pessoas e empresas em todo o Brasil.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Visão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Ser reconhecido, até 2030, como a instituição financeira mais confiável do país em proteção de dados e transparência ao cliente.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Valores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Integridade acima de resultado; Cliente no centro das decisões; Simplicidade como princípio de design; Responsabilidade com o dinheiro de terceiros; Diversidade como vantagem competitiva.</w:t>
            </w:r>
          </w:p>
        </w:tc>
      </w:tr>
    </w:tbl>
    <w:p>
      <w:pPr>
        <w:pStyle w:val="Heading2"/>
        <w:spacing w:before="320" w:after="160"/>
        <w:rPr/>
      </w:pPr>
      <w:r>
        <w:rPr>
          <w:b/>
          <w:bCs/>
          <w:color w:val="0B2545"/>
        </w:rPr>
        <w:t>1.3. Linha do Tempo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00"/>
        <w:gridCol w:w="3099"/>
        <w:gridCol w:w="3151"/>
      </w:tblGrid>
      <w:tr>
        <w:trPr>
          <w:tblHeader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Ano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Marco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Relevância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2014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Fundação como fintech de contas digitais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Início da operação sob autorização de instituição de pagamento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2019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Conversão em banco múltiplo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Autorização do BACEN para operar crédito e câmbio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2021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Adesão ao Pix e Open Finance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Ampliação de portabilidade e interoperabilidade de dados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2023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Certificação PCI-DSS nível 1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Elevação do padrão de segurança em operações com cartão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2025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Criação da Diretoria de Proteção de Dados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Estrutura dedicada à governança de dados e IA</w:t>
            </w:r>
          </w:p>
        </w:tc>
      </w:tr>
    </w:tbl>
    <w:p>
      <w:pPr>
        <w:pStyle w:val="Heading2"/>
        <w:spacing w:before="320" w:after="160"/>
        <w:rPr/>
      </w:pPr>
      <w:r>
        <w:rPr>
          <w:b/>
          <w:bCs/>
          <w:color w:val="0B2545"/>
        </w:rPr>
        <w:t>1.4. Estrutura Organizacional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A governança do Banco Aurum Digital é organizada em três níveis: Conselho de Administração, Diretoria Executiva e Comitês Estatutários. Essa estrutura assegura segregação de funções entre estratégia, execução e controle, conforme exigido pela regulamentação do BACEN para instituições de grande porte (Segmento S2).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00"/>
        <w:gridCol w:w="3099"/>
        <w:gridCol w:w="3151"/>
      </w:tblGrid>
      <w:tr>
        <w:trPr>
          <w:tblHeader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Composição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Principal Atribuição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Conselho de Administração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7 membros, sendo 3 independentes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Definição de estratégia e supervisão de riscos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Diretoria Executiva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CEO e 8 diretores estatutários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Execução da estratégia e gestão do dia a dia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Comitê de Auditoria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3 membros independentes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Supervisão de controles internos e auditoria externa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Comitê de Riscos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Diretores e especialistas externos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Gestão de riscos de crédito, mercado, operacional e cibernético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Comitê de Ética e Conduta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RH, Jurídico e Compliance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Julgamento de casos de violação ao Código de Conduta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B08D57"/>
        </w:pBdr>
        <w:spacing w:before="480" w:after="240"/>
        <w:rPr/>
      </w:pPr>
      <w:r>
        <w:rPr>
          <w:b/>
          <w:bCs/>
          <w:color w:val="0B2545"/>
        </w:rPr>
        <w:t>2. Código de Conduta e Ética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2.1. Princípios Gerais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Todo colaborador do Banco Aurum Digital, independentemente do nível hierárquico, deve agir com integridade, honestidade e respeito nas relações internas e externas. O Código de Conduta é de adesão obrigatória e sua violação está sujeita às medidas disciplinares descritas na Seção 7.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2.2. Conflito de Interesses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sz w:val="22"/>
          <w:szCs w:val="22"/>
        </w:rPr>
        <w:t>É vedado ao colaborador participar de decisões que envolvam empresas ou pessoas com as quais mantenha relação pessoal ou financeira relevante, sem prévia declaração ao gestor e à Compliance.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Investimentos pessoais em produtos financeiros de concorrentes diretos devem ser declarados anualmente à área de Compliance.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Colaboradores das áreas de crédito, tesouraria e produtos estão sujeitos a políticas adicionais de "blackout period" para negociação de ativos.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2.3. Presentes, Brindes e Hospitalidade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Presentes de valor superior a R$ 200,00 recebidos de fornecedores, clientes ou parceiros devem ser recusados ou, quando isso não for possível por razões de etiqueta, registrados junto à Compliance e, quando aplicável, doados a instituições beneficentes.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2.4. Canal de Denúncias (Ouvidoria de Ética)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O Banco Aurum Digital mantém canal de denúncias independente, operado por empresa terceira, disponível 24 horas por dia, que garante anonimato e veda expressamente qualquer forma de retaliação contra quem denuncia de boa-fé. Denúncias envolvendo membros da Diretoria são encaminhadas diretamente ao Comitê de Auditoria.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B08D57"/>
        </w:pBdr>
        <w:spacing w:before="480" w:after="240"/>
        <w:rPr/>
      </w:pPr>
      <w:r>
        <w:rPr>
          <w:b/>
          <w:bCs/>
          <w:color w:val="0B2545"/>
        </w:rPr>
        <w:t>3. Compliance e Conformidade Regulatória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Como instituição financeira autorizada pelo Banco Central, o Aurum Digital está sujeito a um conjunto amplo de normas. Esta seção resume as principais obrigações regulatórias e como elas se traduzem em processos internos.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3.1. Prevenção à Lavagem de Dinheiro e ao Financiamento do Terrorismo (PLD/FT)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Em conformidade com a Lei nº 9.613/1998 e as normas do BACEN sobre PLD/FT, mantemos processos estruturados de conhecimento do cliente (KYC), monitoramento contínuo de transações e comunicação de operações suspeitas ao COAF, sempre que aplicável.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Toda nova conta é submetida a verificação de identidade e análise de risco antes da liberação de movimentação.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Transações atípicas geram alertas automáticos para análise da área de Prevenção a Fraudes e Crimes Financeiros.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Colaboradores das áreas comercial e de atendimento realizam treinamento obrigatório anual de PLD/FT.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3.2. Proteção de Dados Pessoais (LGPD)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A Lei Geral de Proteção de Dados (Lei nº 13.709/2018) orienta toda a coleta, tratamento e armazenamento de dados de clientes e colaboradores. O Banco Aurum Digital mantém um Encarregado de Proteção de Dados (DPO) formalmente designado junto à Autoridade Nacional de Proteção de Dados (ANPD).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Dados pessoais só podem ser tratados com base legal definida (execução de contrato, obrigação legal ou legítimo interesse documentado).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Solicitações de titulares (acesso, correção, exclusão) devem ser respondidas em até 15 dias, conforme prazo interno mais restritivo que o legal.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Qualquer incidente de segurança envolvendo dados pessoais deve ser reportado à Diretoria de Proteção de Dados em até 2 horas após identificação.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3.3. Segurança Cibernética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Em linha com a Resolução CMN nº 4.893/2021, que trata da política de segurança cibernética de instituições financeiras, o Banco Aurum Digital mantém política formal de segurança da informação, plano de resposta a incidentes e testes periódicos de continuidade de negócios.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3.4. Segurança de Dados de Cartões (PCI-DSS)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Todas as operações que envolvem dados de cartão seguem o padrão PCI-DSS (Payment Card Industry Data Security Standard), com segregação de ambientes, criptografia de dados sensíveis e auditorias anuais de certificação por entidade credenciada.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3.5. Relacionamento com o Cliente e Ouvidoria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Conforme a Resolução CMN nº 4.860/2020, o Banco Aurum Digital mantém Ouvidoria própria, independente das áreas de negócio, responsável por mediar demandas não solucionadas pelos canais de atendimento tradicionais em até 10 dias úteis.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B08D57"/>
        </w:pBdr>
        <w:spacing w:before="480" w:after="240"/>
        <w:rPr/>
      </w:pPr>
      <w:r>
        <w:rPr>
          <w:b/>
          <w:bCs/>
          <w:color w:val="0B2545"/>
        </w:rPr>
        <w:t>4. Políticas de Recursos Humanos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4.1. Jornada e Modelo de Trabalho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Modelo híbrido padrão: mínimo de 2 dias presenciais por semana para áreas administrativas, definidos por cada diretoria.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Jornada de 40 horas semanais, com banco de horas para compensação de eventuais extrapolações.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Áreas de atendimento e operações críticas seguem escalas específicas, publicadas com no mínimo 15 dias de antecedência.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4.2. Diversidade, Equidade e Inclusão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O Banco Aurum Digital mantém metas públicas de diversidade em cargos de liderança e veda expressamente qualquer forma de discriminação por gênero, raça, orientação sexual, religião, deficiência ou origem. Denúncias de discriminação são tratadas com prioridade máxima pelo Comitê de Ética.</w:t>
      </w:r>
    </w:p>
    <w:p>
      <w:pPr>
        <w:pStyle w:val="Heading2"/>
        <w:spacing w:before="320" w:after="160"/>
        <w:rPr/>
      </w:pPr>
      <w:r>
        <w:rPr>
          <w:b/>
          <w:bCs/>
          <w:color w:val="0B2545"/>
        </w:rPr>
        <w:t>4.3. Segurança da Informação para Colaboradores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Uso obrigatório de autenticação multifator em todos os sistemas corporativos.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Proibido o uso de dispositivos pessoais não homologados para acesso a sistemas que contenham dados de clientes.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Compartilhamento de credenciais de acesso é falta grave, independentemente da intenção.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B08D57"/>
        </w:pBdr>
        <w:spacing w:before="480" w:after="240"/>
        <w:rPr/>
      </w:pPr>
      <w:r>
        <w:rPr>
          <w:b/>
          <w:bCs/>
          <w:color w:val="0B2545"/>
        </w:rPr>
        <w:t>5. Medidas Disciplinares</w:t>
      </w:r>
    </w:p>
    <w:p>
      <w:pPr>
        <w:pStyle w:val="Normal"/>
        <w:spacing w:lineRule="exact" w:line="276" w:before="0" w:after="160"/>
        <w:jc w:val="both"/>
        <w:rPr/>
      </w:pPr>
      <w:r>
        <w:rPr>
          <w:sz w:val="22"/>
          <w:szCs w:val="22"/>
        </w:rPr>
        <w:t>Violações ao Código de Conduta ou às políticas descritas neste Manual são apuradas pelo Comitê de Ética e Conduta, assegurado o direito de ampla defesa e contraditório ao colaborador envolvido.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00"/>
        <w:gridCol w:w="3099"/>
        <w:gridCol w:w="3151"/>
      </w:tblGrid>
      <w:tr>
        <w:trPr>
          <w:tblHeader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Gravidade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Exemplos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545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Consequência Típica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Leve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Atraso recorrente, não conclusão de treinamentos obrigatórios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Advertência verbal ou escrita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Conflito de interesses não declarado, uso indevido de recursos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Suspensão e registro formal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Grave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Fraude, vazamento de dados, assédio, violação de PLD/FT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Desligamento por justa causa e comunicação às autoridades competentes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B08D57"/>
        </w:pBdr>
        <w:spacing w:before="480" w:after="240"/>
        <w:rPr/>
      </w:pPr>
      <w:r>
        <w:rPr>
          <w:b/>
          <w:bCs/>
          <w:color w:val="0B2545"/>
        </w:rPr>
        <w:t>6. Glossário e Referências Regulatórias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00"/>
        <w:gridCol w:w="7149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BACEN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Banco Central do Brasil, autoridade responsável pela regulação e supervisão do sistema financeiro nacional.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COAF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Conselho de Controle de Atividades Financeiras, responsável por receber comunicações de operações suspeitas.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ANPD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Autoridade Nacional de Proteção de Dados, responsável pela fiscalização da LGPD.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KYC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Know Your Customer — processo de conhecimento e verificação da identidade do cliente.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PLD/FT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Prevenção à Lavagem de Dinheiro e ao Financiamento do Terrorismo.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0B2545"/>
                <w:sz w:val="20"/>
                <w:szCs w:val="20"/>
              </w:rPr>
              <w:t>DPO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 Protection Officer — Encarregado de Proteção de Dados, ponto de contato formal com a ANPD.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pBdr>
          <w:top w:val="single" w:sz="4" w:space="8" w:color="CCCCCC"/>
        </w:pBdr>
        <w:spacing w:before="200" w:after="0"/>
        <w:rPr/>
      </w:pPr>
      <w:r>
        <w:rPr>
          <w:i/>
          <w:iCs/>
          <w:color w:val="888888"/>
          <w:sz w:val="18"/>
          <w:szCs w:val="18"/>
        </w:rPr>
        <w:t>Este documento é de propriedade do Banco Aurum Digital S.A. A divulgação externa sem autorização prévia da Diretoria de Governança é proibida.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999999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color w:val="999999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999999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999999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999999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999999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jc w:val="right"/>
      <w:rPr/>
    </w:pPr>
    <w:r>
      <w:rPr>
        <w:color w:val="999999"/>
        <w:sz w:val="16"/>
        <w:szCs w:val="16"/>
      </w:rPr>
      <w:t>Banco Aurum Digital  |  Manual Institucional e Normas Internas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jc w:val="right"/>
      <w:rPr/>
    </w:pPr>
    <w:r>
      <w:rPr>
        <w:color w:val="999999"/>
        <w:sz w:val="16"/>
        <w:szCs w:val="16"/>
      </w:rPr>
      <w:t>Banco Aurum Digital  |  Manual Institucional e Normas Internas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LibreOffice/24.2.5.2$Windows_X86_64 LibreOffice_project/bffef4ea93e59bebbeaf7f431bb02b1a39ee8a59</Application>
  <AppVersion>15.0000</AppVersion>
  <Pages>7</Pages>
  <Words>1409</Words>
  <Characters>8197</Characters>
  <CharactersWithSpaces>9459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2026-08-03T00:44:11Z</dcterms:created>
  <dc:creator>Un-named</dc:creator>
  <dc:description/>
  <dc:language>pt-BR</dc:language>
  <cp:lastModifiedBy/>
  <dcterms:modified xsi:type="dcterms:W3CDTF">2026-08-03T17:39:51Z</dcterms:modified>
  <cp:revision>2</cp:revision>
  <dc:subject/>
  <dc:title/>
</cp:coreProperties>
</file>