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B2A4A"/>
          <w:sz w:val="30"/>
          <w:szCs w:val="30"/>
        </w:rPr>
        <w:t xml:space="preserve">BANCO Aurum DIGITAL S.A.</w:t>
      </w:r>
    </w:p>
    <w:p>
      <w:pPr>
        <w:spacing w:after="80"/>
        <w:jc w:val="center"/>
      </w:pPr>
      <w:r>
        <w:rPr>
          <w:b/>
          <w:bCs/>
          <w:color w:val="1B2A4A"/>
          <w:sz w:val="26"/>
          <w:szCs w:val="26"/>
        </w:rPr>
        <w:t xml:space="preserve">Manual de Recursos Humanos</w:t>
      </w:r>
    </w:p>
    <w:p>
      <w:pPr>
        <w:spacing w:after="300"/>
        <w:jc w:val="center"/>
      </w:pPr>
      <w:r>
        <w:rPr>
          <w:i/>
          <w:iCs/>
          <w:color w:val="444444"/>
          <w:sz w:val="22"/>
          <w:szCs w:val="22"/>
        </w:rPr>
        <w:t xml:space="preserve">Recrutamento, Benefícios, Desempenho e Ciclo de Vida do Colaborador</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3000"/>
        <w:gridCol w:w="6440"/>
      </w:tblGrid>
      <w:tr>
        <w:tc>
          <w:tcPr>
            <w:tcW w:type="dxa" w:w="3000"/>
            <w:shd w:fill="F2F2F2" w:val="clear"/>
            <w:tcMar>
              <w:top w:type="dxa" w:w="80"/>
              <w:left w:type="dxa" w:w="120"/>
              <w:bottom w:type="dxa" w:w="80"/>
              <w:right w:type="dxa" w:w="120"/>
            </w:tcMar>
          </w:tcPr>
          <w:p>
            <w:r>
              <w:rPr>
                <w:b/>
                <w:bCs/>
                <w:sz w:val="20"/>
                <w:szCs w:val="20"/>
              </w:rPr>
              <w:t xml:space="preserve">Código do Documento</w:t>
            </w:r>
          </w:p>
        </w:tc>
        <w:tc>
          <w:tcPr>
            <w:tcW w:type="dxa" w:w="6440"/>
            <w:tcMar>
              <w:top w:type="dxa" w:w="80"/>
              <w:left w:type="dxa" w:w="120"/>
              <w:bottom w:type="dxa" w:w="80"/>
              <w:right w:type="dxa" w:w="120"/>
            </w:tcMar>
          </w:tcPr>
          <w:p>
            <w:r>
              <w:rPr>
                <w:sz w:val="20"/>
                <w:szCs w:val="20"/>
              </w:rPr>
              <w:t xml:space="preserve">MAN-RH-001</w:t>
            </w:r>
          </w:p>
        </w:tc>
      </w:tr>
      <w:tr>
        <w:tc>
          <w:tcPr>
            <w:tcW w:type="dxa" w:w="3000"/>
            <w:shd w:fill="F2F2F2" w:val="clear"/>
            <w:tcMar>
              <w:top w:type="dxa" w:w="80"/>
              <w:left w:type="dxa" w:w="120"/>
              <w:bottom w:type="dxa" w:w="80"/>
              <w:right w:type="dxa" w:w="120"/>
            </w:tcMar>
          </w:tcPr>
          <w:p>
            <w:r>
              <w:rPr>
                <w:b/>
                <w:bCs/>
                <w:sz w:val="20"/>
                <w:szCs w:val="20"/>
              </w:rPr>
              <w:t xml:space="preserve">Versão</w:t>
            </w:r>
          </w:p>
        </w:tc>
        <w:tc>
          <w:tcPr>
            <w:tcW w:type="dxa" w:w="6440"/>
            <w:tcMar>
              <w:top w:type="dxa" w:w="80"/>
              <w:left w:type="dxa" w:w="120"/>
              <w:bottom w:type="dxa" w:w="80"/>
              <w:right w:type="dxa" w:w="120"/>
            </w:tcMar>
          </w:tcPr>
          <w:p>
            <w:r>
              <w:rPr>
                <w:sz w:val="20"/>
                <w:szCs w:val="20"/>
              </w:rPr>
              <w:t xml:space="preserve">1.0.0</w:t>
            </w:r>
          </w:p>
        </w:tc>
      </w:tr>
      <w:tr>
        <w:tc>
          <w:tcPr>
            <w:tcW w:type="dxa" w:w="3000"/>
            <w:shd w:fill="F2F2F2" w:val="clear"/>
            <w:tcMar>
              <w:top w:type="dxa" w:w="80"/>
              <w:left w:type="dxa" w:w="120"/>
              <w:bottom w:type="dxa" w:w="80"/>
              <w:right w:type="dxa" w:w="120"/>
            </w:tcMar>
          </w:tcPr>
          <w:p>
            <w:r>
              <w:rPr>
                <w:b/>
                <w:bCs/>
                <w:sz w:val="20"/>
                <w:szCs w:val="20"/>
              </w:rPr>
              <w:t xml:space="preserve">Última Atualização</w:t>
            </w:r>
          </w:p>
        </w:tc>
        <w:tc>
          <w:tcPr>
            <w:tcW w:type="dxa" w:w="6440"/>
            <w:tcMar>
              <w:top w:type="dxa" w:w="80"/>
              <w:left w:type="dxa" w:w="120"/>
              <w:bottom w:type="dxa" w:w="80"/>
              <w:right w:type="dxa" w:w="120"/>
            </w:tcMar>
          </w:tcPr>
          <w:p>
            <w:r>
              <w:rPr>
                <w:sz w:val="20"/>
                <w:szCs w:val="20"/>
              </w:rPr>
              <w:t xml:space="preserve">Agosto de 2026</w:t>
            </w:r>
          </w:p>
        </w:tc>
      </w:tr>
      <w:tr>
        <w:tc>
          <w:tcPr>
            <w:tcW w:type="dxa" w:w="3000"/>
            <w:shd w:fill="F2F2F2" w:val="clear"/>
            <w:tcMar>
              <w:top w:type="dxa" w:w="80"/>
              <w:left w:type="dxa" w:w="120"/>
              <w:bottom w:type="dxa" w:w="80"/>
              <w:right w:type="dxa" w:w="120"/>
            </w:tcMar>
          </w:tcPr>
          <w:p>
            <w:r>
              <w:rPr>
                <w:b/>
                <w:bCs/>
                <w:sz w:val="20"/>
                <w:szCs w:val="20"/>
              </w:rPr>
              <w:t xml:space="preserve">Área Responsável</w:t>
            </w:r>
          </w:p>
        </w:tc>
        <w:tc>
          <w:tcPr>
            <w:tcW w:type="dxa" w:w="6440"/>
            <w:tcMar>
              <w:top w:type="dxa" w:w="80"/>
              <w:left w:type="dxa" w:w="120"/>
              <w:bottom w:type="dxa" w:w="80"/>
              <w:right w:type="dxa" w:w="120"/>
            </w:tcMar>
          </w:tcPr>
          <w:p>
            <w:r>
              <w:rPr>
                <w:sz w:val="20"/>
                <w:szCs w:val="20"/>
              </w:rPr>
              <w:t xml:space="preserve">Diretoria de Gente e Cultura</w:t>
            </w:r>
          </w:p>
        </w:tc>
      </w:tr>
      <w:tr>
        <w:tc>
          <w:tcPr>
            <w:tcW w:type="dxa" w:w="3000"/>
            <w:shd w:fill="F2F2F2" w:val="clear"/>
            <w:tcMar>
              <w:top w:type="dxa" w:w="80"/>
              <w:left w:type="dxa" w:w="120"/>
              <w:bottom w:type="dxa" w:w="80"/>
              <w:right w:type="dxa" w:w="120"/>
            </w:tcMar>
          </w:tcPr>
          <w:p>
            <w:r>
              <w:rPr>
                <w:b/>
                <w:bCs/>
                <w:sz w:val="20"/>
                <w:szCs w:val="20"/>
              </w:rPr>
              <w:t xml:space="preserve">Aplicabilidade</w:t>
            </w:r>
          </w:p>
        </w:tc>
        <w:tc>
          <w:tcPr>
            <w:tcW w:type="dxa" w:w="6440"/>
            <w:tcMar>
              <w:top w:type="dxa" w:w="80"/>
              <w:left w:type="dxa" w:w="120"/>
              <w:bottom w:type="dxa" w:w="80"/>
              <w:right w:type="dxa" w:w="120"/>
            </w:tcMar>
          </w:tcPr>
          <w:p>
            <w:r>
              <w:rPr>
                <w:sz w:val="20"/>
                <w:szCs w:val="20"/>
              </w:rPr>
              <w:t xml:space="preserve">Todos os colaboradores e gestores</w:t>
            </w:r>
          </w:p>
        </w:tc>
      </w:tr>
      <w:tr>
        <w:tc>
          <w:tcPr>
            <w:tcW w:type="dxa" w:w="3000"/>
            <w:shd w:fill="F2F2F2" w:val="clear"/>
            <w:tcMar>
              <w:top w:type="dxa" w:w="80"/>
              <w:left w:type="dxa" w:w="120"/>
              <w:bottom w:type="dxa" w:w="80"/>
              <w:right w:type="dxa" w:w="120"/>
            </w:tcMar>
          </w:tcPr>
          <w:p>
            <w:r>
              <w:rPr>
                <w:b/>
                <w:bCs/>
                <w:sz w:val="20"/>
                <w:szCs w:val="20"/>
              </w:rPr>
              <w:t xml:space="preserve">Classificação</w:t>
            </w:r>
          </w:p>
        </w:tc>
        <w:tc>
          <w:tcPr>
            <w:tcW w:type="dxa" w:w="6440"/>
            <w:tcMar>
              <w:top w:type="dxa" w:w="80"/>
              <w:left w:type="dxa" w:w="120"/>
              <w:bottom w:type="dxa" w:w="80"/>
              <w:right w:type="dxa" w:w="120"/>
            </w:tcMar>
          </w:tcPr>
          <w:p>
            <w:r>
              <w:rPr>
                <w:sz w:val="20"/>
                <w:szCs w:val="20"/>
              </w:rPr>
              <w:t xml:space="preserve">Uso Interno — Confidencial</w:t>
            </w:r>
          </w:p>
        </w:tc>
      </w:tr>
    </w:tbl>
    <w:p>
      <w:pPr>
        <w:spacing w:after="100" w:before="300"/>
      </w:pPr>
      <w:r>
        <w:rPr>
          <w:i/>
          <w:iCs/>
          <w:color w:val="444444"/>
          <w:sz w:val="18"/>
          <w:szCs w:val="18"/>
        </w:rPr>
        <w:t xml:space="preserve">Este documento é de propriedade do Banco Aurum Digital S.A. A reprodução ou divulgação externa sem autorização prévia da Diretoria de Governança é proibida.</w:t>
      </w:r>
    </w:p>
    <w:p>
      <w:pPr>
        <w:pStyle w:val="Heading1"/>
        <w:spacing w:after="200" w:before="400"/>
      </w:pPr>
      <w:r>
        <w:rPr>
          <w:b/>
          <w:bCs/>
          <w:color w:val="1B2A4A"/>
        </w:rPr>
        <w:t xml:space="preserve">1. Apresentação da Área</w:t>
      </w:r>
    </w:p>
    <w:p>
      <w:pPr>
        <w:spacing w:after="160"/>
      </w:pPr>
      <w:r>
        <w:rPr>
          <w:sz w:val="21"/>
          <w:szCs w:val="21"/>
        </w:rPr>
        <w:t xml:space="preserve">A Diretoria de Gente e Cultura é responsável por todo o ciclo de vida do colaborador no Banco Aurum Digital, desde o recrutamento até o desligamento, e atua como guardiã da cultura organizacional definida na Missão, Visão e Valores do banco.</w:t>
      </w:r>
    </w:p>
    <w:p>
      <w:pPr>
        <w:pStyle w:val="Heading1"/>
        <w:spacing w:after="200" w:before="400"/>
      </w:pPr>
      <w:r>
        <w:rPr>
          <w:b/>
          <w:bCs/>
          <w:color w:val="1B2A4A"/>
        </w:rPr>
        <w:t xml:space="preserve">2. Recrutamento e Seleção</w:t>
      </w:r>
    </w:p>
    <w:p>
      <w:pPr>
        <w:pStyle w:val="Heading2"/>
        <w:spacing w:after="150" w:before="300"/>
      </w:pPr>
      <w:r>
        <w:rPr>
          <w:b/>
          <w:bCs/>
          <w:color w:val="1B2A4A"/>
        </w:rPr>
        <w:t xml:space="preserve">2.1. Processo Seletivo</w:t>
      </w:r>
    </w:p>
    <w:p>
      <w:pPr>
        <w:pStyle w:val="ListParagraph"/>
        <w:numPr>
          <w:ilvl w:val="0"/>
          <w:numId w:val="2"/>
        </w:numPr>
        <w:spacing w:after="100"/>
      </w:pPr>
      <w:r>
        <w:rPr>
          <w:sz w:val="21"/>
          <w:szCs w:val="21"/>
        </w:rPr>
        <w:t xml:space="preserve">Todas as vagas são divulgadas prioritariamente internamente por 5 dias úteis antes da divulgação externa, respeitando a política de recrutamento interno.</w:t>
      </w:r>
    </w:p>
    <w:p>
      <w:pPr>
        <w:pStyle w:val="ListParagraph"/>
        <w:numPr>
          <w:ilvl w:val="0"/>
          <w:numId w:val="2"/>
        </w:numPr>
        <w:spacing w:after="100"/>
      </w:pPr>
      <w:r>
        <w:rPr>
          <w:sz w:val="21"/>
          <w:szCs w:val="21"/>
        </w:rPr>
        <w:t xml:space="preserve">Processos seletivos incluem, no mínimo, uma etapa técnica e uma etapa de aderência cultural, conduzidas por diferentes avaliadores.</w:t>
      </w:r>
    </w:p>
    <w:p>
      <w:pPr>
        <w:pStyle w:val="ListParagraph"/>
        <w:numPr>
          <w:ilvl w:val="0"/>
          <w:numId w:val="2"/>
        </w:numPr>
        <w:spacing w:after="100"/>
      </w:pPr>
      <w:r>
        <w:rPr>
          <w:sz w:val="21"/>
          <w:szCs w:val="21"/>
        </w:rPr>
        <w:t xml:space="preserve">É vedada qualquer pergunta discriminatória relacionada a estado civil, planos de gravidez, religião ou orientação sexual durante entrevistas.</w:t>
      </w:r>
    </w:p>
    <w:p>
      <w:pPr>
        <w:pStyle w:val="ListParagraph"/>
        <w:numPr>
          <w:ilvl w:val="0"/>
          <w:numId w:val="2"/>
        </w:numPr>
        <w:spacing w:after="100"/>
      </w:pPr>
      <w:r>
        <w:rPr>
          <w:sz w:val="21"/>
          <w:szCs w:val="21"/>
        </w:rPr>
        <w:t xml:space="preserve">Vagas de liderança devem obrigatoriamente incluir ao menos um candidato de grupo sub-representado na etapa final, sempre que houver candidaturas qualificadas disponíveis.</w:t>
      </w:r>
    </w:p>
    <w:p>
      <w:pPr>
        <w:pStyle w:val="Heading2"/>
        <w:spacing w:after="150" w:before="300"/>
      </w:pPr>
      <w:r>
        <w:rPr>
          <w:b/>
          <w:bCs/>
          <w:color w:val="1B2A4A"/>
        </w:rPr>
        <w:t xml:space="preserve">2.2. Onboarding</w:t>
      </w:r>
    </w:p>
    <w:p>
      <w:pPr>
        <w:spacing w:after="160"/>
      </w:pPr>
      <w:r>
        <w:rPr>
          <w:sz w:val="21"/>
          <w:szCs w:val="21"/>
        </w:rPr>
        <w:t xml:space="preserve">Novos colaboradores passam por um programa de integração de duas semanas, incluindo treinamento obrigatório sobre o Código de Conduta, Segurança da Informação e Prevenção à Lavagem de Dinheiro (PLD/FT), com certificação registrada pela área de Compliance.</w:t>
      </w:r>
    </w:p>
    <w:p>
      <w:pPr>
        <w:pStyle w:val="Heading1"/>
        <w:spacing w:after="200" w:before="400"/>
      </w:pPr>
      <w:r>
        <w:rPr>
          <w:b/>
          <w:bCs/>
          <w:color w:val="1B2A4A"/>
        </w:rPr>
        <w:t xml:space="preserve">3. Jornada de Trabalho e Benefícios</w:t>
      </w:r>
    </w:p>
    <w:p>
      <w:pPr>
        <w:pStyle w:val="Heading2"/>
        <w:spacing w:after="150" w:before="300"/>
      </w:pPr>
      <w:r>
        <w:rPr>
          <w:b/>
          <w:bCs/>
          <w:color w:val="1B2A4A"/>
        </w:rPr>
        <w:t xml:space="preserve">3.1. Modelo de Trabalho</w:t>
      </w:r>
    </w:p>
    <w:p>
      <w:pPr>
        <w:spacing w:after="160"/>
      </w:pPr>
      <w:r>
        <w:rPr>
          <w:sz w:val="21"/>
          <w:szCs w:val="21"/>
        </w:rPr>
        <w:t xml:space="preserve">O Banco Aurum Digital adota modelo híbrido, com mínimo de 2 dias presenciais semanais para áreas administrativas, conforme definido pela diretoria de cada área, e jornada de 40 horas semanais com banco de horas.</w:t>
      </w:r>
    </w:p>
    <w:p>
      <w:pPr>
        <w:pStyle w:val="Heading2"/>
        <w:spacing w:after="150" w:before="300"/>
      </w:pPr>
      <w:r>
        <w:rPr>
          <w:b/>
          <w:bCs/>
          <w:color w:val="1B2A4A"/>
        </w:rPr>
        <w:t xml:space="preserve">3.2. Pacote de Benefícios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000"/>
      </w:tblGrid>
      <w:tr>
        <w:trPr>
          <w:tblHeader/>
        </w:trPr>
        <w:tc>
          <w:tcPr>
            <w:tcW w:type="dxa" w:w="3400"/>
            <w:shd w:fill="1B2A4A" w:val="clear"/>
            <w:tcMar>
              <w:top w:type="dxa" w:w="80"/>
              <w:left w:type="dxa" w:w="100"/>
              <w:bottom w:type="dxa" w:w="80"/>
              <w:right w:type="dxa" w:w="100"/>
            </w:tcMar>
          </w:tcPr>
          <w:p>
            <w:r>
              <w:rPr>
                <w:b/>
                <w:bCs/>
                <w:color w:val="FFFFFF"/>
                <w:sz w:val="19"/>
                <w:szCs w:val="19"/>
              </w:rPr>
              <w:t xml:space="preserve">Benefício</w:t>
            </w:r>
          </w:p>
        </w:tc>
        <w:tc>
          <w:tcPr>
            <w:tcW w:type="dxa" w:w="3400"/>
            <w:shd w:fill="1B2A4A" w:val="clear"/>
            <w:tcMar>
              <w:top w:type="dxa" w:w="80"/>
              <w:left w:type="dxa" w:w="100"/>
              <w:bottom w:type="dxa" w:w="80"/>
              <w:right w:type="dxa" w:w="100"/>
            </w:tcMar>
          </w:tcPr>
          <w:p>
            <w:r>
              <w:rPr>
                <w:b/>
                <w:bCs/>
                <w:color w:val="FFFFFF"/>
                <w:sz w:val="19"/>
                <w:szCs w:val="19"/>
              </w:rPr>
              <w:t xml:space="preserve">Elegibilidade</w:t>
            </w:r>
          </w:p>
        </w:tc>
        <w:tc>
          <w:tcPr>
            <w:tcW w:type="dxa" w:w="3000"/>
            <w:shd w:fill="1B2A4A" w:val="clear"/>
            <w:tcMar>
              <w:top w:type="dxa" w:w="80"/>
              <w:left w:type="dxa" w:w="100"/>
              <w:bottom w:type="dxa" w:w="80"/>
              <w:right w:type="dxa" w:w="100"/>
            </w:tcMar>
          </w:tcPr>
          <w:p>
            <w:r>
              <w:rPr>
                <w:b/>
                <w:bCs/>
                <w:color w:val="FFFFFF"/>
                <w:sz w:val="19"/>
                <w:szCs w:val="19"/>
              </w:rPr>
              <w:t xml:space="preserve">Observações</w:t>
            </w:r>
          </w:p>
        </w:tc>
      </w:tr>
      <w:tr>
        <w:tc>
          <w:tcPr>
            <w:tcW w:type="dxa" w:w="3400"/>
            <w:shd w:fill="FFFFFF" w:val="clear"/>
            <w:tcMar>
              <w:top w:type="dxa" w:w="80"/>
              <w:left w:type="dxa" w:w="100"/>
              <w:bottom w:type="dxa" w:w="80"/>
              <w:right w:type="dxa" w:w="100"/>
            </w:tcMar>
          </w:tcPr>
          <w:p>
            <w:r>
              <w:rPr>
                <w:sz w:val="19"/>
                <w:szCs w:val="19"/>
              </w:rPr>
              <w:t xml:space="preserve">Plano de Saúde e Odontológico</w:t>
            </w:r>
          </w:p>
        </w:tc>
        <w:tc>
          <w:tcPr>
            <w:tcW w:type="dxa" w:w="3400"/>
            <w:shd w:fill="FFFFFF" w:val="clear"/>
            <w:tcMar>
              <w:top w:type="dxa" w:w="80"/>
              <w:left w:type="dxa" w:w="100"/>
              <w:bottom w:type="dxa" w:w="80"/>
              <w:right w:type="dxa" w:w="100"/>
            </w:tcMar>
          </w:tcPr>
          <w:p>
            <w:r>
              <w:rPr>
                <w:sz w:val="19"/>
                <w:szCs w:val="19"/>
              </w:rPr>
              <w:t xml:space="preserve">Todos os colaboradores CLT, a partir da admissão</w:t>
            </w:r>
          </w:p>
        </w:tc>
        <w:tc>
          <w:tcPr>
            <w:tcW w:type="dxa" w:w="3000"/>
            <w:shd w:fill="FFFFFF" w:val="clear"/>
            <w:tcMar>
              <w:top w:type="dxa" w:w="80"/>
              <w:left w:type="dxa" w:w="100"/>
              <w:bottom w:type="dxa" w:w="80"/>
              <w:right w:type="dxa" w:w="100"/>
            </w:tcMar>
          </w:tcPr>
          <w:p>
            <w:r>
              <w:rPr>
                <w:sz w:val="19"/>
                <w:szCs w:val="19"/>
              </w:rPr>
              <w:t xml:space="preserve">Extensível a dependentes com coparticipação</w:t>
            </w:r>
          </w:p>
        </w:tc>
      </w:tr>
      <w:tr>
        <w:tc>
          <w:tcPr>
            <w:tcW w:type="dxa" w:w="3400"/>
            <w:shd w:fill="F2F2F2" w:val="clear"/>
            <w:tcMar>
              <w:top w:type="dxa" w:w="80"/>
              <w:left w:type="dxa" w:w="100"/>
              <w:bottom w:type="dxa" w:w="80"/>
              <w:right w:type="dxa" w:w="100"/>
            </w:tcMar>
          </w:tcPr>
          <w:p>
            <w:r>
              <w:rPr>
                <w:sz w:val="19"/>
                <w:szCs w:val="19"/>
              </w:rPr>
              <w:t xml:space="preserve">Vale-Refeição/Alimentação</w:t>
            </w:r>
          </w:p>
        </w:tc>
        <w:tc>
          <w:tcPr>
            <w:tcW w:type="dxa" w:w="3400"/>
            <w:shd w:fill="F2F2F2" w:val="clear"/>
            <w:tcMar>
              <w:top w:type="dxa" w:w="80"/>
              <w:left w:type="dxa" w:w="100"/>
              <w:bottom w:type="dxa" w:w="80"/>
              <w:right w:type="dxa" w:w="100"/>
            </w:tcMar>
          </w:tcPr>
          <w:p>
            <w:r>
              <w:rPr>
                <w:sz w:val="19"/>
                <w:szCs w:val="19"/>
              </w:rPr>
              <w:t xml:space="preserve">Todos os colaboradores</w:t>
            </w:r>
          </w:p>
        </w:tc>
        <w:tc>
          <w:tcPr>
            <w:tcW w:type="dxa" w:w="3000"/>
            <w:shd w:fill="F2F2F2" w:val="clear"/>
            <w:tcMar>
              <w:top w:type="dxa" w:w="80"/>
              <w:left w:type="dxa" w:w="100"/>
              <w:bottom w:type="dxa" w:w="80"/>
              <w:right w:type="dxa" w:w="100"/>
            </w:tcMar>
          </w:tcPr>
          <w:p>
            <w:r>
              <w:rPr>
                <w:sz w:val="19"/>
                <w:szCs w:val="19"/>
              </w:rPr>
              <w:t xml:space="preserve">Valor definido anualmente em acordo coletivo</w:t>
            </w:r>
          </w:p>
        </w:tc>
      </w:tr>
      <w:tr>
        <w:tc>
          <w:tcPr>
            <w:tcW w:type="dxa" w:w="3400"/>
            <w:shd w:fill="FFFFFF" w:val="clear"/>
            <w:tcMar>
              <w:top w:type="dxa" w:w="80"/>
              <w:left w:type="dxa" w:w="100"/>
              <w:bottom w:type="dxa" w:w="80"/>
              <w:right w:type="dxa" w:w="100"/>
            </w:tcMar>
          </w:tcPr>
          <w:p>
            <w:r>
              <w:rPr>
                <w:sz w:val="19"/>
                <w:szCs w:val="19"/>
              </w:rPr>
              <w:t xml:space="preserve">Auxílio Home Office</w:t>
            </w:r>
          </w:p>
        </w:tc>
        <w:tc>
          <w:tcPr>
            <w:tcW w:type="dxa" w:w="3400"/>
            <w:shd w:fill="FFFFFF" w:val="clear"/>
            <w:tcMar>
              <w:top w:type="dxa" w:w="80"/>
              <w:left w:type="dxa" w:w="100"/>
              <w:bottom w:type="dxa" w:w="80"/>
              <w:right w:type="dxa" w:w="100"/>
            </w:tcMar>
          </w:tcPr>
          <w:p>
            <w:r>
              <w:rPr>
                <w:sz w:val="19"/>
                <w:szCs w:val="19"/>
              </w:rPr>
              <w:t xml:space="preserve">Colaboradores em modelo híbrido ou remoto</w:t>
            </w:r>
          </w:p>
        </w:tc>
        <w:tc>
          <w:tcPr>
            <w:tcW w:type="dxa" w:w="3000"/>
            <w:shd w:fill="FFFFFF" w:val="clear"/>
            <w:tcMar>
              <w:top w:type="dxa" w:w="80"/>
              <w:left w:type="dxa" w:w="100"/>
              <w:bottom w:type="dxa" w:w="80"/>
              <w:right w:type="dxa" w:w="100"/>
            </w:tcMar>
          </w:tcPr>
          <w:p>
            <w:r>
              <w:rPr>
                <w:sz w:val="19"/>
                <w:szCs w:val="19"/>
              </w:rPr>
              <w:t xml:space="preserve">Pago mensalmente via folha</w:t>
            </w:r>
          </w:p>
        </w:tc>
      </w:tr>
      <w:tr>
        <w:tc>
          <w:tcPr>
            <w:tcW w:type="dxa" w:w="3400"/>
            <w:shd w:fill="F2F2F2" w:val="clear"/>
            <w:tcMar>
              <w:top w:type="dxa" w:w="80"/>
              <w:left w:type="dxa" w:w="100"/>
              <w:bottom w:type="dxa" w:w="80"/>
              <w:right w:type="dxa" w:w="100"/>
            </w:tcMar>
          </w:tcPr>
          <w:p>
            <w:r>
              <w:rPr>
                <w:sz w:val="19"/>
                <w:szCs w:val="19"/>
              </w:rPr>
              <w:t xml:space="preserve">Previdência Privada</w:t>
            </w:r>
          </w:p>
        </w:tc>
        <w:tc>
          <w:tcPr>
            <w:tcW w:type="dxa" w:w="3400"/>
            <w:shd w:fill="F2F2F2" w:val="clear"/>
            <w:tcMar>
              <w:top w:type="dxa" w:w="80"/>
              <w:left w:type="dxa" w:w="100"/>
              <w:bottom w:type="dxa" w:w="80"/>
              <w:right w:type="dxa" w:w="100"/>
            </w:tcMar>
          </w:tcPr>
          <w:p>
            <w:r>
              <w:rPr>
                <w:sz w:val="19"/>
                <w:szCs w:val="19"/>
              </w:rPr>
              <w:t xml:space="preserve">Colaboradores com 6 meses ou mais de casa</w:t>
            </w:r>
          </w:p>
        </w:tc>
        <w:tc>
          <w:tcPr>
            <w:tcW w:type="dxa" w:w="3000"/>
            <w:shd w:fill="F2F2F2" w:val="clear"/>
            <w:tcMar>
              <w:top w:type="dxa" w:w="80"/>
              <w:left w:type="dxa" w:w="100"/>
              <w:bottom w:type="dxa" w:w="80"/>
              <w:right w:type="dxa" w:w="100"/>
            </w:tcMar>
          </w:tcPr>
          <w:p>
            <w:r>
              <w:rPr>
                <w:sz w:val="19"/>
                <w:szCs w:val="19"/>
              </w:rPr>
              <w:t xml:space="preserve">Contrapartida da empresa em até 3% do salário</w:t>
            </w:r>
          </w:p>
        </w:tc>
      </w:tr>
      <w:tr>
        <w:tc>
          <w:tcPr>
            <w:tcW w:type="dxa" w:w="3400"/>
            <w:shd w:fill="FFFFFF" w:val="clear"/>
            <w:tcMar>
              <w:top w:type="dxa" w:w="80"/>
              <w:left w:type="dxa" w:w="100"/>
              <w:bottom w:type="dxa" w:w="80"/>
              <w:right w:type="dxa" w:w="100"/>
            </w:tcMar>
          </w:tcPr>
          <w:p>
            <w:r>
              <w:rPr>
                <w:sz w:val="19"/>
                <w:szCs w:val="19"/>
              </w:rPr>
              <w:t xml:space="preserve">Licença-Parentalidade Estendida</w:t>
            </w:r>
          </w:p>
        </w:tc>
        <w:tc>
          <w:tcPr>
            <w:tcW w:type="dxa" w:w="3400"/>
            <w:shd w:fill="FFFFFF" w:val="clear"/>
            <w:tcMar>
              <w:top w:type="dxa" w:w="80"/>
              <w:left w:type="dxa" w:w="100"/>
              <w:bottom w:type="dxa" w:w="80"/>
              <w:right w:type="dxa" w:w="100"/>
            </w:tcMar>
          </w:tcPr>
          <w:p>
            <w:r>
              <w:rPr>
                <w:sz w:val="19"/>
                <w:szCs w:val="19"/>
              </w:rPr>
              <w:t xml:space="preserve">Todos os gêneros, conforme política interna</w:t>
            </w:r>
          </w:p>
        </w:tc>
        <w:tc>
          <w:tcPr>
            <w:tcW w:type="dxa" w:w="3000"/>
            <w:shd w:fill="FFFFFF" w:val="clear"/>
            <w:tcMar>
              <w:top w:type="dxa" w:w="80"/>
              <w:left w:type="dxa" w:w="100"/>
              <w:bottom w:type="dxa" w:w="80"/>
              <w:right w:type="dxa" w:w="100"/>
            </w:tcMar>
          </w:tcPr>
          <w:p>
            <w:r>
              <w:rPr>
                <w:sz w:val="19"/>
                <w:szCs w:val="19"/>
              </w:rPr>
              <w:t xml:space="preserve">180 dias para gestantes; 30 dias para o(a) parceiro(a)</w:t>
            </w:r>
          </w:p>
        </w:tc>
      </w:tr>
    </w:tbl>
    <w:p>
      <w:pPr>
        <w:spacing w:after="200"/>
      </w:pPr>
    </w:p>
    <w:p>
      <w:pPr>
        <w:pStyle w:val="Heading1"/>
        <w:spacing w:after="200" w:before="400"/>
      </w:pPr>
      <w:r>
        <w:rPr>
          <w:b/>
          <w:bCs/>
          <w:color w:val="1B2A4A"/>
        </w:rPr>
        <w:t xml:space="preserve">4. Avaliação de Desempenho</w:t>
      </w:r>
    </w:p>
    <w:p>
      <w:pPr>
        <w:spacing w:after="160"/>
      </w:pPr>
      <w:r>
        <w:rPr>
          <w:sz w:val="21"/>
          <w:szCs w:val="21"/>
        </w:rPr>
        <w:t xml:space="preserve">O ciclo de avaliação de desempenho ocorre semestralmente e combina autoavaliação, avaliação do gestor e avaliação de pares (modelo 180 graus), com foco em metas individuais e em comportamentos alinhados aos valores do banco.</w:t>
      </w:r>
    </w:p>
    <w:p>
      <w:pPr>
        <w:pStyle w:val="ListParagraph"/>
        <w:numPr>
          <w:ilvl w:val="0"/>
          <w:numId w:val="2"/>
        </w:numPr>
        <w:spacing w:after="100"/>
      </w:pPr>
      <w:r>
        <w:rPr>
          <w:sz w:val="21"/>
          <w:szCs w:val="21"/>
        </w:rPr>
        <w:t xml:space="preserve">Resultados de desempenho impactam diretamente elegibilidade a promoções e reajustes por mérito.</w:t>
      </w:r>
    </w:p>
    <w:p>
      <w:pPr>
        <w:pStyle w:val="ListParagraph"/>
        <w:numPr>
          <w:ilvl w:val="0"/>
          <w:numId w:val="2"/>
        </w:numPr>
        <w:spacing w:after="100"/>
      </w:pPr>
      <w:r>
        <w:rPr>
          <w:sz w:val="21"/>
          <w:szCs w:val="21"/>
        </w:rPr>
        <w:t xml:space="preserve">Colaboradores com avaliação abaixo do esperado por dois ciclos consecutivos entram em Plano de Desenvolvimento Individual (PDI) formal, acompanhado por RH e gestor direto.</w:t>
      </w:r>
    </w:p>
    <w:p>
      <w:pPr>
        <w:pStyle w:val="Heading1"/>
        <w:spacing w:after="200" w:before="400"/>
      </w:pPr>
      <w:r>
        <w:rPr>
          <w:b/>
          <w:bCs/>
          <w:color w:val="1B2A4A"/>
        </w:rPr>
        <w:t xml:space="preserve">5. Licenças e Afastamentos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600"/>
      </w:tblGrid>
      <w:tr>
        <w:trPr>
          <w:tblHeader/>
        </w:trPr>
        <w:tc>
          <w:tcPr>
            <w:tcW w:type="dxa" w:w="2800"/>
            <w:shd w:fill="1B2A4A" w:val="clear"/>
            <w:tcMar>
              <w:top w:type="dxa" w:w="80"/>
              <w:left w:type="dxa" w:w="100"/>
              <w:bottom w:type="dxa" w:w="80"/>
              <w:right w:type="dxa" w:w="100"/>
            </w:tcMar>
          </w:tcPr>
          <w:p>
            <w:r>
              <w:rPr>
                <w:b/>
                <w:bCs/>
                <w:color w:val="FFFFFF"/>
                <w:sz w:val="19"/>
                <w:szCs w:val="19"/>
              </w:rPr>
              <w:t xml:space="preserve">Tipo</w:t>
            </w:r>
          </w:p>
        </w:tc>
        <w:tc>
          <w:tcPr>
            <w:tcW w:type="dxa" w:w="2400"/>
            <w:shd w:fill="1B2A4A" w:val="clear"/>
            <w:tcMar>
              <w:top w:type="dxa" w:w="80"/>
              <w:left w:type="dxa" w:w="100"/>
              <w:bottom w:type="dxa" w:w="80"/>
              <w:right w:type="dxa" w:w="100"/>
            </w:tcMar>
          </w:tcPr>
          <w:p>
            <w:r>
              <w:rPr>
                <w:b/>
                <w:bCs/>
                <w:color w:val="FFFFFF"/>
                <w:sz w:val="19"/>
                <w:szCs w:val="19"/>
              </w:rPr>
              <w:t xml:space="preserve">Duração Padrão</w:t>
            </w:r>
          </w:p>
        </w:tc>
        <w:tc>
          <w:tcPr>
            <w:tcW w:type="dxa" w:w="4600"/>
            <w:shd w:fill="1B2A4A" w:val="clear"/>
            <w:tcMar>
              <w:top w:type="dxa" w:w="80"/>
              <w:left w:type="dxa" w:w="100"/>
              <w:bottom w:type="dxa" w:w="80"/>
              <w:right w:type="dxa" w:w="100"/>
            </w:tcMar>
          </w:tcPr>
          <w:p>
            <w:r>
              <w:rPr>
                <w:b/>
                <w:bCs/>
                <w:color w:val="FFFFFF"/>
                <w:sz w:val="19"/>
                <w:szCs w:val="19"/>
              </w:rPr>
              <w:t xml:space="preserve">Observação</w:t>
            </w:r>
          </w:p>
        </w:tc>
      </w:tr>
      <w:tr>
        <w:tc>
          <w:tcPr>
            <w:tcW w:type="dxa" w:w="2800"/>
            <w:shd w:fill="FFFFFF" w:val="clear"/>
            <w:tcMar>
              <w:top w:type="dxa" w:w="80"/>
              <w:left w:type="dxa" w:w="100"/>
              <w:bottom w:type="dxa" w:w="80"/>
              <w:right w:type="dxa" w:w="100"/>
            </w:tcMar>
          </w:tcPr>
          <w:p>
            <w:r>
              <w:rPr>
                <w:sz w:val="19"/>
                <w:szCs w:val="19"/>
              </w:rPr>
              <w:t xml:space="preserve">Licença-Maternidade</w:t>
            </w:r>
          </w:p>
        </w:tc>
        <w:tc>
          <w:tcPr>
            <w:tcW w:type="dxa" w:w="2400"/>
            <w:shd w:fill="FFFFFF" w:val="clear"/>
            <w:tcMar>
              <w:top w:type="dxa" w:w="80"/>
              <w:left w:type="dxa" w:w="100"/>
              <w:bottom w:type="dxa" w:w="80"/>
              <w:right w:type="dxa" w:w="100"/>
            </w:tcMar>
          </w:tcPr>
          <w:p>
            <w:r>
              <w:rPr>
                <w:sz w:val="19"/>
                <w:szCs w:val="19"/>
              </w:rPr>
              <w:t xml:space="preserve">180 dias</w:t>
            </w:r>
          </w:p>
        </w:tc>
        <w:tc>
          <w:tcPr>
            <w:tcW w:type="dxa" w:w="4600"/>
            <w:shd w:fill="FFFFFF" w:val="clear"/>
            <w:tcMar>
              <w:top w:type="dxa" w:w="80"/>
              <w:left w:type="dxa" w:w="100"/>
              <w:bottom w:type="dxa" w:w="80"/>
              <w:right w:type="dxa" w:w="100"/>
            </w:tcMar>
          </w:tcPr>
          <w:p>
            <w:r>
              <w:rPr>
                <w:sz w:val="19"/>
                <w:szCs w:val="19"/>
              </w:rPr>
              <w:t xml:space="preserve">Empresa cidadã, sem necessidade de solicitação adicional</w:t>
            </w:r>
          </w:p>
        </w:tc>
      </w:tr>
      <w:tr>
        <w:tc>
          <w:tcPr>
            <w:tcW w:type="dxa" w:w="2800"/>
            <w:shd w:fill="F2F2F2" w:val="clear"/>
            <w:tcMar>
              <w:top w:type="dxa" w:w="80"/>
              <w:left w:type="dxa" w:w="100"/>
              <w:bottom w:type="dxa" w:w="80"/>
              <w:right w:type="dxa" w:w="100"/>
            </w:tcMar>
          </w:tcPr>
          <w:p>
            <w:r>
              <w:rPr>
                <w:sz w:val="19"/>
                <w:szCs w:val="19"/>
              </w:rPr>
              <w:t xml:space="preserve">Licença-Paternidade</w:t>
            </w:r>
          </w:p>
        </w:tc>
        <w:tc>
          <w:tcPr>
            <w:tcW w:type="dxa" w:w="2400"/>
            <w:shd w:fill="F2F2F2" w:val="clear"/>
            <w:tcMar>
              <w:top w:type="dxa" w:w="80"/>
              <w:left w:type="dxa" w:w="100"/>
              <w:bottom w:type="dxa" w:w="80"/>
              <w:right w:type="dxa" w:w="100"/>
            </w:tcMar>
          </w:tcPr>
          <w:p>
            <w:r>
              <w:rPr>
                <w:sz w:val="19"/>
                <w:szCs w:val="19"/>
              </w:rPr>
              <w:t xml:space="preserve">30 dias</w:t>
            </w:r>
          </w:p>
        </w:tc>
        <w:tc>
          <w:tcPr>
            <w:tcW w:type="dxa" w:w="4600"/>
            <w:shd w:fill="F2F2F2" w:val="clear"/>
            <w:tcMar>
              <w:top w:type="dxa" w:w="80"/>
              <w:left w:type="dxa" w:w="100"/>
              <w:bottom w:type="dxa" w:w="80"/>
              <w:right w:type="dxa" w:w="100"/>
            </w:tcMar>
          </w:tcPr>
          <w:p>
            <w:r>
              <w:rPr>
                <w:sz w:val="19"/>
                <w:szCs w:val="19"/>
              </w:rPr>
              <w:t xml:space="preserve">Concedida conforme política estendida interna</w:t>
            </w:r>
          </w:p>
        </w:tc>
      </w:tr>
      <w:tr>
        <w:tc>
          <w:tcPr>
            <w:tcW w:type="dxa" w:w="2800"/>
            <w:shd w:fill="FFFFFF" w:val="clear"/>
            <w:tcMar>
              <w:top w:type="dxa" w:w="80"/>
              <w:left w:type="dxa" w:w="100"/>
              <w:bottom w:type="dxa" w:w="80"/>
              <w:right w:type="dxa" w:w="100"/>
            </w:tcMar>
          </w:tcPr>
          <w:p>
            <w:r>
              <w:rPr>
                <w:sz w:val="19"/>
                <w:szCs w:val="19"/>
              </w:rPr>
              <w:t xml:space="preserve">Licença por Luto</w:t>
            </w:r>
          </w:p>
        </w:tc>
        <w:tc>
          <w:tcPr>
            <w:tcW w:type="dxa" w:w="2400"/>
            <w:shd w:fill="FFFFFF" w:val="clear"/>
            <w:tcMar>
              <w:top w:type="dxa" w:w="80"/>
              <w:left w:type="dxa" w:w="100"/>
              <w:bottom w:type="dxa" w:w="80"/>
              <w:right w:type="dxa" w:w="100"/>
            </w:tcMar>
          </w:tcPr>
          <w:p>
            <w:r>
              <w:rPr>
                <w:sz w:val="19"/>
                <w:szCs w:val="19"/>
              </w:rPr>
              <w:t xml:space="preserve">5 dias corridos</w:t>
            </w:r>
          </w:p>
        </w:tc>
        <w:tc>
          <w:tcPr>
            <w:tcW w:type="dxa" w:w="4600"/>
            <w:shd w:fill="FFFFFF" w:val="clear"/>
            <w:tcMar>
              <w:top w:type="dxa" w:w="80"/>
              <w:left w:type="dxa" w:w="100"/>
              <w:bottom w:type="dxa" w:w="80"/>
              <w:right w:type="dxa" w:w="100"/>
            </w:tcMar>
          </w:tcPr>
          <w:p>
            <w:r>
              <w:rPr>
                <w:sz w:val="19"/>
                <w:szCs w:val="19"/>
              </w:rPr>
              <w:t xml:space="preserve">Cônjuge, filhos, pais ou irmãos</w:t>
            </w:r>
          </w:p>
        </w:tc>
      </w:tr>
      <w:tr>
        <w:tc>
          <w:tcPr>
            <w:tcW w:type="dxa" w:w="2800"/>
            <w:shd w:fill="F2F2F2" w:val="clear"/>
            <w:tcMar>
              <w:top w:type="dxa" w:w="80"/>
              <w:left w:type="dxa" w:w="100"/>
              <w:bottom w:type="dxa" w:w="80"/>
              <w:right w:type="dxa" w:w="100"/>
            </w:tcMar>
          </w:tcPr>
          <w:p>
            <w:r>
              <w:rPr>
                <w:sz w:val="19"/>
                <w:szCs w:val="19"/>
              </w:rPr>
              <w:t xml:space="preserve">Licença Não Remunerada</w:t>
            </w:r>
          </w:p>
        </w:tc>
        <w:tc>
          <w:tcPr>
            <w:tcW w:type="dxa" w:w="2400"/>
            <w:shd w:fill="F2F2F2" w:val="clear"/>
            <w:tcMar>
              <w:top w:type="dxa" w:w="80"/>
              <w:left w:type="dxa" w:w="100"/>
              <w:bottom w:type="dxa" w:w="80"/>
              <w:right w:type="dxa" w:w="100"/>
            </w:tcMar>
          </w:tcPr>
          <w:p>
            <w:r>
              <w:rPr>
                <w:sz w:val="19"/>
                <w:szCs w:val="19"/>
              </w:rPr>
              <w:t xml:space="preserve">Até 90 dias</w:t>
            </w:r>
          </w:p>
        </w:tc>
        <w:tc>
          <w:tcPr>
            <w:tcW w:type="dxa" w:w="4600"/>
            <w:shd w:fill="F2F2F2" w:val="clear"/>
            <w:tcMar>
              <w:top w:type="dxa" w:w="80"/>
              <w:left w:type="dxa" w:w="100"/>
              <w:bottom w:type="dxa" w:w="80"/>
              <w:right w:type="dxa" w:w="100"/>
            </w:tcMar>
          </w:tcPr>
          <w:p>
            <w:r>
              <w:rPr>
                <w:sz w:val="19"/>
                <w:szCs w:val="19"/>
              </w:rPr>
              <w:t xml:space="preserve">Sujeita a aprovação do gestor e da Diretoria de Gente e Cultura</w:t>
            </w:r>
          </w:p>
        </w:tc>
      </w:tr>
    </w:tbl>
    <w:p>
      <w:pPr>
        <w:spacing w:after="200"/>
      </w:pPr>
    </w:p>
    <w:p>
      <w:pPr>
        <w:pStyle w:val="Heading1"/>
        <w:spacing w:after="200" w:before="400"/>
      </w:pPr>
      <w:r>
        <w:rPr>
          <w:b/>
          <w:bCs/>
          <w:color w:val="1B2A4A"/>
        </w:rPr>
        <w:t xml:space="preserve">6. Desligamento</w:t>
      </w:r>
    </w:p>
    <w:p>
      <w:pPr>
        <w:spacing w:after="160"/>
      </w:pPr>
      <w:r>
        <w:rPr>
          <w:sz w:val="21"/>
          <w:szCs w:val="21"/>
        </w:rPr>
        <w:t xml:space="preserve">Desligamentos podem ocorrer por iniciativa da empresa, do colaborador, ou por justa causa em caso de violação grave ao Código de Conduta apurada pelo Comitê de Ética, conforme descrito no Manual Institucional.</w:t>
      </w:r>
    </w:p>
    <w:p>
      <w:pPr>
        <w:pStyle w:val="ListParagraph"/>
        <w:numPr>
          <w:ilvl w:val="0"/>
          <w:numId w:val="2"/>
        </w:numPr>
        <w:spacing w:after="100"/>
      </w:pPr>
      <w:r>
        <w:rPr>
          <w:sz w:val="21"/>
          <w:szCs w:val="21"/>
        </w:rPr>
        <w:t xml:space="preserve">Todo desligamento por iniciativa da empresa inclui entrevista de desligamento conduzida por RH, exceto em casos de justa causa.</w:t>
      </w:r>
    </w:p>
    <w:p>
      <w:pPr>
        <w:pStyle w:val="ListParagraph"/>
        <w:numPr>
          <w:ilvl w:val="0"/>
          <w:numId w:val="2"/>
        </w:numPr>
        <w:spacing w:after="100"/>
      </w:pPr>
      <w:r>
        <w:rPr>
          <w:sz w:val="21"/>
          <w:szCs w:val="21"/>
        </w:rPr>
        <w:t xml:space="preserve">O acesso a todos os sistemas corporativos é revogado em até 2 horas após a formalização do desligamento, conforme política de segurança da área de Tecnologia.</w:t>
      </w:r>
    </w:p>
    <w:p>
      <w:pPr>
        <w:pStyle w:val="ListParagraph"/>
        <w:numPr>
          <w:ilvl w:val="0"/>
          <w:numId w:val="2"/>
        </w:numPr>
        <w:spacing w:after="100"/>
      </w:pPr>
      <w:r>
        <w:rPr>
          <w:sz w:val="21"/>
          <w:szCs w:val="21"/>
        </w:rPr>
        <w:t xml:space="preserve">Colaboradores desligados por justa causa relacionada a fraude ou vazamento de dados têm o caso comunicado às autoridades competentes, conforme prevê o Manual Institucional.</w:t>
      </w:r>
    </w:p>
    <w:p>
      <w:pPr>
        <w:pStyle w:val="Heading1"/>
        <w:spacing w:after="200" w:before="400"/>
      </w:pPr>
      <w:r>
        <w:rPr>
          <w:b/>
          <w:bCs/>
          <w:color w:val="1B2A4A"/>
        </w:rPr>
        <w:t xml:space="preserve">7. Glossário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2A4A" w:val="clear"/>
            <w:tcMar>
              <w:top w:type="dxa" w:w="80"/>
              <w:left w:type="dxa" w:w="100"/>
              <w:bottom w:type="dxa" w:w="80"/>
              <w:right w:type="dxa" w:w="100"/>
            </w:tcMar>
          </w:tcPr>
          <w:p>
            <w:r>
              <w:rPr>
                <w:b/>
                <w:bCs/>
                <w:color w:val="FFFFFF"/>
                <w:sz w:val="19"/>
                <w:szCs w:val="19"/>
              </w:rPr>
              <w:t xml:space="preserve">Termo</w:t>
            </w:r>
          </w:p>
        </w:tc>
        <w:tc>
          <w:tcPr>
            <w:tcW w:type="dxa" w:w="6800"/>
            <w:shd w:fill="1B2A4A" w:val="clear"/>
            <w:tcMar>
              <w:top w:type="dxa" w:w="80"/>
              <w:left w:type="dxa" w:w="100"/>
              <w:bottom w:type="dxa" w:w="80"/>
              <w:right w:type="dxa" w:w="100"/>
            </w:tcMar>
          </w:tcPr>
          <w:p>
            <w:r>
              <w:rPr>
                <w:b/>
                <w:bCs/>
                <w:color w:val="FFFFFF"/>
                <w:sz w:val="19"/>
                <w:szCs w:val="19"/>
              </w:rPr>
              <w:t xml:space="preserve">Significado</w:t>
            </w:r>
          </w:p>
        </w:tc>
      </w:tr>
      <w:tr>
        <w:tc>
          <w:tcPr>
            <w:tcW w:type="dxa" w:w="2600"/>
            <w:shd w:fill="FFFFFF" w:val="clear"/>
            <w:tcMar>
              <w:top w:type="dxa" w:w="80"/>
              <w:left w:type="dxa" w:w="100"/>
              <w:bottom w:type="dxa" w:w="80"/>
              <w:right w:type="dxa" w:w="100"/>
            </w:tcMar>
          </w:tcPr>
          <w:p>
            <w:r>
              <w:rPr>
                <w:sz w:val="19"/>
                <w:szCs w:val="19"/>
              </w:rPr>
              <w:t xml:space="preserve">PDI</w:t>
            </w:r>
          </w:p>
        </w:tc>
        <w:tc>
          <w:tcPr>
            <w:tcW w:type="dxa" w:w="6800"/>
            <w:shd w:fill="FFFFFF" w:val="clear"/>
            <w:tcMar>
              <w:top w:type="dxa" w:w="80"/>
              <w:left w:type="dxa" w:w="100"/>
              <w:bottom w:type="dxa" w:w="80"/>
              <w:right w:type="dxa" w:w="100"/>
            </w:tcMar>
          </w:tcPr>
          <w:p>
            <w:r>
              <w:rPr>
                <w:sz w:val="19"/>
                <w:szCs w:val="19"/>
              </w:rPr>
              <w:t xml:space="preserve">Plano de Desenvolvimento Individual, elaborado para colaboradores com desempenho abaixo do esperado.</w:t>
            </w:r>
          </w:p>
        </w:tc>
      </w:tr>
      <w:tr>
        <w:tc>
          <w:tcPr>
            <w:tcW w:type="dxa" w:w="2600"/>
            <w:shd w:fill="F2F2F2" w:val="clear"/>
            <w:tcMar>
              <w:top w:type="dxa" w:w="80"/>
              <w:left w:type="dxa" w:w="100"/>
              <w:bottom w:type="dxa" w:w="80"/>
              <w:right w:type="dxa" w:w="100"/>
            </w:tcMar>
          </w:tcPr>
          <w:p>
            <w:r>
              <w:rPr>
                <w:sz w:val="19"/>
                <w:szCs w:val="19"/>
              </w:rPr>
              <w:t xml:space="preserve">Avaliação 180 graus</w:t>
            </w:r>
          </w:p>
        </w:tc>
        <w:tc>
          <w:tcPr>
            <w:tcW w:type="dxa" w:w="6800"/>
            <w:shd w:fill="F2F2F2" w:val="clear"/>
            <w:tcMar>
              <w:top w:type="dxa" w:w="80"/>
              <w:left w:type="dxa" w:w="100"/>
              <w:bottom w:type="dxa" w:w="80"/>
              <w:right w:type="dxa" w:w="100"/>
            </w:tcMar>
          </w:tcPr>
          <w:p>
            <w:r>
              <w:rPr>
                <w:sz w:val="19"/>
                <w:szCs w:val="19"/>
              </w:rPr>
              <w:t xml:space="preserve">Modelo de avaliação de desempenho que combina autoavaliação, avaliação do gestor e de pares.</w:t>
            </w:r>
          </w:p>
        </w:tc>
      </w:tr>
      <w:tr>
        <w:tc>
          <w:tcPr>
            <w:tcW w:type="dxa" w:w="2600"/>
            <w:shd w:fill="FFFFFF" w:val="clear"/>
            <w:tcMar>
              <w:top w:type="dxa" w:w="80"/>
              <w:left w:type="dxa" w:w="100"/>
              <w:bottom w:type="dxa" w:w="80"/>
              <w:right w:type="dxa" w:w="100"/>
            </w:tcMar>
          </w:tcPr>
          <w:p>
            <w:r>
              <w:rPr>
                <w:sz w:val="19"/>
                <w:szCs w:val="19"/>
              </w:rPr>
              <w:t xml:space="preserve">Onboarding</w:t>
            </w:r>
          </w:p>
        </w:tc>
        <w:tc>
          <w:tcPr>
            <w:tcW w:type="dxa" w:w="6800"/>
            <w:shd w:fill="FFFFFF" w:val="clear"/>
            <w:tcMar>
              <w:top w:type="dxa" w:w="80"/>
              <w:left w:type="dxa" w:w="100"/>
              <w:bottom w:type="dxa" w:w="80"/>
              <w:right w:type="dxa" w:w="100"/>
            </w:tcMar>
          </w:tcPr>
          <w:p>
            <w:r>
              <w:rPr>
                <w:sz w:val="19"/>
                <w:szCs w:val="19"/>
              </w:rPr>
              <w:t xml:space="preserve">Processo de integração de novos colaboradores à empresa.</w:t>
            </w:r>
          </w:p>
        </w:tc>
      </w:tr>
    </w:tbl>
    <w:p>
      <w:pPr>
        <w:spacing w:after="100" w:before="300"/>
      </w:pPr>
      <w:r>
        <w:rPr>
          <w:i/>
          <w:iCs/>
          <w:color w:val="444444"/>
          <w:sz w:val="18"/>
          <w:szCs w:val="18"/>
        </w:rPr>
        <w:t xml:space="preserve">Este documento é de propriedade do Banco Aurum Digital S.A. A reprodução ou divulgação externa sem autorização prévia da Diretoria de Governança é proibida.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2026-08-09T15:20:38.897Z</dcterms:created>
  <dcterms:modified xsi:type="dcterms:W3CDTF">2026-08-09T15:20:38.897Z</dcterms:modified>
</cp:coreProperties>
</file>

<file path=docProps/custom.xml><?xml version="1.0" encoding="utf-8"?>
<Properties xmlns="http://schemas.openxmlformats.org/officeDocument/2006/custom-properties" xmlns:vt="http://schemas.openxmlformats.org/officeDocument/2006/docPropsVTypes"/>
</file>