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1330631222"/>
        <w:docPartObj>
          <w:docPartGallery w:val="Table of Contents"/>
          <w:docPartUnique/>
        </w:docPartObj>
      </w:sdtPr>
      <w:sdtContent>
        <w:p xmlns:wp14="http://schemas.microsoft.com/office/word/2010/wordml" w:rsidP="0DBBA4E7" wp14:paraId="6C04346F" wp14:textId="4EADA96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35344268">
            <w:r w:rsidRPr="0DBBA4E7" w:rsidR="0DBBA4E7">
              <w:rPr>
                <w:rStyle w:val="Hyperlink"/>
              </w:rPr>
              <w:t>1. Introdução</w:t>
            </w:r>
            <w:r>
              <w:tab/>
            </w:r>
            <w:r>
              <w:fldChar w:fldCharType="begin"/>
            </w:r>
            <w:r>
              <w:instrText xml:space="preserve">PAGEREF _Toc1135344268 \h</w:instrText>
            </w:r>
            <w:r>
              <w:fldChar w:fldCharType="separate"/>
            </w:r>
            <w:r w:rsidRPr="0DBBA4E7" w:rsidR="0DBBA4E7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0DBBA4E7" wp14:paraId="3F35AA02" wp14:textId="15A3575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09198621">
            <w:r w:rsidRPr="0DBBA4E7" w:rsidR="0DBBA4E7">
              <w:rPr>
                <w:rStyle w:val="Hyperlink"/>
              </w:rPr>
              <w:t>2. Secção I: O Contrato de Trabalho como Fundamento da Relação</w:t>
            </w:r>
            <w:r>
              <w:tab/>
            </w:r>
            <w:r>
              <w:fldChar w:fldCharType="begin"/>
            </w:r>
            <w:r>
              <w:instrText xml:space="preserve">PAGEREF _Toc1009198621 \h</w:instrText>
            </w:r>
            <w:r>
              <w:fldChar w:fldCharType="separate"/>
            </w:r>
            <w:r w:rsidRPr="0DBBA4E7" w:rsidR="0DBBA4E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DBBA4E7" wp14:paraId="00DBDEF6" wp14:textId="2A25B5B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72808576">
            <w:r w:rsidRPr="0DBBA4E7" w:rsidR="0DBBA4E7">
              <w:rPr>
                <w:rStyle w:val="Hyperlink"/>
              </w:rPr>
              <w:t>2.1. Forma e Conteúdo: Entre a Liberdade e a Obrigação Legal</w:t>
            </w:r>
            <w:r>
              <w:tab/>
            </w:r>
            <w:r>
              <w:fldChar w:fldCharType="begin"/>
            </w:r>
            <w:r>
              <w:instrText xml:space="preserve">PAGEREF _Toc672808576 \h</w:instrText>
            </w:r>
            <w:r>
              <w:fldChar w:fldCharType="separate"/>
            </w:r>
            <w:r w:rsidRPr="0DBBA4E7" w:rsidR="0DBBA4E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DBBA4E7" wp14:paraId="2668EEDD" wp14:textId="383E618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27479004">
            <w:r w:rsidRPr="0DBBA4E7" w:rsidR="0DBBA4E7">
              <w:rPr>
                <w:rStyle w:val="Hyperlink"/>
              </w:rPr>
              <w:t>2.2. Duração e a Primazia do Contrato por Tempo Indeterminado</w:t>
            </w:r>
            <w:r>
              <w:tab/>
            </w:r>
            <w:r>
              <w:fldChar w:fldCharType="begin"/>
            </w:r>
            <w:r>
              <w:instrText xml:space="preserve">PAGEREF _Toc1827479004 \h</w:instrText>
            </w:r>
            <w:r>
              <w:fldChar w:fldCharType="separate"/>
            </w:r>
            <w:r w:rsidRPr="0DBBA4E7" w:rsidR="0DBBA4E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DBBA4E7" wp14:paraId="6B3F4BB6" wp14:textId="3B16DE3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80555430">
            <w:r w:rsidRPr="0DBBA4E7" w:rsidR="0DBBA4E7">
              <w:rPr>
                <w:rStyle w:val="Hyperlink"/>
              </w:rPr>
              <w:t>2.3. O Período Experimental: Uma Janela de Avaliação Mútua</w:t>
            </w:r>
            <w:r>
              <w:tab/>
            </w:r>
            <w:r>
              <w:fldChar w:fldCharType="begin"/>
            </w:r>
            <w:r>
              <w:instrText xml:space="preserve">PAGEREF _Toc480555430 \h</w:instrText>
            </w:r>
            <w:r>
              <w:fldChar w:fldCharType="separate"/>
            </w:r>
            <w:r w:rsidRPr="0DBBA4E7" w:rsidR="0DBBA4E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DBBA4E7" wp14:paraId="2D68A71F" wp14:textId="6F4F83D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53187558">
            <w:r w:rsidRPr="0DBBA4E7" w:rsidR="0DBBA4E7">
              <w:rPr>
                <w:rStyle w:val="Hyperlink"/>
              </w:rPr>
              <w:t>3. Secção II: Direitos de Personalidade – A Dignidade como Limite ao Poder Patronal</w:t>
            </w:r>
            <w:r>
              <w:tab/>
            </w:r>
            <w:r>
              <w:fldChar w:fldCharType="begin"/>
            </w:r>
            <w:r>
              <w:instrText xml:space="preserve">PAGEREF _Toc1353187558 \h</w:instrText>
            </w:r>
            <w:r>
              <w:fldChar w:fldCharType="separate"/>
            </w:r>
            <w:r w:rsidRPr="0DBBA4E7" w:rsidR="0DBBA4E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DBBA4E7" wp14:paraId="1EA5C0A0" wp14:textId="43647C3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83371735">
            <w:r w:rsidRPr="0DBBA4E7" w:rsidR="0DBBA4E7">
              <w:rPr>
                <w:rStyle w:val="Hyperlink"/>
              </w:rPr>
              <w:t>3.1. Liberdade de Expressão, Integridade e Reserva da Intimidade</w:t>
            </w:r>
            <w:r>
              <w:tab/>
            </w:r>
            <w:r>
              <w:fldChar w:fldCharType="begin"/>
            </w:r>
            <w:r>
              <w:instrText xml:space="preserve">PAGEREF _Toc1383371735 \h</w:instrText>
            </w:r>
            <w:r>
              <w:fldChar w:fldCharType="separate"/>
            </w:r>
            <w:r w:rsidRPr="0DBBA4E7" w:rsidR="0DBBA4E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DBBA4E7" wp14:paraId="31277204" wp14:textId="19B44C5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33167423">
            <w:r w:rsidRPr="0DBBA4E7" w:rsidR="0DBBA4E7">
              <w:rPr>
                <w:rStyle w:val="Hyperlink"/>
              </w:rPr>
              <w:t>3.2. Proteção de Dados Pessoais e Meios de Vigilância</w:t>
            </w:r>
            <w:r>
              <w:tab/>
            </w:r>
            <w:r>
              <w:fldChar w:fldCharType="begin"/>
            </w:r>
            <w:r>
              <w:instrText xml:space="preserve">PAGEREF _Toc633167423 \h</w:instrText>
            </w:r>
            <w:r>
              <w:fldChar w:fldCharType="separate"/>
            </w:r>
            <w:r w:rsidRPr="0DBBA4E7" w:rsidR="0DBBA4E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DBBA4E7" wp14:paraId="5F8A9702" wp14:textId="254453F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06042990">
            <w:r w:rsidRPr="0DBBA4E7" w:rsidR="0DBBA4E7">
              <w:rPr>
                <w:rStyle w:val="Hyperlink"/>
              </w:rPr>
              <w:t>4. Conclusão</w:t>
            </w:r>
            <w:r>
              <w:tab/>
            </w:r>
            <w:r>
              <w:fldChar w:fldCharType="begin"/>
            </w:r>
            <w:r>
              <w:instrText xml:space="preserve">PAGEREF _Toc1206042990 \h</w:instrText>
            </w:r>
            <w:r>
              <w:fldChar w:fldCharType="separate"/>
            </w:r>
            <w:r w:rsidRPr="0DBBA4E7" w:rsidR="0DBBA4E7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0DBBA4E7" wp14:paraId="43295531" wp14:textId="63649A38">
      <w:pPr>
        <w:pStyle w:val="Heading1"/>
        <w:keepNext w:val="0"/>
        <w:keepLines w:val="0"/>
        <w:rPr>
          <w:noProof w:val="0"/>
          <w:lang w:val="pt-BR"/>
        </w:rPr>
      </w:pPr>
    </w:p>
    <w:p xmlns:wp14="http://schemas.microsoft.com/office/word/2010/wordml" wp14:paraId="476BC06E" wp14:textId="25DBB0E0">
      <w:r>
        <w:br w:type="page"/>
      </w:r>
    </w:p>
    <w:p xmlns:wp14="http://schemas.microsoft.com/office/word/2010/wordml" w:rsidP="0DBBA4E7" wp14:paraId="50186A54" wp14:textId="6F2DE3DF">
      <w:pPr>
        <w:pStyle w:val="Heading1"/>
        <w:keepNext w:val="0"/>
        <w:keepLines w:val="0"/>
        <w:rPr>
          <w:noProof w:val="0"/>
          <w:lang w:val="pt-BR"/>
        </w:rPr>
      </w:pPr>
      <w:bookmarkStart w:name="_Toc1135344268" w:id="742199108"/>
      <w:r w:rsidRPr="0DBBA4E7" w:rsidR="3FEC4DCF">
        <w:rPr>
          <w:noProof w:val="0"/>
          <w:lang w:val="pt-BR"/>
        </w:rPr>
        <w:t>1. Introdução</w:t>
      </w:r>
      <w:bookmarkEnd w:id="742199108"/>
    </w:p>
    <w:p xmlns:wp14="http://schemas.microsoft.com/office/word/2010/wordml" w:rsidP="0DBBA4E7" wp14:paraId="09341A30" wp14:textId="656394EF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relação jurídico-laboral, enquanto vínculo que une o trabalhador e a entidade empregadora, é o núcleo central do Direito do Trabalho. Em Angola, a sua disciplina encontra-se atualmente vertida na Lei Geral do Trabalho (Lei n.º 12/23, de 27 de </w:t>
      </w: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Dezembro</w:t>
      </w: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), que revogou a anterior Lei n.º 7/15. Este novo diploma não se limitou a uma mera atualização, mas procurou densificar os direitos fundamentais e reconfigurar o equilíbrio entre os poderes do empregador e as garantias do trabalhador, à luz da Constituição da República de Angola.</w:t>
      </w:r>
    </w:p>
    <w:p xmlns:wp14="http://schemas.microsoft.com/office/word/2010/wordml" w:rsidP="0DBBA4E7" wp14:paraId="70A0A375" wp14:textId="2DCC8CD8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Capítulo II da LGT, intitulado "Estabelecimento da Relação Jurídico-Laboral", é o palco principal onde este equilíbrio é definido. A análise das suas duas primeiras secções revela a estrutura formal e material que alicerça qualquer vínculo empregatício. A Secção I estabelece as regras do "nascimento" do contrato, enquanto a Secção II introduz um catálogo de direitos inerentes à pessoa do trabalhador e do empregador, que atravessam toda a relação. O presente artigo propõe uma análise aprofundada destas disposições, evidenciando as suas inovações, os seus princípios estruturantes e as implicações práticas para os atores laborais.</w:t>
      </w:r>
    </w:p>
    <w:p xmlns:wp14="http://schemas.microsoft.com/office/word/2010/wordml" w:rsidP="0DBBA4E7" wp14:paraId="5EAB2F85" wp14:textId="513BAB86">
      <w:pPr>
        <w:pStyle w:val="Heading1"/>
        <w:keepNext w:val="0"/>
        <w:keepLines w:val="0"/>
        <w:rPr>
          <w:noProof w:val="0"/>
          <w:lang w:val="pt-BR"/>
        </w:rPr>
      </w:pPr>
      <w:bookmarkStart w:name="_Toc1009198621" w:id="1857966920"/>
      <w:r w:rsidRPr="0DBBA4E7" w:rsidR="3FEC4DCF">
        <w:rPr>
          <w:noProof w:val="0"/>
          <w:lang w:val="pt-BR"/>
        </w:rPr>
        <w:t>2. Secção I: O Contrato de Trabalho como Fundamento da Relação</w:t>
      </w:r>
      <w:bookmarkEnd w:id="1857966920"/>
    </w:p>
    <w:p xmlns:wp14="http://schemas.microsoft.com/office/word/2010/wordml" w:rsidP="0DBBA4E7" wp14:paraId="1D26F612" wp14:textId="0DFD4889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Secção I do Capítulo II consagra o princípio basilar de que "a relação jurídico-laboral </w:t>
      </w: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constitui-se</w:t>
      </w: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 a celebração do Contrato de Trabalho" (artigo 8.º). A LGT define o contrato como um acordo pelo qual uma pessoa singular se obriga a colocar a sua capacidade (manual ou intelectual) sob a direção e autoridade de outrem, mediante uma remuneração (artigo 3.º, alínea c)). Esta definição clássica realça os três elementos essenciais: a prestação de atividade, a subordinação jurídica e a retribuição.</w:t>
      </w:r>
    </w:p>
    <w:p xmlns:wp14="http://schemas.microsoft.com/office/word/2010/wordml" w:rsidP="0DBBA4E7" wp14:paraId="1C7D273E" wp14:textId="0B897A4A">
      <w:pPr>
        <w:pStyle w:val="Heading2"/>
        <w:keepNext w:val="0"/>
        <w:keepLines w:val="0"/>
        <w:rPr>
          <w:noProof w:val="0"/>
          <w:lang w:val="pt-BR"/>
        </w:rPr>
      </w:pPr>
      <w:bookmarkStart w:name="_Toc672808576" w:id="1434942316"/>
      <w:r w:rsidRPr="0DBBA4E7" w:rsidR="3FEC4DCF">
        <w:rPr>
          <w:noProof w:val="0"/>
          <w:lang w:val="pt-BR"/>
        </w:rPr>
        <w:t>2.1. Forma e Conteúdo: Entre a Liberdade e a Obrigação Legal</w:t>
      </w:r>
      <w:bookmarkEnd w:id="1434942316"/>
    </w:p>
    <w:p xmlns:wp14="http://schemas.microsoft.com/office/word/2010/wordml" w:rsidP="0DBBA4E7" wp14:paraId="348213F0" wp14:textId="20282E60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LGT adota o princípio da liberdade de forma para a celebração do contrato de trabalho (artigo 12.º, n.º 1). No entanto, esta liberdade é atenuada por exigências formais relevantes. Os contratos de trabalho especiais e os contratos a termo (determinado) só são válidos se forem celebrados por escrito (n.º 2). A inobservância desta formalidade, imputável ao empregador, faz presumir que o contrato é de duração indeterminada (n.º 4), uma sanção importante que visa proteger o trabalhador contra a precariedade informal.</w:t>
      </w:r>
    </w:p>
    <w:p xmlns:wp14="http://schemas.microsoft.com/office/word/2010/wordml" w:rsidP="0DBBA4E7" wp14:paraId="1E075BF9" wp14:textId="39FBE6C1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13.º elenca os elementos que devem constar do contrato, como a identificação das partes, a categoria profissional, o local de trabalho, a duração do trabalho e o salário. Nos contratos a termo, acresce a obrigação de mencionar as razões determinantes da contratação e o prazo. A falta destas menções específicas no contrato a termo leva igualmente à sua conversão em contrato por tempo indeterminado (n.º 3), reforçando o princípio geral da estabilidade do emprego consagrado no artigo 274.º.</w:t>
      </w:r>
    </w:p>
    <w:p xmlns:wp14="http://schemas.microsoft.com/office/word/2010/wordml" w:rsidP="0DBBA4E7" wp14:paraId="0525704C" wp14:textId="1D59922B">
      <w:pPr>
        <w:pStyle w:val="Heading2"/>
        <w:keepNext w:val="0"/>
        <w:keepLines w:val="0"/>
        <w:rPr>
          <w:noProof w:val="0"/>
          <w:lang w:val="pt-BR"/>
        </w:rPr>
      </w:pPr>
      <w:bookmarkStart w:name="_Toc1827479004" w:id="2096286528"/>
      <w:r w:rsidRPr="0DBBA4E7" w:rsidR="3FEC4DCF">
        <w:rPr>
          <w:noProof w:val="0"/>
          <w:lang w:val="pt-BR"/>
        </w:rPr>
        <w:t>2.2. Duração e a Primazia do Contrato por Tempo Indeterminado</w:t>
      </w:r>
      <w:bookmarkEnd w:id="2096286528"/>
    </w:p>
    <w:p xmlns:wp14="http://schemas.microsoft.com/office/word/2010/wordml" w:rsidP="0DBBA4E7" wp14:paraId="1F7373F4" wp14:textId="0AC68A13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14.º consagra a regra de ouro: "O Contrato de Trabalho é celebrado em regra por Tempo Indeterminado" (n.º 1). O contrato a termo (determinado) é a exceção, apenas admissível nas situações taxativamente previstas no artigo 15.º, como a substituição de um trabalhador ausente, acréscimo temporário de atividade ou trabalho sazonal. A enumeração é restritiva e visa impedir o uso abusivo da contratação temporária para funções permanentes da empresa.</w:t>
      </w:r>
    </w:p>
    <w:p xmlns:wp14="http://schemas.microsoft.com/office/word/2010/wordml" w:rsidP="0DBBA4E7" wp14:paraId="2E9DB0DB" wp14:textId="1CE02C18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prazos máximos para a duração destes contratos variam conforme a causa, entre 6 e 60 meses (artigo 16.º). A renovação é possível dentro dos mesmos limites, mas a conversão em contrato por tempo indeterminado ocorre automaticamente se forem ultrapassados os períodos máximos (artigo 17.º, n.º 5). Este mecanismo funciona como uma "trava" à precariedade prolongada.</w:t>
      </w:r>
    </w:p>
    <w:p xmlns:wp14="http://schemas.microsoft.com/office/word/2010/wordml" w:rsidP="0DBBA4E7" wp14:paraId="28C241DE" wp14:textId="380EA0C5">
      <w:pPr>
        <w:pStyle w:val="Heading2"/>
        <w:keepNext w:val="0"/>
        <w:keepLines w:val="0"/>
        <w:rPr>
          <w:noProof w:val="0"/>
          <w:lang w:val="pt-BR"/>
        </w:rPr>
      </w:pPr>
      <w:bookmarkStart w:name="_Toc480555430" w:id="1074074819"/>
      <w:r w:rsidRPr="0DBBA4E7" w:rsidR="3FEC4DCF">
        <w:rPr>
          <w:noProof w:val="0"/>
          <w:lang w:val="pt-BR"/>
        </w:rPr>
        <w:t>2.3. O Período Experimental: Uma Janela de Avaliação Mútua</w:t>
      </w:r>
      <w:bookmarkEnd w:id="1074074819"/>
    </w:p>
    <w:p xmlns:wp14="http://schemas.microsoft.com/office/word/2010/wordml" w:rsidP="0DBBA4E7" wp14:paraId="744FB638" wp14:textId="1B2F9A8F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período experimental é tratado no artigo 18.º como uma fase inicial de teste, destinada a ambas as partes avaliarem a conveniência da relação. A sua duração padrão é de 60 dias para contratos indeterminados, podendo ser suprimida ou reduzida por acordo. Um aspeto inovador é a possibilidade de o prolongar até 120 dias, e até 180 dias para funções de direção, mediante acordo escrito (n.º 2). Nos contratos a termo, o período experimental não pode exceder 30 dias (n.º 3).</w:t>
      </w:r>
    </w:p>
    <w:p xmlns:wp14="http://schemas.microsoft.com/office/word/2010/wordml" w:rsidP="0DBBA4E7" wp14:paraId="37B14711" wp14:textId="336D73C1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Durante este período, qualquer das partes pode denunciar o contrato livremente, sem necessidade de aviso prévio, indemnização ou justificação (n.º 4). Findo o período sem oposição, o contrato consolida-se e a antiguidade conta-se desde o início (n.º 5). Trata-se de um mecanismo de flexibilidade inicial, mas cujos limites legais impedem que se torne numa forma de perpetuar a precariedade.</w:t>
      </w:r>
    </w:p>
    <w:p xmlns:wp14="http://schemas.microsoft.com/office/word/2010/wordml" w:rsidP="0DBBA4E7" wp14:paraId="5D1D3EFD" wp14:textId="625D2745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353187558" w:id="761468790"/>
      <w:r w:rsidRPr="0DBBA4E7" w:rsidR="3FEC4DCF">
        <w:rPr>
          <w:noProof w:val="0"/>
          <w:lang w:val="pt-BR"/>
        </w:rPr>
        <w:t>3. Secção II: Direitos de Personalidade – A Dignidade como Limite ao Poder Patrona</w:t>
      </w:r>
      <w:r w:rsidRPr="0DBBA4E7" w:rsidR="0AD6CAFD">
        <w:rPr>
          <w:noProof w:val="0"/>
          <w:lang w:val="pt-BR"/>
        </w:rPr>
        <w:t>l</w:t>
      </w:r>
      <w:bookmarkEnd w:id="761468790"/>
    </w:p>
    <w:p xmlns:wp14="http://schemas.microsoft.com/office/word/2010/wordml" w:rsidP="0DBBA4E7" wp14:paraId="062B5DF1" wp14:textId="6612DD60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inclusão de uma secção dedicada aos Direitos de Personalidade </w:t>
      </w:r>
      <w:r w:rsidRPr="0DBBA4E7" w:rsidR="3FEC4DCF">
        <w:rPr>
          <w:rStyle w:val="SubtleReference"/>
          <w:noProof w:val="0"/>
          <w:lang w:val="pt-BR"/>
        </w:rPr>
        <w:t>(artigos 21.º a 27.º)</w:t>
      </w: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representa um dos avanços mais significativos da LGT de 2023, refletindo uma tendência de constitucionalização e humanização do Direito do Trabalho. Estes direitos, inerentes à pessoa do trabalhador e do empregador, atuam como limites ao poder de direção e organização do empregador.</w:t>
      </w:r>
    </w:p>
    <w:p xmlns:wp14="http://schemas.microsoft.com/office/word/2010/wordml" w:rsidP="0DBBA4E7" wp14:paraId="1A54149E" wp14:textId="21E54AC9">
      <w:pPr>
        <w:pStyle w:val="Heading2"/>
        <w:keepNext w:val="0"/>
        <w:keepLines w:val="0"/>
        <w:rPr>
          <w:noProof w:val="0"/>
          <w:lang w:val="pt-BR"/>
        </w:rPr>
      </w:pPr>
      <w:bookmarkStart w:name="_Toc1383371735" w:id="1857450861"/>
      <w:r w:rsidRPr="0DBBA4E7" w:rsidR="3FEC4DCF">
        <w:rPr>
          <w:noProof w:val="0"/>
          <w:lang w:val="pt-BR"/>
        </w:rPr>
        <w:t>3.1. Liberdade de Expressão, Integridade e Reserva da Intimidade</w:t>
      </w:r>
      <w:bookmarkEnd w:id="1857450861"/>
    </w:p>
    <w:p xmlns:wp14="http://schemas.microsoft.com/office/word/2010/wordml" w:rsidP="0DBBA4E7" wp14:paraId="4DAC42B2" wp14:textId="0B59D453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artigo 21.º reconhece a liberdade de expressão e opinião do trabalhador, desde que respeite o normal funcionamento da empresa. O artigo 22.º garante a integridade física e moral de ambas as partes. Contudo, é o </w:t>
      </w:r>
      <w:r w:rsidRPr="0DBBA4E7" w:rsidR="3FEC4DCF">
        <w:rPr>
          <w:rStyle w:val="SubtleReference"/>
          <w:noProof w:val="0"/>
          <w:lang w:val="pt-BR"/>
        </w:rPr>
        <w:t>artigo 23.º</w:t>
      </w: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que estabelece um dever de respeito pela "reserva da intimidade da vida privada", abrangendo a vida familiar, sexual, estado de saúde e convicções políticas e religiosas. Este dispositivo protege o trabalhador contra intrusões injustificadas na sua esfera privada por parte do empregador.</w:t>
      </w:r>
    </w:p>
    <w:p xmlns:wp14="http://schemas.microsoft.com/office/word/2010/wordml" w:rsidP="0DBBA4E7" wp14:paraId="2827C7A4" wp14:textId="715C89A2">
      <w:pPr>
        <w:pStyle w:val="Heading2"/>
        <w:keepNext w:val="0"/>
        <w:keepLines w:val="0"/>
        <w:rPr>
          <w:noProof w:val="0"/>
          <w:lang w:val="pt-BR"/>
        </w:rPr>
      </w:pPr>
      <w:bookmarkStart w:name="_Toc633167423" w:id="242966568"/>
      <w:r w:rsidRPr="0DBBA4E7" w:rsidR="3FEC4DCF">
        <w:rPr>
          <w:noProof w:val="0"/>
          <w:lang w:val="pt-BR"/>
        </w:rPr>
        <w:t>3.2. Proteção de Dados Pessoais e Meios de Vigilância</w:t>
      </w:r>
      <w:bookmarkEnd w:id="242966568"/>
    </w:p>
    <w:p xmlns:wp14="http://schemas.microsoft.com/office/word/2010/wordml" w:rsidP="0DBBA4E7" wp14:paraId="3B806E76" wp14:textId="5248CFFC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Num contexto de crescente digitalização, a LGT dedica especial atenção à proteção de dados. O artigo 24.º proíbe o empregador de exigir informações sobre a vida privada ou o estado de gravidez, salvo quando estritamente necessárias e relevantes para a atividade profissional, devidamente fundamentadas por escrito. As informações de saúde são prestadas a um profissional de saúde, que apenas comunica a aptidão ou inaptidão do trabalhador, e não o diagnóstico.</w:t>
      </w:r>
    </w:p>
    <w:p xmlns:wp14="http://schemas.microsoft.com/office/word/2010/wordml" w:rsidP="0DBBA4E7" wp14:paraId="0E781736" wp14:textId="01FD815A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25.º reforça esta proteção ao proibir a exigência de testes médicos ou exames de gravidez para efeitos de admissão. Por fim, o artigo 26.º regula a utilização de meios de vigilância à distância, permitindo-os apenas para proteção de pessoas e bens, mas proibindo expressamente a sua utilização "com a finalidade de controlar o desempenho profissional do trabalhador" (n.º 2). O artigo 27.º consagra ainda o direito à confidencialidade das mensagens de natureza pessoal.</w:t>
      </w:r>
    </w:p>
    <w:p xmlns:wp14="http://schemas.microsoft.com/office/word/2010/wordml" w:rsidP="0DBBA4E7" wp14:paraId="64DB57D8" wp14:textId="5A0A4C7A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Estas disposições, em conjunto, constroem um escudo protetor contra um "empregador panóptico", garantindo que a utilização de tecnologia e o acesso a informações pessoais não se transformem em instrumentos de controle arbitrário ou discriminatório.</w:t>
      </w:r>
    </w:p>
    <w:p xmlns:wp14="http://schemas.microsoft.com/office/word/2010/wordml" w:rsidP="0DBBA4E7" wp14:paraId="7250A2FD" wp14:textId="2D80E873">
      <w:pPr>
        <w:pStyle w:val="Heading1"/>
        <w:keepNext w:val="0"/>
        <w:keepLines w:val="0"/>
        <w:rPr>
          <w:noProof w:val="0"/>
          <w:lang w:val="pt-BR"/>
        </w:rPr>
      </w:pPr>
      <w:bookmarkStart w:name="_Toc1206042990" w:id="363999072"/>
      <w:r w:rsidRPr="0DBBA4E7" w:rsidR="3FEC4DCF">
        <w:rPr>
          <w:noProof w:val="0"/>
          <w:lang w:val="pt-BR"/>
        </w:rPr>
        <w:t>4. Conclusão</w:t>
      </w:r>
      <w:bookmarkEnd w:id="363999072"/>
    </w:p>
    <w:p xmlns:wp14="http://schemas.microsoft.com/office/word/2010/wordml" w:rsidP="0DBBA4E7" wp14:paraId="0340BEAF" wp14:textId="43B8C7FD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Secções I e II do Capítulo II da nova Lei Geral do Trabalho delineiam, com clareza e equilíbrio, os pilares da relação laboral. A Secção I estabelece um regime contratual que privilegia a estabilidade (contrato por tempo indeterminado) e a transparência (forma escrita e conteúdo definido), admitindo a flexibilidade (contrato a termo e período experimental) apenas como exceção e com limites rigorosos.</w:t>
      </w:r>
    </w:p>
    <w:p xmlns:wp14="http://schemas.microsoft.com/office/word/2010/wordml" w:rsidP="0DBBA4E7" wp14:paraId="46FF280F" wp14:textId="5D0BFDCB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Por seu turno, a Secção II sobre os Direitos de Personalidade eleva a dignidade da pessoa do trabalhador a um valor jurídico central, limitando os poderes do empregador e protegendo a sua esfera privada, a sua saúde e as suas convicções. A proibição da utilização de meios de vigilância para controlo de desempenho e a proteção de dados pessoais são marcos de uma lei que acompanha a evolução tecnológica sem sacrificar os direitos humanos fundamentais.</w:t>
      </w:r>
    </w:p>
    <w:p xmlns:wp14="http://schemas.microsoft.com/office/word/2010/wordml" w:rsidP="0DBBA4E7" wp14:paraId="1E207724" wp14:textId="3187CAA2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0DBBA4E7" w:rsidR="3FEC4D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suma, o legislador angolano procurou, nestas disposições, criar um ambiente jurídico que promove a confiança e o respeito mútuos, reconhecendo que uma relação laboral saudável se alicerça não apenas na prestação de trabalho por um salário, mas sobretudo no respeito pela dignidade e pelos direitos de personalidade de quem trabalha e de quem gere. A eficácia prática destas normas dependerá, contudo, da sua aplicação pelos tribunais e da sua fiscalização pelas entidades competentes, como a Inspecção Geral do Trabalho.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926009"/>
    <w:rsid w:val="00CB5E09"/>
    <w:rsid w:val="02C06D09"/>
    <w:rsid w:val="04ECED0C"/>
    <w:rsid w:val="08977CCE"/>
    <w:rsid w:val="0AD6CAFD"/>
    <w:rsid w:val="0DBBA4E7"/>
    <w:rsid w:val="108EC7BC"/>
    <w:rsid w:val="108EC7BC"/>
    <w:rsid w:val="14227A9E"/>
    <w:rsid w:val="2AB2750D"/>
    <w:rsid w:val="31CD2630"/>
    <w:rsid w:val="330E4687"/>
    <w:rsid w:val="3FEC4DCF"/>
    <w:rsid w:val="47AF4C68"/>
    <w:rsid w:val="4C926009"/>
    <w:rsid w:val="5598FB85"/>
    <w:rsid w:val="5B10871B"/>
    <w:rsid w:val="5FAD1D6C"/>
    <w:rsid w:val="6044789B"/>
    <w:rsid w:val="68F2EC13"/>
    <w:rsid w:val="6AD32FAD"/>
    <w:rsid w:val="73A41BBB"/>
    <w:rsid w:val="743B137E"/>
    <w:rsid w:val="78DB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6009"/>
  <w15:chartTrackingRefBased/>
  <w15:docId w15:val="{E2F8501B-B44B-4977-8085-06CC1473E1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DBBA4E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DBBA4E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1">
    <w:uiPriority w:val="9"/>
    <w:name w:val="heading 1"/>
    <w:basedOn w:val="Normal"/>
    <w:next w:val="Normal"/>
    <w:link w:val="Heading1Char"/>
    <w:qFormat/>
    <w:rsid w:val="0DBBA4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BookTitle">
    <w:uiPriority w:val="33"/>
    <w:name w:val="Book Title"/>
    <w:basedOn w:val="DefaultParagraphFont"/>
    <w:qFormat/>
    <w:rsid w:val="0DBBA4E7"/>
    <w:rPr>
      <w:b w:val="1"/>
      <w:bCs w:val="1"/>
      <w:i w:val="1"/>
      <w:iCs w:val="1"/>
    </w:rPr>
  </w:style>
  <w:style w:type="paragraph" w:styleId="Heading2">
    <w:uiPriority w:val="9"/>
    <w:name w:val="heading 2"/>
    <w:basedOn w:val="Normal"/>
    <w:next w:val="Normal"/>
    <w:unhideWhenUsed/>
    <w:qFormat/>
    <w:rsid w:val="0DBBA4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1Char" w:customStyle="true">
    <w:uiPriority w:val="9"/>
    <w:name w:val="Heading 1 Char"/>
    <w:basedOn w:val="DefaultParagraphFont"/>
    <w:link w:val="Heading1"/>
    <w:rsid w:val="0DBBA4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yperlink">
    <w:uiPriority w:val="99"/>
    <w:name w:val="Hyperlink"/>
    <w:basedOn w:val="DefaultParagraphFont"/>
    <w:unhideWhenUsed/>
    <w:rsid w:val="0DBBA4E7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DBBA4E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DBBA4E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DBBA4E7"/>
    <w:pPr>
      <w:spacing w:after="100"/>
      <w:ind w:left="440"/>
    </w:pPr>
  </w:style>
  <w:style w:type="character" w:styleId="SubtleReference">
    <w:uiPriority w:val="31"/>
    <w:name w:val="Subtle Reference"/>
    <w:basedOn w:val="DefaultParagraphFont"/>
    <w:qFormat/>
    <w:rsid w:val="0DBBA4E7"/>
    <w:rPr>
      <w:smallCaps w:val="1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2026-04-15T18:37:24.6795640Z</dcterms:created>
  <dcterms:modified xsi:type="dcterms:W3CDTF">2026-04-16T14:32:03.5885659Z</dcterms:modified>
  <dc:creator>Sandro Filipe</dc:creator>
  <lastModifiedBy>Sandro Filipe</lastModifiedBy>
</coreProperties>
</file>