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uppressLineNumbers/>
            <w:spacing w:before="240" w:after="120"/>
            <w:ind w:hanging="0" w:start="0"/>
            <w:rPr>
              <w:b/>
              <w:bCs/>
              <w:sz w:val="32"/>
              <w:szCs w:val="32"/>
            </w:rPr>
          </w:pPr>
          <w:r>
            <w:rPr>
              <w:b/>
              <w:bCs/>
              <w:sz w:val="32"/>
              <w:szCs w:val="32"/>
            </w:rPr>
            <w:t>Sumário</w:t>
          </w:r>
        </w:p>
        <w:p>
          <w:pPr>
            <w:pStyle w:val="TOC1"/>
            <w:tabs>
              <w:tab w:val="clear" w:pos="9638"/>
              <w:tab w:val="right" w:pos="9637" w:leader="dot"/>
            </w:tabs>
            <w:rPr/>
          </w:pPr>
          <w:r>
            <w:fldChar w:fldCharType="begin"/>
          </w:r>
          <w:r>
            <w:rPr>
              <w:rStyle w:val="IndexLink"/>
            </w:rPr>
            <w:instrText xml:space="preserve"> TOC \f \o "1-9" \h</w:instrText>
          </w:r>
          <w:r>
            <w:rPr>
              <w:rStyle w:val="IndexLink"/>
            </w:rPr>
            <w:fldChar w:fldCharType="separate"/>
          </w:r>
          <w:hyperlink w:anchor="__RefHeading___Toc1150_1745248429">
            <w:r>
              <w:rPr>
                <w:rStyle w:val="IndexLink"/>
              </w:rPr>
              <w:t>Introdução</w:t>
            </w:r>
            <w:r>
              <w:rPr>
                <w:rStyle w:val="IndexLink"/>
              </w:rPr>
              <w:tab/>
              <w:t>2</w:t>
            </w:r>
          </w:hyperlink>
        </w:p>
        <w:p>
          <w:pPr>
            <w:pStyle w:val="TOC1"/>
            <w:tabs>
              <w:tab w:val="clear" w:pos="9638"/>
              <w:tab w:val="right" w:pos="9637" w:leader="dot"/>
            </w:tabs>
            <w:rPr/>
          </w:pPr>
          <w:hyperlink w:anchor="__RefHeading___Toc1152_1745248429">
            <w:r>
              <w:rPr>
                <w:rStyle w:val="IndexLink"/>
              </w:rPr>
              <w:t>O Modelo Pluralista de John Hick</w:t>
              <w:tab/>
              <w:t>3</w:t>
            </w:r>
          </w:hyperlink>
        </w:p>
        <w:p>
          <w:pPr>
            <w:pStyle w:val="TOC1"/>
            <w:tabs>
              <w:tab w:val="clear" w:pos="9638"/>
              <w:tab w:val="right" w:pos="9637" w:leader="dot"/>
            </w:tabs>
            <w:rPr/>
          </w:pPr>
          <w:hyperlink w:anchor="__RefHeading___Toc1154_1745248429">
            <w:r>
              <w:rPr>
                <w:rStyle w:val="IndexLink"/>
              </w:rPr>
              <w:t>Fé e Razão – As Raízes do Fideísmo</w:t>
              <w:tab/>
              <w:t>6</w:t>
            </w:r>
          </w:hyperlink>
        </w:p>
        <w:p>
          <w:pPr>
            <w:pStyle w:val="TOC1"/>
            <w:tabs>
              <w:tab w:val="clear" w:pos="9638"/>
              <w:tab w:val="right" w:pos="9637" w:leader="dot"/>
            </w:tabs>
            <w:rPr/>
          </w:pPr>
          <w:hyperlink w:anchor="__RefHeading___Toc1156_1745248429">
            <w:r>
              <w:rPr>
                <w:rStyle w:val="IndexLink"/>
              </w:rPr>
              <w:t>A problemática do pluralismo fideístico</w:t>
              <w:tab/>
              <w:t>9</w:t>
            </w:r>
          </w:hyperlink>
        </w:p>
        <w:p>
          <w:pPr>
            <w:pStyle w:val="TOC2"/>
            <w:tabs>
              <w:tab w:val="clear" w:pos="9355"/>
              <w:tab w:val="right" w:pos="9637" w:leader="dot"/>
            </w:tabs>
            <w:rPr/>
          </w:pPr>
          <w:hyperlink w:anchor="__RefHeading___Toc1158_1745248429">
            <w:r>
              <w:rPr>
                <w:rStyle w:val="IndexLink"/>
              </w:rPr>
              <w:t>1. As Objeções de Plantinga e a Contradição Performativa</w:t>
              <w:tab/>
              <w:t>10</w:t>
            </w:r>
          </w:hyperlink>
        </w:p>
        <w:p>
          <w:pPr>
            <w:pStyle w:val="TOC2"/>
            <w:tabs>
              <w:tab w:val="clear" w:pos="9355"/>
              <w:tab w:val="right" w:pos="9637" w:leader="dot"/>
            </w:tabs>
            <w:rPr/>
          </w:pPr>
          <w:hyperlink w:anchor="__RefHeading___Toc1160_1745248429">
            <w:r>
              <w:rPr>
                <w:rStyle w:val="IndexLink"/>
              </w:rPr>
              <w:t>2. O Risco do Esvaziamento Doutrinário</w:t>
              <w:tab/>
              <w:t>11</w:t>
            </w:r>
          </w:hyperlink>
        </w:p>
        <w:p>
          <w:pPr>
            <w:pStyle w:val="TOC1"/>
            <w:tabs>
              <w:tab w:val="clear" w:pos="9638"/>
              <w:tab w:val="right" w:pos="9637" w:leader="dot"/>
            </w:tabs>
            <w:rPr/>
          </w:pPr>
          <w:hyperlink w:anchor="__RefHeading___Toc1162_1745248429">
            <w:r>
              <w:rPr>
                <w:rStyle w:val="IndexLink"/>
              </w:rPr>
              <w:t>Considerações Finais</w:t>
              <w:tab/>
              <w:t>11</w:t>
            </w:r>
          </w:hyperlink>
        </w:p>
        <w:p>
          <w:pPr>
            <w:pStyle w:val="TOC2"/>
            <w:tabs>
              <w:tab w:val="clear" w:pos="9355"/>
              <w:tab w:val="right" w:pos="9637" w:leader="dot"/>
            </w:tabs>
            <w:rPr/>
          </w:pPr>
          <w:hyperlink w:anchor="__RefHeading___Toc1164_1745248429">
            <w:r>
              <w:rPr>
                <w:rStyle w:val="IndexLink"/>
              </w:rPr>
              <w:t>1. A Estrutura Fideística do Pluralismo Hickiano</w:t>
              <w:tab/>
              <w:t>12</w:t>
            </w:r>
          </w:hyperlink>
        </w:p>
        <w:p>
          <w:pPr>
            <w:pStyle w:val="TOC2"/>
            <w:tabs>
              <w:tab w:val="clear" w:pos="9355"/>
              <w:tab w:val="right" w:pos="9637" w:leader="dot"/>
            </w:tabs>
            <w:rPr/>
          </w:pPr>
          <w:hyperlink w:anchor="__RefHeading___Toc1166_1745248429">
            <w:r>
              <w:rPr>
                <w:rStyle w:val="IndexLink"/>
              </w:rPr>
              <w:t>2. A Contradição Performativa: O Imperialismo do Pluralismo</w:t>
              <w:tab/>
              <w:t>12</w:t>
            </w:r>
          </w:hyperlink>
        </w:p>
        <w:p>
          <w:pPr>
            <w:pStyle w:val="TOC2"/>
            <w:tabs>
              <w:tab w:val="clear" w:pos="9355"/>
              <w:tab w:val="right" w:pos="9637" w:leader="dot"/>
            </w:tabs>
            <w:rPr/>
          </w:pPr>
          <w:hyperlink w:anchor="__RefHeading___Toc1168_1745248429">
            <w:r>
              <w:rPr>
                <w:rStyle w:val="IndexLink"/>
              </w:rPr>
              <w:t>3. O Esvaziamento Doutrinário: O Preço do Pluralismo</w:t>
              <w:tab/>
              <w:t>13</w:t>
            </w:r>
          </w:hyperlink>
        </w:p>
        <w:p>
          <w:pPr>
            <w:pStyle w:val="TOC2"/>
            <w:tabs>
              <w:tab w:val="clear" w:pos="9355"/>
              <w:tab w:val="right" w:pos="9637" w:leader="dot"/>
            </w:tabs>
            <w:rPr/>
          </w:pPr>
          <w:hyperlink w:anchor="__RefHeading___Toc1170_1745248429">
            <w:r>
              <w:rPr>
                <w:rStyle w:val="IndexLink"/>
              </w:rPr>
              <w:t>4. O Pluralismo Fideístico como um Novo Dogmatismo</w:t>
              <w:tab/>
              <w:t>13</w:t>
            </w:r>
          </w:hyperlink>
          <w:r>
            <w:rPr>
              <w:rStyle w:val="IndexLink"/>
            </w:rPr>
            <w:fldChar w:fldCharType="end"/>
          </w:r>
        </w:p>
      </w:sdtContent>
    </w:sdt>
    <w:p>
      <w:pPr>
        <w:pStyle w:val="Heading1"/>
        <w:widowControl/>
        <w:numPr>
          <w:ilvl w:val="0"/>
          <w:numId w:val="0"/>
        </w:numPr>
        <w:suppressAutoHyphens w:val="true"/>
        <w:ind w:hanging="0" w:start="0"/>
        <w:jc w:val="start"/>
        <w:rPr/>
      </w:pPr>
      <w:r>
        <w:rPr/>
      </w:r>
      <w:r>
        <w:br w:type="page"/>
      </w:r>
    </w:p>
    <w:p>
      <w:pPr>
        <w:pStyle w:val="Heading1"/>
        <w:numPr>
          <w:ilvl w:val="0"/>
          <w:numId w:val="1"/>
        </w:numPr>
        <w:spacing w:before="0" w:after="120"/>
        <w:ind w:hanging="0" w:start="0"/>
        <w:rPr/>
      </w:pPr>
      <w:bookmarkStart w:id="0" w:name="__RefHeading___Toc1150_1745248429"/>
      <w:bookmarkEnd w:id="0"/>
      <w:r>
        <w:rPr/>
        <w:t>Introdução</w:t>
      </w:r>
    </w:p>
    <w:p>
      <w:pPr>
        <w:pStyle w:val="BodyText"/>
        <w:bidi w:val="0"/>
        <w:spacing w:before="397" w:after="0"/>
        <w:ind w:firstLine="850"/>
        <w:jc w:val="both"/>
        <w:rPr/>
      </w:pPr>
      <w:r>
        <w:rPr/>
        <w:t>A elaboração de um trabalho académico sobre "pluralismo fideístico" é uma excelente oportunidade para explorar um dos debates mais profundos e desafiadores da filosofia da religião contemporânea.</w:t>
      </w:r>
    </w:p>
    <w:p>
      <w:pPr>
        <w:pStyle w:val="BodyText"/>
        <w:bidi w:val="0"/>
        <w:spacing w:before="397" w:after="0"/>
        <w:ind w:firstLine="850"/>
        <w:jc w:val="both"/>
        <w:rPr/>
      </w:pPr>
      <w:r>
        <w:rPr/>
        <w:t>É crucial entender que "pluralismo fideístico" não é um termo único, mas sim uma interseção entre duas grandes áreas de debate:</w:t>
      </w:r>
    </w:p>
    <w:p>
      <w:pPr>
        <w:pStyle w:val="BodyText"/>
        <w:numPr>
          <w:ilvl w:val="0"/>
          <w:numId w:val="2"/>
        </w:numPr>
        <w:tabs>
          <w:tab w:val="left" w:pos="709" w:leader="none"/>
        </w:tabs>
        <w:bidi w:val="0"/>
        <w:spacing w:before="397" w:after="0"/>
        <w:ind w:firstLine="850"/>
        <w:jc w:val="start"/>
        <w:rPr/>
      </w:pPr>
      <w:r>
        <w:rPr>
          <w:rStyle w:val="Strong"/>
        </w:rPr>
        <w:t>Fideísmo:</w:t>
      </w:r>
      <w:r>
        <w:rPr/>
        <w:t xml:space="preserve"> a tese de que a crença religiosa se baseia na fé e não na razão ou em evidências empíricas.</w:t>
      </w:r>
    </w:p>
    <w:p>
      <w:pPr>
        <w:pStyle w:val="BodyText"/>
        <w:numPr>
          <w:ilvl w:val="0"/>
          <w:numId w:val="2"/>
        </w:numPr>
        <w:tabs>
          <w:tab w:val="left" w:pos="709" w:leader="none"/>
        </w:tabs>
        <w:bidi w:val="0"/>
        <w:spacing w:before="397" w:after="0"/>
        <w:ind w:firstLine="850"/>
        <w:jc w:val="start"/>
        <w:rPr/>
      </w:pPr>
      <w:r>
        <w:rPr>
          <w:rStyle w:val="Strong"/>
        </w:rPr>
        <w:t>Pluralismo Religioso:</w:t>
      </w:r>
      <w:r>
        <w:rPr/>
        <w:t xml:space="preserve"> a posição de que diversas tradições religiosas são, de alguma forma, válidas ou verdadeiras (em contraste com o exclusivismo e o inclusivismo).</w:t>
      </w:r>
    </w:p>
    <w:p>
      <w:pPr>
        <w:pStyle w:val="BodyText"/>
        <w:bidi w:val="0"/>
        <w:spacing w:before="397" w:after="0"/>
        <w:ind w:firstLine="850"/>
        <w:jc w:val="start"/>
        <w:rPr/>
      </w:pPr>
      <w:r>
        <w:rPr/>
        <w:t xml:space="preserve">A pesquisa será centrada na análise do “problema da justificação” como grande problemática, para tal, farei uso de grandes referências separando-os em dois grandes grupos:  </w:t>
      </w:r>
      <w:r>
        <w:rPr>
          <w:b w:val="false"/>
          <w:bCs w:val="false"/>
        </w:rPr>
        <w:t>Os Proponentes do Pluralismo e  Os Críticos.</w:t>
      </w:r>
      <w:r>
        <w:br w:type="page"/>
      </w:r>
    </w:p>
    <w:p>
      <w:pPr>
        <w:pStyle w:val="Heading1"/>
        <w:numPr>
          <w:ilvl w:val="0"/>
          <w:numId w:val="1"/>
        </w:numPr>
        <w:spacing w:before="0" w:after="120"/>
        <w:ind w:hanging="0" w:start="0"/>
        <w:rPr/>
      </w:pPr>
      <w:bookmarkStart w:id="1" w:name="__RefHeading___Toc1152_1745248429"/>
      <w:bookmarkEnd w:id="1"/>
      <w:r>
        <w:rPr>
          <w:rStyle w:val="Strong"/>
          <w:b/>
          <w:bCs/>
        </w:rPr>
        <w:t>O Modelo Pluralista de John Hick</w:t>
      </w:r>
    </w:p>
    <w:p>
      <w:pPr>
        <w:pStyle w:val="BodyText"/>
        <w:spacing w:before="397" w:after="0"/>
        <w:ind w:firstLine="850"/>
        <w:jc w:val="both"/>
        <w:rPr/>
      </w:pPr>
      <w:r>
        <w:rPr>
          <w:b w:val="false"/>
          <w:bCs w:val="false"/>
        </w:rPr>
        <w:t xml:space="preserve">De modos a melhor apresentar as raízes do que hoje chamamos de pluralismo, será sem sombra de dúvidas de grande auxílio a tese de doutorado em Ciência da Religião defendida por </w:t>
      </w:r>
      <w:r>
        <w:rPr/>
        <w:t xml:space="preserve">Suely Ribeiro Barra, e intitulada </w:t>
      </w:r>
      <w:r>
        <w:rPr>
          <w:rStyle w:val="Emphasis"/>
        </w:rPr>
        <w:t>“HIPÓTESE PLURALISTA DE JOHN HICK: a sua contribuição para o diálogo inter-religioso”</w:t>
      </w:r>
      <w:r>
        <w:rPr>
          <w:rStyle w:val="FootnoteReference"/>
        </w:rPr>
        <w:footnoteReference w:id="2"/>
      </w:r>
      <w:r>
        <w:rPr>
          <w:b w:val="false"/>
          <w:bCs w:val="false"/>
        </w:rPr>
        <w:t>. A autora demonstra que o pensamento pluralista de Hick não surgiu no vácuo, mas foi moldado por uma trajetória intelectual e existencial que começou com uma conversão ao fundamentalismo cristão na juventude e evoluiu, através de décadas de estudo filosófico e, crucialmente, de convivência prática com a diversidade religiosa.</w:t>
      </w:r>
    </w:p>
    <w:p>
      <w:pPr>
        <w:pStyle w:val="BodyText"/>
        <w:spacing w:before="397" w:after="0"/>
        <w:ind w:firstLine="850"/>
        <w:jc w:val="both"/>
        <w:rPr/>
      </w:pPr>
      <w:r>
        <w:rPr>
          <w:b w:val="false"/>
          <w:bCs w:val="false"/>
        </w:rPr>
        <w:t>A sua passagem pela Universidade de Birmingham, uma cidade multicultural, e suas viagens de estudo à Índia e ao Sri Lanka, onde entrou em contacto direto com hindus, sikhs e budistas, foram determinantes para que ele percebesse que a transformação espiritual e moral — o que ele chama de "salvação" — era um fenómeno que ocorria de forma autêntica em outras tradições religiosas, e não apenas no cristianismo.</w:t>
      </w:r>
    </w:p>
    <w:p>
      <w:pPr>
        <w:pStyle w:val="BodyText"/>
        <w:spacing w:before="397" w:after="0"/>
        <w:ind w:firstLine="850"/>
        <w:jc w:val="both"/>
        <w:rPr/>
      </w:pPr>
      <w:r>
        <w:rPr>
          <w:b w:val="false"/>
          <w:bCs w:val="false"/>
        </w:rPr>
        <w:t>Para organizar o debate, a tese</w:t>
      </w:r>
      <w:r>
        <w:rPr>
          <w:rStyle w:val="FootnoteReference"/>
          <w:b w:val="false"/>
          <w:bCs w:val="false"/>
        </w:rPr>
        <w:footnoteReference w:id="3"/>
      </w:r>
      <w:r>
        <w:rPr>
          <w:b w:val="false"/>
          <w:bCs w:val="false"/>
        </w:rPr>
        <w:t xml:space="preserve"> explica que a teologia cristã, ao se deparar com outras religiões, tradicionalmente se posicionou de duas formas. A primeira é o </w:t>
      </w:r>
      <w:r>
        <w:rPr>
          <w:rStyle w:val="Strong"/>
          <w:b w:val="false"/>
          <w:bCs w:val="false"/>
        </w:rPr>
        <w:t>exclusivismo</w:t>
      </w:r>
      <w:r>
        <w:rPr>
          <w:b w:val="false"/>
          <w:bCs w:val="false"/>
        </w:rPr>
        <w:t xml:space="preserve">, que afirma que a salvação só é possível dentro do cristianismo, uma vez que foi fundado pelo próprio Deus encarnado. A segunda é o </w:t>
      </w:r>
      <w:r>
        <w:rPr>
          <w:rStyle w:val="Strong"/>
          <w:b w:val="false"/>
          <w:bCs w:val="false"/>
        </w:rPr>
        <w:t>inclusivismo</w:t>
      </w:r>
      <w:r>
        <w:rPr>
          <w:b w:val="false"/>
          <w:bCs w:val="false"/>
        </w:rPr>
        <w:t>, uma posição mais branda, que ainda mantém Jesus como o único salvador, mas permite que os não-cristãos possam ser beneficiados por essa graça de forma implícita (como na teoria dos "cristãos anónimos" de Karl Rahner). A autora mostra, porém, que ambas as posições partem de uma presunção de superioridade que, em última análise, inviabiliza um diálogo verdadeiramente horizontal e respeitoso.</w:t>
      </w:r>
    </w:p>
    <w:p>
      <w:pPr>
        <w:pStyle w:val="BodyText"/>
        <w:spacing w:before="397" w:after="0"/>
        <w:ind w:firstLine="850"/>
        <w:jc w:val="both"/>
        <w:rPr/>
      </w:pPr>
      <w:r>
        <w:rPr>
          <w:b w:val="false"/>
          <w:bCs w:val="false"/>
        </w:rPr>
        <w:t xml:space="preserve">É nesse contexto que a hipótese pluralista de Hick se apresenta como uma alternativa radical. A ideia central de Hick é propor uma "Revolução Copernicana" na teologia. Assim como Copérnico tirou a Terra do centro do universo, Hick propõe que as religiões devem deixar de se colocar como o centro em torno do qual todas as outras gravitam. Em vez disso, ele sugere que todas elas giram em torno de uma mesma Realidade Última, que ele denomina de </w:t>
      </w:r>
      <w:r>
        <w:rPr>
          <w:rStyle w:val="Strong"/>
          <w:b w:val="false"/>
          <w:bCs w:val="false"/>
        </w:rPr>
        <w:t>"o Real"</w:t>
      </w:r>
      <w:r>
        <w:rPr>
          <w:b w:val="false"/>
          <w:bCs w:val="false"/>
        </w:rPr>
        <w:t>.</w:t>
      </w:r>
    </w:p>
    <w:p>
      <w:pPr>
        <w:pStyle w:val="BodyText"/>
        <w:spacing w:before="397" w:after="0"/>
        <w:ind w:firstLine="850"/>
        <w:jc w:val="both"/>
        <w:rPr/>
      </w:pPr>
      <w:r>
        <w:rPr>
          <w:b w:val="false"/>
          <w:bCs w:val="false"/>
        </w:rPr>
        <w:t xml:space="preserve">Hick faz uma distinção fundamental entre o </w:t>
      </w:r>
      <w:r>
        <w:rPr>
          <w:rStyle w:val="Strong"/>
          <w:b w:val="false"/>
          <w:bCs w:val="false"/>
        </w:rPr>
        <w:t>Real em si</w:t>
      </w:r>
      <w:r>
        <w:rPr>
          <w:b w:val="false"/>
          <w:bCs w:val="false"/>
        </w:rPr>
        <w:t xml:space="preserve">, que é inefável, transcendente e inacessível à mente humana finita, e o </w:t>
      </w:r>
      <w:r>
        <w:rPr>
          <w:rStyle w:val="Strong"/>
          <w:b w:val="false"/>
          <w:bCs w:val="false"/>
        </w:rPr>
        <w:t>Real fenomenal</w:t>
      </w:r>
      <w:r>
        <w:rPr>
          <w:b w:val="false"/>
          <w:bCs w:val="false"/>
        </w:rPr>
        <w:t>, que é a forma como esse Real é experimentado e interpretado pelas diferentes culturas</w:t>
      </w:r>
      <w:r>
        <w:rPr>
          <w:rStyle w:val="FootnoteReference"/>
          <w:b w:val="false"/>
          <w:bCs w:val="false"/>
        </w:rPr>
        <w:footnoteReference w:id="4"/>
      </w:r>
      <w:r>
        <w:rPr>
          <w:b w:val="false"/>
          <w:bCs w:val="false"/>
        </w:rPr>
        <w:t>.</w:t>
      </w:r>
    </w:p>
    <w:p>
      <w:pPr>
        <w:pStyle w:val="BodyText"/>
        <w:spacing w:before="397" w:after="0"/>
        <w:ind w:firstLine="850"/>
        <w:jc w:val="both"/>
        <w:rPr/>
      </w:pPr>
      <w:r>
        <w:rPr>
          <w:b w:val="false"/>
          <w:bCs w:val="false"/>
        </w:rPr>
        <w:t>Essa experiência, por ser humana, é sempre mediada por conceitos, linguagens e tradições culturais. É por isso que o Real se manifesta de maneiras tão distintas: como o Deus pessoal no cristianismo, no judaísmo e no islamismo, ou como o princípio impessoal do Brahman no hinduísmo ou do Nirvana no budismo.</w:t>
      </w:r>
    </w:p>
    <w:p>
      <w:pPr>
        <w:pStyle w:val="BodyText"/>
        <w:spacing w:before="397" w:after="0"/>
        <w:ind w:firstLine="850"/>
        <w:jc w:val="both"/>
        <w:rPr/>
      </w:pPr>
      <w:r>
        <w:rPr>
          <w:b w:val="false"/>
          <w:bCs w:val="false"/>
        </w:rPr>
        <w:t xml:space="preserve">A partir dessa premissa, Hick reinterpreta os dogmas centrais do cristianismo. A doutrina da encarnação, que para muitos é a superioridade cristã, é redefinida como uma </w:t>
      </w:r>
      <w:r>
        <w:rPr>
          <w:rStyle w:val="Strong"/>
          <w:b w:val="false"/>
          <w:bCs w:val="false"/>
        </w:rPr>
        <w:t>metáfora</w:t>
      </w:r>
      <w:r>
        <w:rPr>
          <w:b w:val="false"/>
          <w:bCs w:val="false"/>
        </w:rPr>
        <w:t xml:space="preserve"> poderosa. Jesus, para Hick, não era Deus encarnado em um sentido literal e metafísico, mas um homem de extraordinária abertura espiritual que, de forma tão plena que parecia única, "encarnou" em sua vida o amor e a vontade divina. Essa leitura, segundo a autora, desarma a pretensão de exclusividade, pois coloca Jesus como um exemplo sublime, mas não como o único canal possível para o divino.</w:t>
      </w:r>
    </w:p>
    <w:p>
      <w:pPr>
        <w:pStyle w:val="BodyText"/>
        <w:spacing w:before="397" w:after="0"/>
        <w:ind w:firstLine="850"/>
        <w:jc w:val="both"/>
        <w:rPr/>
      </w:pPr>
      <w:r>
        <w:rPr>
          <w:b w:val="false"/>
          <w:bCs w:val="false"/>
        </w:rPr>
        <w:t xml:space="preserve">Da mesma forma, a </w:t>
      </w:r>
      <w:r>
        <w:rPr>
          <w:rStyle w:val="Strong"/>
          <w:b w:val="false"/>
          <w:bCs w:val="false"/>
        </w:rPr>
        <w:t>salvação</w:t>
      </w:r>
      <w:r>
        <w:rPr>
          <w:b w:val="false"/>
          <w:bCs w:val="false"/>
        </w:rPr>
        <w:t xml:space="preserve"> deixa de ser vista como um evento jurídico dependente do sacrifício expiatório de Jesus para ser entendida como um processo </w:t>
      </w:r>
      <w:r>
        <w:rPr>
          <w:rStyle w:val="Strong"/>
          <w:b w:val="false"/>
          <w:bCs w:val="false"/>
        </w:rPr>
        <w:t>ético-existencial de transformação</w:t>
      </w:r>
      <w:r>
        <w:rPr>
          <w:rStyle w:val="FootnoteReference"/>
          <w:b w:val="false"/>
          <w:bCs w:val="false"/>
        </w:rPr>
        <w:footnoteReference w:id="5"/>
      </w:r>
      <w:r>
        <w:rPr>
          <w:b w:val="false"/>
          <w:bCs w:val="false"/>
        </w:rPr>
        <w:t>. Para Hick, ser salvo significa fazer a transição do "auto-centramento" — uma vida guiada pelo egoísmo, pelo medo e pelo desejo — para o "centramento no Real", uma vida marcada pelo amor compassivo, pela justiça e pela abertura ao transcendente. Este processo, que é a essência de toda vida religiosa autêntica, pode ocorrer em qualquer tradição.</w:t>
      </w:r>
    </w:p>
    <w:p>
      <w:pPr>
        <w:pStyle w:val="BodyText"/>
        <w:spacing w:before="397" w:after="0"/>
        <w:ind w:firstLine="850"/>
        <w:jc w:val="both"/>
        <w:rPr/>
      </w:pPr>
      <w:r>
        <w:rPr>
          <w:b w:val="false"/>
          <w:bCs w:val="false"/>
        </w:rPr>
        <w:t>O critério para se avaliar uma religião, portanto, não é a correção de suas doutrinas metafísicas, mas os frutos que ela produz: a qualidade da transformação humana que ela é capaz de gerar.</w:t>
      </w:r>
    </w:p>
    <w:p>
      <w:pPr>
        <w:pStyle w:val="BodyText"/>
        <w:spacing w:before="397" w:after="0"/>
        <w:ind w:firstLine="850"/>
        <w:jc w:val="both"/>
        <w:rPr/>
      </w:pPr>
      <w:r>
        <w:rPr>
          <w:b w:val="false"/>
          <w:bCs w:val="false"/>
        </w:rPr>
        <w:t xml:space="preserve">A tese dedica uma parte significativa para analisar as </w:t>
      </w:r>
      <w:r>
        <w:rPr>
          <w:rStyle w:val="Strong"/>
          <w:b w:val="false"/>
          <w:bCs w:val="false"/>
        </w:rPr>
        <w:t>críticas</w:t>
      </w:r>
      <w:r>
        <w:rPr>
          <w:b w:val="false"/>
          <w:bCs w:val="false"/>
        </w:rPr>
        <w:t xml:space="preserve"> que a proposta de Hick recebeu. Teólogos católicos como Jacques Dupuis e Claude Geffré, embora concordassem com a abertura ao diálogo, resistiam em abandonar a ideia da unicidade constitutiva de Cristo para a salvação. O filósofo reformado Alvin Plantinga</w:t>
      </w:r>
      <w:r>
        <w:rPr>
          <w:rStyle w:val="FootnoteReference"/>
          <w:b w:val="false"/>
          <w:bCs w:val="false"/>
        </w:rPr>
        <w:footnoteReference w:id="6"/>
      </w:r>
      <w:r>
        <w:rPr>
          <w:b w:val="false"/>
          <w:bCs w:val="false"/>
        </w:rPr>
        <w:t xml:space="preserve"> é apresentado como o crítico mais duro, questionando a coerência lógica de se afirmar um "Real" sobre o qual nada se pode dizer positivamente, e acusando o pluralismo de Hick de ser, na verdade, uma nova forma de imperialismo intelectual que desrespeita a convicção sincera daqueles que acreditam na verdade única de sua fé.</w:t>
      </w:r>
    </w:p>
    <w:p>
      <w:pPr>
        <w:pStyle w:val="BodyText"/>
        <w:spacing w:before="397" w:after="0"/>
        <w:ind w:firstLine="850"/>
        <w:jc w:val="both"/>
        <w:rPr>
          <w:b w:val="false"/>
          <w:bCs w:val="false"/>
        </w:rPr>
      </w:pPr>
      <w:r>
        <w:rPr>
          <w:b w:val="false"/>
          <w:bCs w:val="false"/>
        </w:rPr>
        <w:t>No entanto, conclui-se que, apesar das críticas, a contribuição de Hick para o diálogo inter-religioso é inestimável. Ao oferecer uma base teórica que não parte da presunção de superioridade de nenhuma fé, sua hipótese pluralista cria as condições para um encontro genuíno, onde o objetivo não é converter o outro, mas aprender com ele e, juntos, buscarem uma vida mais centrada no amor e na compaixão. A tese argumenta que, em um mundo globalizado e marcado por conflitos de fundo religioso, o pensamento de Hick não é apenas uma proposta teológica entre outras, mas uma necessidade ética e política para a sobrevivência pacífica da humanidade.</w:t>
      </w:r>
    </w:p>
    <w:p>
      <w:pPr>
        <w:pStyle w:val="BodyText"/>
        <w:spacing w:before="397" w:after="0"/>
        <w:ind w:firstLine="850"/>
        <w:jc w:val="both"/>
        <w:rPr>
          <w:b w:val="false"/>
          <w:bCs w:val="false"/>
        </w:rPr>
      </w:pPr>
      <w:r>
        <w:rPr>
          <w:b w:val="false"/>
          <w:bCs w:val="false"/>
        </w:rPr>
        <w:t>Rodrigo Portella, também doutorando em Ciências da Religião pela Universidade Federal de Juiz de Fora, no seu comentário crítico do livro “A metáfora do Deus encarnado”</w:t>
      </w:r>
      <w:r>
        <w:rPr>
          <w:rStyle w:val="FootnoteReference"/>
          <w:b w:val="false"/>
          <w:bCs w:val="false"/>
        </w:rPr>
        <w:footnoteReference w:id="7"/>
      </w:r>
      <w:r>
        <w:rPr>
          <w:b w:val="false"/>
          <w:bCs w:val="false"/>
        </w:rPr>
        <w:t>, analisa a contribuição de John Hick para o diálogo inter-religioso, bem como uma leitura do evento crístico como metáfora.</w:t>
      </w:r>
    </w:p>
    <w:p>
      <w:pPr>
        <w:pStyle w:val="BodyText"/>
        <w:spacing w:before="397" w:after="0"/>
        <w:ind w:firstLine="850"/>
        <w:jc w:val="both"/>
        <w:rPr/>
      </w:pPr>
      <w:r>
        <w:rPr>
          <w:b w:val="false"/>
          <w:bCs w:val="false"/>
        </w:rPr>
        <w:t>Diferente da tese anterior, que tinha um escopo mais amplo e biográfico, este artigo se concentra de forma mais específica na desconstrução da cristologia tradicional e na reinterpretação do dogma da encarnação proposta por Hick, analisando as suas implicações para o diálogo inter-religioso.</w:t>
      </w:r>
    </w:p>
    <w:p>
      <w:pPr>
        <w:pStyle w:val="BodyText"/>
        <w:spacing w:before="397" w:after="0"/>
        <w:ind w:firstLine="850"/>
        <w:jc w:val="both"/>
        <w:rPr/>
      </w:pPr>
      <w:r>
        <w:rPr/>
        <w:t>Hick, alinhado com um amplo consenso académico, argumenta que o Jesus histórico não reivindicou para si a divindade. A sua pregação era de natureza escatológica, ancorada no contexto judaico do século I, onde ele se via como o mensageiro final do Reino de Deus que estava por vir. A auto-compreensão divina de Jesus, portanto, é um desenvolvimento posterior da comunidade cristã primitiva, especialmente em seu contacto com o mundo greco-romano</w:t>
      </w:r>
      <w:r>
        <w:rPr>
          <w:rStyle w:val="FootnoteReference"/>
        </w:rPr>
        <w:footnoteReference w:id="8"/>
      </w:r>
      <w:r>
        <w:rPr/>
        <w:t>.</w:t>
      </w:r>
    </w:p>
    <w:p>
      <w:pPr>
        <w:pStyle w:val="BodyText"/>
        <w:spacing w:before="397" w:after="0"/>
        <w:ind w:firstLine="850"/>
        <w:jc w:val="both"/>
        <w:rPr/>
      </w:pPr>
      <w:r>
        <w:rPr/>
        <w:t>O autor do artigo explica como ocorreu essa transição da metáfora para o dogma. No mundo antigo, o título "Filho de Deus" era uma metáfora amplamente utilizada para designar pessoas de especial intimidade com o divino, como reis e profetas, sem qualquer conotação de participação na natureza divina. Foi no contexto do Império Romano, com a necessidade de unificação doutrinária e a influência da filosofia grega, que essa linguagem metafórica foi literalizada.</w:t>
      </w:r>
    </w:p>
    <w:p>
      <w:pPr>
        <w:pStyle w:val="BodyText"/>
        <w:spacing w:before="397" w:after="0"/>
        <w:ind w:firstLine="850"/>
        <w:jc w:val="both"/>
        <w:rPr/>
      </w:pPr>
      <w:r>
        <w:rPr/>
        <w:t>O Concílio de Nicéia (325 d.C.)</w:t>
      </w:r>
      <w:r>
        <w:rPr>
          <w:rStyle w:val="FootnoteReference"/>
        </w:rPr>
        <w:footnoteReference w:id="9"/>
      </w:r>
      <w:r>
        <w:rPr/>
        <w:t xml:space="preserve"> introduziu o termo grego </w:t>
      </w:r>
      <w:r>
        <w:rPr>
          <w:rStyle w:val="Emphasis"/>
        </w:rPr>
        <w:t>homoousios</w:t>
      </w:r>
      <w:r>
        <w:rPr/>
        <w:t xml:space="preserve"> (da mesma substância) para definir a relação de Jesus com o Pai, transformando o "filho de Deus" metafórico no "Deus Filho" metafísico, uma transição que Hick interpreta como tendo uma motivação também política, ao associar o imperador Constantino ao vice-rei de Deus na terra</w:t>
      </w:r>
      <w:r>
        <w:rPr>
          <w:rStyle w:val="FootnoteReference"/>
        </w:rPr>
        <w:footnoteReference w:id="10"/>
      </w:r>
      <w:r>
        <w:rPr/>
        <w:t>.</w:t>
      </w:r>
    </w:p>
    <w:p>
      <w:pPr>
        <w:pStyle w:val="BodyText"/>
        <w:spacing w:before="397" w:after="0"/>
        <w:ind w:firstLine="850"/>
        <w:jc w:val="both"/>
        <w:rPr/>
      </w:pPr>
      <w:r>
        <w:rPr/>
        <w:t xml:space="preserve"> </w:t>
      </w:r>
      <w:r>
        <w:rPr/>
        <w:t>Hick argumenta que uma vida pode "encarnar" valores e ideais. Jesus, portanto, teria "encarnado" de forma sublime o amor e a vontade divina, revelando-os em suas atitudes, sem a necessidade de uma interpretação literal e ontológica que o transforme em Deus</w:t>
      </w:r>
      <w:r>
        <w:rPr>
          <w:rStyle w:val="FootnoteReference"/>
        </w:rPr>
        <w:footnoteReference w:id="11"/>
      </w:r>
      <w:r>
        <w:rPr/>
        <w:t>, citando Tomás de Aquino, aponta que a própria tradição teológica admite a possibilidade de múltiplas encarnações, uma vez que o poder divino não é limitado.</w:t>
      </w:r>
    </w:p>
    <w:p>
      <w:pPr>
        <w:pStyle w:val="BodyText"/>
        <w:spacing w:before="397" w:after="0"/>
        <w:ind w:firstLine="850"/>
        <w:jc w:val="both"/>
        <w:rPr/>
      </w:pPr>
      <w:r>
        <w:rPr/>
        <w:t xml:space="preserve">A recusa cristã em admitir essa possibilidade, segundo Hick, está menos ligada a uma necessidade teológica e mais à manutenção de um </w:t>
      </w:r>
      <w:r>
        <w:rPr>
          <w:rStyle w:val="Emphasis"/>
        </w:rPr>
        <w:t>status</w:t>
      </w:r>
      <w:r>
        <w:rPr/>
        <w:t xml:space="preserve"> de superioridade sobre as demais religiões. Se o amor divino é a razão para a encarnação, então ele também seria a razão para que Deus se revelasse de forma plena em outras culturas, através de figuras como </w:t>
      </w:r>
      <w:r>
        <w:rPr>
          <w:b/>
          <w:bCs/>
        </w:rPr>
        <w:t>Buda</w:t>
      </w:r>
      <w:r>
        <w:rPr/>
        <w:t xml:space="preserve">, </w:t>
      </w:r>
      <w:r>
        <w:rPr>
          <w:b/>
          <w:bCs/>
        </w:rPr>
        <w:t>Krishna</w:t>
      </w:r>
      <w:r>
        <w:rPr/>
        <w:t xml:space="preserve"> ou </w:t>
      </w:r>
      <w:r>
        <w:rPr>
          <w:b/>
          <w:bCs/>
        </w:rPr>
        <w:t>Zoroastro</w:t>
      </w:r>
      <w:r>
        <w:rPr/>
        <w:t>, cada uma "encarnando" os aspectos do divino que fossem compreensíveis dentro de seu contexto cultural</w:t>
      </w:r>
      <w:r>
        <w:rPr>
          <w:rStyle w:val="FootnoteReference"/>
        </w:rPr>
        <w:footnoteReference w:id="12"/>
      </w:r>
      <w:r>
        <w:rPr/>
        <w:t>.</w:t>
      </w:r>
    </w:p>
    <w:p>
      <w:pPr>
        <w:pStyle w:val="BodyText"/>
        <w:spacing w:before="397" w:after="0"/>
        <w:ind w:firstLine="850"/>
        <w:jc w:val="both"/>
        <w:rPr/>
      </w:pPr>
      <w:r>
        <w:rPr/>
        <w:t>Por fim, o artigo conclui que, ao reinterpretar a encarnação como metáfora e a salvação como transformação, Hick oferece uma base para uma visão pluralista, onde o cristianismo é visto como uma entre várias formas autênticas de resposta ao Transcendente. O autor do artigo levanta, contudo, uma questão sobre a epistemologia de Hick: como conciliar as doutrinas díspares das religiões com um conceito único de verdade? Hick responde sugerindo que, em questões de religião, a verdade não precisa ser conceitualmente una.</w:t>
      </w:r>
    </w:p>
    <w:p>
      <w:pPr>
        <w:pStyle w:val="BodyText"/>
        <w:spacing w:before="397" w:after="0"/>
        <w:ind w:firstLine="850"/>
        <w:jc w:val="both"/>
        <w:rPr/>
      </w:pPr>
      <w:r>
        <w:rPr/>
        <w:t>Diferentes tradições podem oferecer caminhos igualmente válidos para a transformação, e o critério para avaliá-las não é a correção de suas doutrinas metafísicas, mas os frutos que produzem na vida humana — o amor e a compaixão. O artigo termina destacando que, para Hick, a salvação não é um privilégio cristão, mas um processo humano universal que, potencialmente, transcende até mesmo os limites da religião organizada.</w:t>
      </w:r>
    </w:p>
    <w:p>
      <w:pPr>
        <w:pStyle w:val="Heading1"/>
        <w:numPr>
          <w:ilvl w:val="0"/>
          <w:numId w:val="1"/>
        </w:numPr>
        <w:ind w:hanging="0" w:start="0"/>
        <w:rPr/>
      </w:pPr>
      <w:bookmarkStart w:id="2" w:name="__RefHeading___Toc1154_1745248429"/>
      <w:bookmarkEnd w:id="2"/>
      <w:r>
        <w:rPr>
          <w:rStyle w:val="Strong"/>
          <w:b/>
          <w:bCs/>
        </w:rPr>
        <w:t>Fé e Razão – As Raízes do Fideísmo</w:t>
      </w:r>
    </w:p>
    <w:p>
      <w:pPr>
        <w:pStyle w:val="BodyText"/>
        <w:spacing w:before="397" w:after="0"/>
        <w:ind w:firstLine="850"/>
        <w:jc w:val="both"/>
        <w:rPr/>
      </w:pPr>
      <w:r>
        <w:rPr>
          <w:rStyle w:val="Emphasis"/>
          <w:b w:val="false"/>
          <w:bCs w:val="false"/>
        </w:rPr>
        <w:t>O livro "The History of Scepticism from Erasmus to Spinoza" de Richard H. Popkin, explica o conceito de fideísmo, d</w:t>
      </w:r>
      <w:r>
        <w:rPr/>
        <w:t>e acordo com a definição do autor, o fideísmo é uma posição filosófica e teológica que sustenta que o conhecimento, especialmente o conhecimento sobre Deus e verdades religiosas, não pode ser alcançado pela razão humana, mas sim pela fé.</w:t>
      </w:r>
    </w:p>
    <w:p>
      <w:pPr>
        <w:pStyle w:val="BodyText"/>
        <w:spacing w:before="397" w:after="0"/>
        <w:ind w:firstLine="850"/>
        <w:jc w:val="both"/>
        <w:rPr/>
      </w:pPr>
      <w:r>
        <w:rPr>
          <w:rStyle w:val="Emphasis"/>
          <w:b w:val="false"/>
          <w:bCs w:val="false"/>
        </w:rPr>
        <w:t>Pascal</w:t>
      </w:r>
      <w:r>
        <w:rPr>
          <w:rStyle w:val="FootnoteReference"/>
          <w:b w:val="false"/>
          <w:bCs w:val="false"/>
        </w:rPr>
        <w:footnoteReference w:id="13"/>
      </w:r>
      <w:r>
        <w:rPr>
          <w:rStyle w:val="Emphasis"/>
          <w:b w:val="false"/>
          <w:bCs w:val="false"/>
        </w:rPr>
        <w:t>, por exemplo, sustenta, como Montaigne, que o homem não pode alcançar a ciência, mesmo na ordem das coisas naturais; que não pode conhecer a natureza, visto que não está em proporção com ela.</w:t>
      </w:r>
      <w:r>
        <w:br w:type="page"/>
      </w:r>
    </w:p>
    <w:p>
      <w:pPr>
        <w:pStyle w:val="BodyText"/>
        <w:spacing w:before="0" w:after="0"/>
        <w:ind w:firstLine="850"/>
        <w:jc w:val="both"/>
        <w:rPr/>
      </w:pPr>
      <w:r>
        <w:rPr/>
        <w:t>Popkin, detalha essa definição da seguinte forma:</w:t>
      </w:r>
    </w:p>
    <w:p>
      <w:pPr>
        <w:pStyle w:val="BodyText"/>
        <w:numPr>
          <w:ilvl w:val="0"/>
          <w:numId w:val="0"/>
        </w:numPr>
        <w:spacing w:before="397" w:after="0"/>
        <w:ind w:hanging="0" w:start="0"/>
        <w:jc w:val="center"/>
        <w:rPr>
          <w:b/>
          <w:bCs/>
        </w:rPr>
      </w:pPr>
      <w:r>
        <w:rPr>
          <w:b/>
          <w:bCs/>
        </w:rPr>
        <w:t>“</w:t>
      </w:r>
      <w:r>
        <w:rPr>
          <w:b/>
          <w:bCs/>
        </w:rPr>
        <w:t>Os fideístas são pessoas que são céticas em relação à possibilidade de obter conhecimento por meios racionais, a menos que se possuam algumas verdades básicas conhecidas pela fé. Em outras palavras, a fé é a base para qualquer conhecimento verdadeiro”</w:t>
      </w:r>
    </w:p>
    <w:p>
      <w:pPr>
        <w:pStyle w:val="BodyText"/>
        <w:spacing w:before="397" w:after="0"/>
        <w:ind w:firstLine="850"/>
        <w:jc w:val="both"/>
        <w:rPr/>
      </w:pPr>
      <w:r>
        <w:rPr/>
        <w:t xml:space="preserve">Para o fideísta, a razão sozinha é incapaz de provar ou estabelecer verdades como "Deus existe", estas só podem ser conhecidas se aceitas pela fé, a razão pode ter um papel, mas secundário. Por exemplo, ela pode servir para </w:t>
      </w:r>
      <w:r>
        <w:rPr>
          <w:rStyle w:val="Emphasis"/>
        </w:rPr>
        <w:t>explicar</w:t>
      </w:r>
      <w:r>
        <w:rPr/>
        <w:t xml:space="preserve"> ou </w:t>
      </w:r>
      <w:r>
        <w:rPr>
          <w:rStyle w:val="Emphasis"/>
        </w:rPr>
        <w:t>clarificar</w:t>
      </w:r>
      <w:r>
        <w:rPr/>
        <w:t xml:space="preserve"> o que se aceita pela fé, mas não para </w:t>
      </w:r>
      <w:r>
        <w:rPr>
          <w:rStyle w:val="Emphasis"/>
        </w:rPr>
        <w:t>provar</w:t>
      </w:r>
      <w:r>
        <w:rPr/>
        <w:t xml:space="preserve"> que é verdade.</w:t>
      </w:r>
    </w:p>
    <w:p>
      <w:pPr>
        <w:pStyle w:val="BodyText"/>
        <w:spacing w:before="397" w:after="0"/>
        <w:ind w:firstLine="850"/>
        <w:jc w:val="both"/>
        <w:rPr/>
      </w:pPr>
      <w:r>
        <w:rPr/>
        <w:t>Popkin afirma que o fideísmo abrange um espectro de visões desde uma fé cega</w:t>
      </w:r>
      <w:r>
        <w:rPr>
          <w:rStyle w:val="FootnoteReference"/>
        </w:rPr>
        <w:footnoteReference w:id="14"/>
      </w:r>
      <w:r>
        <w:rPr/>
        <w:t xml:space="preserve"> e uma prioritária</w:t>
      </w:r>
      <w:r>
        <w:rPr>
          <w:rStyle w:val="FootnoteReference"/>
        </w:rPr>
        <w:footnoteReference w:id="15"/>
      </w:r>
      <w:r>
        <w:rPr/>
        <w:t>.</w:t>
      </w:r>
    </w:p>
    <w:p>
      <w:pPr>
        <w:pStyle w:val="BodyText"/>
        <w:spacing w:before="397" w:after="0"/>
        <w:ind w:firstLine="850"/>
        <w:jc w:val="both"/>
        <w:rPr/>
      </w:pPr>
      <w:r>
        <w:rPr/>
        <w:t>O "cético" e o "crente" não são categorias opostas. Um cético, ao duvidar da capacidade da razão de provar algo, ainda pode aceitar crenças por outros motivos (como a fé). O fideísta é um cético quanto à razão, mas um crente pela fé.</w:t>
      </w:r>
    </w:p>
    <w:p>
      <w:pPr>
        <w:pStyle w:val="BodyText"/>
        <w:spacing w:before="397" w:after="0"/>
        <w:ind w:firstLine="850"/>
        <w:jc w:val="both"/>
        <w:rPr/>
      </w:pPr>
      <w:r>
        <w:rPr/>
        <w:t xml:space="preserve">Popkin menciona que pensadores como Pascal e Kierkegaard seriam exemplos de fideístas. Ele também aponta uma controvérsia no uso do termo: enquanto protestantes costumam classificar Santo Agostinho, Lutero e Calvino como fideístas, alguns católicos restringem o termo apenas àqueles que negam </w:t>
      </w:r>
      <w:r>
        <w:rPr>
          <w:rStyle w:val="Emphasis"/>
        </w:rPr>
        <w:t>qualquer</w:t>
      </w:r>
      <w:r>
        <w:rPr/>
        <w:t xml:space="preserve"> papel à razão antes e depois da fé.</w:t>
      </w:r>
    </w:p>
    <w:p>
      <w:pPr>
        <w:pStyle w:val="BodyText"/>
        <w:spacing w:before="397" w:after="0"/>
        <w:ind w:firstLine="850"/>
        <w:jc w:val="both"/>
        <w:rPr/>
      </w:pPr>
      <w:r>
        <w:rPr/>
        <w:t>O ceticismo renascentista foi uma das forças centrais no desenvolvimento do pensamento moderno, particularmente ao colidir com a crise intelectual gerada pela Reforma Protestante.</w:t>
      </w:r>
    </w:p>
    <w:p>
      <w:pPr>
        <w:pStyle w:val="BodyText"/>
        <w:spacing w:before="397" w:after="0"/>
        <w:ind w:firstLine="850"/>
        <w:jc w:val="both"/>
        <w:rPr/>
      </w:pPr>
      <w:r>
        <w:rPr/>
        <w:t>Montaigne foi fundamental nesse processo, criando um "novo pirronismo" (Pyrrhonism), uniu o ceticismo radical (a dúvida total sobre a capacidade da razão) com o fideísmo católico, argumentando que, como a razão não pode nos levar à verdade, devemos nos apoiar apenas na fé. Essa combinação foi usada tanto por defensores da Contrarreforma quanto por livres-pensadores (libertins érudits).</w:t>
      </w:r>
    </w:p>
    <w:p>
      <w:pPr>
        <w:pStyle w:val="BodyText"/>
        <w:spacing w:before="397" w:after="0"/>
        <w:ind w:firstLine="850"/>
        <w:jc w:val="both"/>
        <w:rPr/>
      </w:pPr>
      <w:r>
        <w:rPr/>
        <w:t>Descartes, que tentou usar o ceticismo como método para encontrar um fundamento indubitável para o conhecimento (Cogito, ergo sum) e, a partir daí, provar a existência de Deus e garantir a verdade de nossas ideias, falhou, na visão de Popkin, em seu objetivo, tornando-se sem querer, um "cético apesar de si mesmo".</w:t>
      </w:r>
    </w:p>
    <w:p>
      <w:pPr>
        <w:pStyle w:val="BodyText"/>
        <w:spacing w:before="397" w:after="0"/>
        <w:ind w:firstLine="850"/>
        <w:jc w:val="both"/>
        <w:rPr>
          <w:b w:val="false"/>
          <w:bCs w:val="false"/>
        </w:rPr>
      </w:pPr>
      <w:r>
        <w:rPr>
          <w:rStyle w:val="Emphasis"/>
          <w:b w:val="false"/>
          <w:bCs w:val="false"/>
        </w:rPr>
        <w:t>A consideração dos dois infinitos é uma ideia fundamental na filosofia de Pascal, e ela é o objeto principal do opúsculo intitulado: Do espírito geométrico. Ele mostra que concebemos necessariamente o espaço e a duração como estendidos ao infinito e como divisíveis ao infinito, e essa dupla condição de nossas concepções, ele a aplica aos próprios seres, mostrando-os suspensos, segundo uma progressão contínua, entre os dois limites do infinito e do nada.</w:t>
      </w:r>
    </w:p>
    <w:p>
      <w:pPr>
        <w:pStyle w:val="BodyText"/>
        <w:spacing w:before="397" w:after="0"/>
        <w:ind w:firstLine="850"/>
        <w:jc w:val="both"/>
        <w:rPr>
          <w:b w:val="false"/>
          <w:bCs w:val="false"/>
        </w:rPr>
      </w:pPr>
      <w:r>
        <w:rPr>
          <w:rStyle w:val="Emphasis"/>
          <w:b w:val="false"/>
          <w:bCs w:val="false"/>
        </w:rPr>
        <w:t>Pascal supõe que, além do alcance de nossa vista, na imensidão que se pode conceber da natureza, há uma infinidade de universos, cada um com seu firmamento, seus planetas, sua terra, de modo que todo esse mundo visível não é senão um canto esquecido da criação, e essa esfera celeste, magnífica envoltória de nosso globo, que uma pequena masmorra onde o homem está alojado. Ele admite, numa palavra, a pluralidade dos mundos, não de terras ou sóis, como em Fontenelle, mas de céus, como em Lucrécio.</w:t>
      </w:r>
      <w:r>
        <w:br w:type="page"/>
      </w:r>
    </w:p>
    <w:p>
      <w:pPr>
        <w:pStyle w:val="Heading1"/>
        <w:numPr>
          <w:ilvl w:val="0"/>
          <w:numId w:val="1"/>
        </w:numPr>
        <w:spacing w:before="0" w:after="120"/>
        <w:ind w:hanging="0" w:start="0"/>
        <w:rPr/>
      </w:pPr>
      <w:bookmarkStart w:id="3" w:name="__RefHeading___Toc1156_1745248429"/>
      <w:bookmarkEnd w:id="3"/>
      <w:r>
        <w:rPr>
          <w:rStyle w:val="Emphasis"/>
        </w:rPr>
        <w:t>A problemática do pluralismo fideístico</w:t>
      </w:r>
    </w:p>
    <w:p>
      <w:pPr>
        <w:pStyle w:val="BodyText"/>
        <w:spacing w:before="397" w:after="0"/>
        <w:ind w:firstLine="850"/>
        <w:jc w:val="both"/>
        <w:rPr/>
      </w:pPr>
      <w:r>
        <w:rPr>
          <w:rStyle w:val="Emphasis"/>
          <w:b w:val="false"/>
          <w:bCs w:val="false"/>
          <w:i w:val="false"/>
          <w:iCs w:val="false"/>
          <w:sz w:val="24"/>
          <w:szCs w:val="24"/>
        </w:rPr>
        <w:t>A tentativa de John Hick de fundamentar um pluralismo religioso que evite as armadilhas do exclusivismo e do inclusivismo cristão, revela uma tensão fundamental, que pode ser interpretada como um "pluralismo fideístico". Hick busca uma base racional e experiencial comum para a pluralidade de religiões, mas, ao fazê-lo, acaba por construir um sistema que depende, em última instância, de um ato de fé numa Realidade inefável. Essa fé, por sua vez, recai em um paradoxo semelhante ao que os céticos e fideístas da Reforma e Contrarreforma enfrentaram, conforme documentado por Popkin.</w:t>
      </w:r>
    </w:p>
    <w:p>
      <w:pPr>
        <w:pStyle w:val="BodyText"/>
        <w:spacing w:before="397" w:after="0"/>
        <w:ind w:firstLine="850"/>
        <w:jc w:val="both"/>
        <w:rPr/>
      </w:pPr>
      <w:r>
        <w:rPr>
          <w:rStyle w:val="Strong"/>
          <w:b w:val="false"/>
          <w:bCs w:val="false"/>
        </w:rPr>
        <w:t>Hick pode ser classificado como um fideísta</w:t>
      </w:r>
      <w:r>
        <w:rPr/>
        <w:t>, embora com características próprias. Seguindo a definição de Popkin, o fideísmo envolve a ideia de que o conhecimento sobre a Realidade Última não pode ser alcançado pela razão sozinha e que a fé é um elemento constitutivo e inescapável desse conhecimento</w:t>
      </w:r>
      <w:r>
        <w:rPr>
          <w:rStyle w:val="FootnoteReference"/>
        </w:rPr>
        <w:footnoteReference w:id="16"/>
      </w:r>
      <w:r>
        <w:rPr/>
        <w:t>.</w:t>
      </w:r>
    </w:p>
    <w:p>
      <w:pPr>
        <w:pStyle w:val="BodyText"/>
        <w:spacing w:before="397" w:after="0"/>
        <w:ind w:firstLine="850"/>
        <w:jc w:val="both"/>
        <w:rPr/>
      </w:pPr>
      <w:r>
        <w:rPr/>
        <w:t xml:space="preserve">Hick tenta escapar do fideísmo ao propor uma base racional para o pluralismo: a </w:t>
      </w:r>
      <w:r>
        <w:rPr>
          <w:rStyle w:val="Emphasis"/>
        </w:rPr>
        <w:t>experiência religiosa</w:t>
      </w:r>
      <w:r>
        <w:rPr/>
        <w:t xml:space="preserve"> comum e a </w:t>
      </w:r>
      <w:r>
        <w:rPr>
          <w:rStyle w:val="Emphasis"/>
        </w:rPr>
        <w:t>ética</w:t>
      </w:r>
      <w:r>
        <w:rPr/>
        <w:t xml:space="preserve"> (a "regra de ouro") como critérios para avaliar a autenticidade salvífica de uma tradição</w:t>
      </w:r>
      <w:r>
        <w:rPr>
          <w:rStyle w:val="FootnoteReference"/>
        </w:rPr>
        <w:footnoteReference w:id="17"/>
      </w:r>
      <w:r>
        <w:rPr/>
        <w:t>. Ele argumenta que é racional confiar na experiência religiosa, pois ela é a base para a crença, assim como confiamos na experiência sensorial.</w:t>
      </w:r>
    </w:p>
    <w:p>
      <w:pPr>
        <w:pStyle w:val="BodyText"/>
        <w:spacing w:before="397" w:after="0"/>
        <w:ind w:firstLine="850"/>
        <w:jc w:val="both"/>
        <w:rPr/>
      </w:pPr>
      <w:r>
        <w:rPr/>
        <w:t>No entanto, essa tentativa encontra um obstáculo crucial, a "experiência comum" que Hick postula, a experiência do "Real", não é auto-evidente. Para que essa experiência seja interpretada como um encontro com uma Realidade Transcendente única e inefável, é necessário um ato de fé que transcende a própria experiência. Como o próprio Hick admite, a experiência religiosa é sempre interpretada através das "lentes" da tradição cultural do indivíduo. Não há um acesso neutro ao "Real" que permita verificar se as experiências de um cristão, um hindu e um budista são de fato "experiências do mesmo Real".</w:t>
      </w:r>
    </w:p>
    <w:p>
      <w:pPr>
        <w:pStyle w:val="BodyText"/>
        <w:spacing w:before="397" w:after="0"/>
        <w:ind w:firstLine="850"/>
        <w:jc w:val="both"/>
        <w:rPr/>
      </w:pPr>
      <w:r>
        <w:rPr/>
        <w:t>Aqui reside o cerne do fideísmo hickiano. A sua hipótese pluralista, que postula um Real único e inefável, não é uma conclusão derivada das experiências religiosas, mas uma crença fundamental que ele toma como ponto de partida para interpretá-las. Essa crença no "Real" é análoga à crença fideísta dos Reformadores e Contrarreformadores descrita por Popkin: uma aposta na qual a razão não pode provar a verdade última, mas a fé a sustenta como um postulado necessário para dar sentido à experiência.</w:t>
      </w:r>
      <w:r>
        <w:br w:type="page"/>
      </w:r>
    </w:p>
    <w:p>
      <w:pPr>
        <w:pStyle w:val="Heading2"/>
        <w:numPr>
          <w:ilvl w:val="1"/>
          <w:numId w:val="3"/>
        </w:numPr>
        <w:spacing w:before="0" w:after="120"/>
        <w:rPr/>
      </w:pPr>
      <w:bookmarkStart w:id="4" w:name="__RefHeading___Toc1158_1745248429"/>
      <w:bookmarkEnd w:id="4"/>
      <w:r>
        <w:rPr/>
        <w:t>As Objeções de Plantinga e a Contradição Performativa</w:t>
      </w:r>
    </w:p>
    <w:p>
      <w:pPr>
        <w:pStyle w:val="BodyText"/>
        <w:spacing w:before="397" w:after="0"/>
        <w:ind w:firstLine="850"/>
        <w:jc w:val="both"/>
        <w:rPr/>
      </w:pPr>
      <w:r>
        <w:rPr/>
        <w:t xml:space="preserve">A análise de Alvin Plantinga, conforme apresentada na tese de Barra, expõe com clareza as fragilidades do projeto hickiano e aponta para o que podemos chamar de uma </w:t>
      </w:r>
      <w:r>
        <w:rPr>
          <w:rStyle w:val="Emphasis"/>
        </w:rPr>
        <w:t>contradição performativa</w:t>
      </w:r>
      <w:r>
        <w:rPr/>
        <w:t xml:space="preserve"> no coração do pluralismo.</w:t>
      </w:r>
    </w:p>
    <w:p>
      <w:pPr>
        <w:pStyle w:val="BodyText"/>
        <w:spacing w:before="397" w:after="0"/>
        <w:ind w:firstLine="850"/>
        <w:jc w:val="both"/>
        <w:rPr/>
      </w:pPr>
      <w:r>
        <w:rPr/>
        <w:t>Plantinga argumenta que a posição de Hick é internamente incoerente. Hick afirma que o "Real em si" é inefável, transcendendo todas as categorias humanas. No entanto, ele também faz afirmações positivas sobre o Real: que ele é a fonte comum das religiões, que é experimentado de forma pessoal e impessoal, e que o comportamento centrado no Real é o caminho para a salvação</w:t>
      </w:r>
      <w:r>
        <w:rPr>
          <w:rStyle w:val="FootnoteReference"/>
        </w:rPr>
        <w:footnoteReference w:id="18"/>
      </w:r>
      <w:r>
        <w:rPr/>
        <w:t>.</w:t>
      </w:r>
    </w:p>
    <w:p>
      <w:pPr>
        <w:pStyle w:val="BodyText"/>
        <w:spacing w:before="397" w:after="0"/>
        <w:ind w:firstLine="850"/>
        <w:jc w:val="both"/>
        <w:rPr/>
      </w:pPr>
      <w:r>
        <w:rPr/>
        <w:t xml:space="preserve">A contradição performativa surge quando Hick, na sua tentativa de afirmar que nenhuma religião tem o monopólio da verdade, acaba por fazer uma afirmação de verdade sobre a </w:t>
      </w:r>
      <w:r>
        <w:rPr>
          <w:rStyle w:val="Emphasis"/>
        </w:rPr>
        <w:t>natureza da própria realidade</w:t>
      </w:r>
      <w:r>
        <w:rPr/>
        <w:t xml:space="preserve"> que é, ela mesma, exclusivista. Para sustentar o pluralismo, Hick precisa afirmar que todas as religiões estão erradas em suas reivindicações de verdade exclusiva e literal. Ele afirma, com base na sua fé no "Real", que o cristão está errado ao crer que Jesus é a única encarnação de Deus, assim como o muçulmano está errado ao crer que o Alcorão é a última palavra de Deus</w:t>
      </w:r>
      <w:r>
        <w:rPr>
          <w:rStyle w:val="FootnoteReference"/>
        </w:rPr>
        <w:footnoteReference w:id="19"/>
      </w:r>
      <w:r>
        <w:rPr/>
        <w:t>.</w:t>
      </w:r>
    </w:p>
    <w:p>
      <w:pPr>
        <w:pStyle w:val="BodyText"/>
        <w:spacing w:before="397" w:after="0"/>
        <w:ind w:firstLine="850"/>
        <w:jc w:val="both"/>
        <w:rPr/>
      </w:pPr>
      <w:r>
        <w:rPr/>
        <w:t>Plantinga destaca essa ironia:</w:t>
      </w:r>
    </w:p>
    <w:p>
      <w:pPr>
        <w:pStyle w:val="BodyText"/>
        <w:spacing w:before="397" w:after="0"/>
        <w:ind w:firstLine="850"/>
        <w:jc w:val="center"/>
        <w:rPr/>
      </w:pPr>
      <w:r>
        <w:rPr/>
        <w:t>"</w:t>
      </w:r>
      <w:r>
        <w:rPr>
          <w:b/>
          <w:bCs/>
        </w:rPr>
        <w:t>...ao tentar não desrespeitar um ou outro crente religioso afirmando este ou aquele, [o pluralista] desrespeita todos pelo pronunciamento de que estão todos errados."</w:t>
      </w:r>
    </w:p>
    <w:p>
      <w:pPr>
        <w:pStyle w:val="BodyText"/>
        <w:spacing w:before="397" w:after="0"/>
        <w:ind w:firstLine="850"/>
        <w:jc w:val="both"/>
        <w:rPr/>
      </w:pPr>
      <w:r>
        <w:rPr/>
        <w:t>Essa crítica ecoa as análises de Popkin sobre os debates da Reforma. Tal como os céticos, como Castellio, tentavam suspender o julgamento sobre as disputas religiosas apelando para a incerteza, Hick tenta suspender o julgamento sobre as verdades exclusivistas apelando para uma "verdade superior". No entanto, ao fazer isso, ele não se coloca numa posição neutra, mas, sim, num novo tipo de dogmatismo, que se baseia na sua própria fé no "Real"</w:t>
      </w:r>
      <w:r>
        <w:rPr>
          <w:rStyle w:val="FootnoteReference"/>
        </w:rPr>
        <w:footnoteReference w:id="20"/>
      </w:r>
      <w:r>
        <w:rPr/>
        <w:t>. Ele se torna, nas palavras de um crítico, o "elefante" da parábola que, ao contrário dos cegos, pode ver o todo, afirmando que a venda das religiões as impede de perceber suas limitações</w:t>
      </w:r>
      <w:r>
        <w:rPr>
          <w:rStyle w:val="FootnoteReference"/>
        </w:rPr>
        <w:footnoteReference w:id="21"/>
      </w:r>
      <w:r>
        <w:rPr/>
        <w:t>.</w:t>
      </w:r>
    </w:p>
    <w:p>
      <w:pPr>
        <w:pStyle w:val="Heading2"/>
        <w:numPr>
          <w:ilvl w:val="1"/>
          <w:numId w:val="4"/>
        </w:numPr>
        <w:rPr/>
      </w:pPr>
      <w:bookmarkStart w:id="5" w:name="__RefHeading___Toc1160_1745248429"/>
      <w:bookmarkEnd w:id="5"/>
      <w:r>
        <w:rPr/>
        <w:t>O Risco do Esvaziamento Doutrinário</w:t>
      </w:r>
    </w:p>
    <w:p>
      <w:pPr>
        <w:pStyle w:val="BodyText"/>
        <w:spacing w:before="397" w:after="0"/>
        <w:ind w:firstLine="850"/>
        <w:jc w:val="both"/>
        <w:rPr/>
      </w:pPr>
      <w:r>
        <w:rPr/>
        <w:t xml:space="preserve">A consequência mais direta do pluralismo hickiano, quando analisado sob a óptica fideística, é o que podemos chamar de </w:t>
      </w:r>
      <w:r>
        <w:rPr>
          <w:rStyle w:val="Emphasis"/>
        </w:rPr>
        <w:t>esvaziamento doutrinário</w:t>
      </w:r>
      <w:r>
        <w:rPr/>
        <w:t>. Se o que realmente importa é a experiência inefável do "Real" e a sua transformação ética (a passagem do egocentrismo ao centramento no Real), então o conteúdo específico das doutrinas religiosas torna-se secundário, se não meramente instrumental.</w:t>
      </w:r>
    </w:p>
    <w:p>
      <w:pPr>
        <w:pStyle w:val="BodyText"/>
        <w:spacing w:before="397" w:after="0"/>
        <w:ind w:firstLine="850"/>
        <w:jc w:val="both"/>
        <w:rPr/>
      </w:pPr>
      <w:r>
        <w:rPr/>
        <w:t>Hick é explícito quanto a isso ao reinterpretar doutrinas centrais do cristianismo. A Encarnação deixa de ser um evento histórico único para se tornar uma metáfora do amor de Deus, válida enquanto inspirar a transformação. A Ressurreição corporal deixa de ser um fato histórico para ser um "símbolo esperançoso" da renovação. O nascimento virginal e a Trindade são descartados como construções literais sem sentido.</w:t>
      </w:r>
    </w:p>
    <w:p>
      <w:pPr>
        <w:pStyle w:val="BodyText"/>
        <w:spacing w:before="397" w:after="0"/>
        <w:ind w:firstLine="850"/>
        <w:jc w:val="both"/>
        <w:rPr/>
      </w:pPr>
      <w:r>
        <w:rPr/>
        <w:t>Essa abordagem, na prática, dissolve a especificidade de cada tradição religiosa. O Cristianismo, o Hinduísmo e o Budismo são vistos como caminhos funcionalmente equivalentes que, quando funcionam corretamente, produzem o mesmo resultado: a transformação do ego para o Real. Seus mitos e rituais são úteis na medida em que "funcionam" soteriológicamente, mas sua verdade factual é negada ou relativizada.</w:t>
      </w:r>
    </w:p>
    <w:p>
      <w:pPr>
        <w:pStyle w:val="BodyText"/>
        <w:spacing w:before="397" w:after="0"/>
        <w:ind w:firstLine="850"/>
        <w:jc w:val="both"/>
        <w:rPr/>
      </w:pPr>
      <w:r>
        <w:rPr/>
        <w:t>A pergunta que se coloca é: isso ainda é pluralismo ou uma forma de reducionismo?</w:t>
      </w:r>
    </w:p>
    <w:p>
      <w:pPr>
        <w:pStyle w:val="BodyText"/>
        <w:spacing w:before="397" w:after="0"/>
        <w:ind w:firstLine="850"/>
        <w:jc w:val="both"/>
        <w:rPr/>
      </w:pPr>
      <w:r>
        <w:rPr/>
        <w:t>Como argumentam críticos como Gavin D’Costa e Amaladoss, Hick não leva as religiões a sério em seus próprios termos. Ele as trata como fenómenos culturais que apontam para uma realidade que ele mesmo, o filósofo, é capaz de descrever com mais precisão. Esse é o risco do fideísmo hickiano: sua "fé" na existência do Real e na primazia da experiência ética acaba por ditar quais aspectos de uma tradição são "válidos" (os mitos que geram compaixão) e quais são "inválidos" (as afirmações factuais sobre a história da salvação).</w:t>
      </w:r>
    </w:p>
    <w:p>
      <w:pPr>
        <w:pStyle w:val="BodyText"/>
        <w:spacing w:before="397" w:after="0"/>
        <w:ind w:firstLine="850"/>
        <w:jc w:val="both"/>
        <w:rPr/>
      </w:pPr>
      <w:r>
        <w:rPr/>
        <w:t>Em suma, o pluralismo de Hick, ao buscar um fundamento último na fé num Real inefável, reproduz a estrutura fideísta que Popkin identificou no cerne da crise intelectual do século XVII. Ele escapa do exclusivismo dogmático, mas cai num novo tipo de dogmatismo pluralista, cujo preço é o esvaziamento do conteúdo substantivo das tradições religiosas que pretende defender.</w:t>
      </w:r>
    </w:p>
    <w:p>
      <w:pPr>
        <w:pStyle w:val="Heading1"/>
        <w:numPr>
          <w:ilvl w:val="0"/>
          <w:numId w:val="1"/>
        </w:numPr>
        <w:ind w:hanging="0" w:start="0"/>
        <w:rPr/>
      </w:pPr>
      <w:bookmarkStart w:id="6" w:name="__RefHeading___Toc1162_1745248429"/>
      <w:bookmarkEnd w:id="6"/>
      <w:r>
        <w:rPr/>
        <w:t>Considerações Finais</w:t>
      </w:r>
    </w:p>
    <w:p>
      <w:pPr>
        <w:pStyle w:val="BodyText"/>
        <w:spacing w:before="397" w:after="0"/>
        <w:ind w:firstLine="850"/>
        <w:jc w:val="both"/>
        <w:rPr/>
      </w:pPr>
      <w:r>
        <w:rPr>
          <w:rStyle w:val="Emphasis"/>
        </w:rPr>
        <w:t>É possível fundamentar um pluralismo religioso genuíno que reconheça a validade de múltiplas tradições sem, para isso, recorrer a um ato de fé que, em última instância, reproduz a estrutura fideísta que o pluralismo pretendia superar?</w:t>
      </w:r>
    </w:p>
    <w:p>
      <w:pPr>
        <w:pStyle w:val="BodyText"/>
        <w:spacing w:before="397" w:after="0"/>
        <w:ind w:firstLine="850"/>
        <w:jc w:val="both"/>
        <w:rPr/>
      </w:pPr>
      <w:r>
        <w:rPr/>
        <w:t xml:space="preserve">A resposta, à luz da análise empreendida, é negativa. A hipótese pluralista de John Hick, apesar de sua indiscutível contribuição para o diálogo inter-religioso e para a superação de posturas exclusivistas, não consegue escapar do que podemos chamar de </w:t>
      </w:r>
      <w:r>
        <w:rPr>
          <w:rStyle w:val="Strong"/>
        </w:rPr>
        <w:t>contradição performativa</w:t>
      </w:r>
      <w:r>
        <w:rPr/>
        <w:t xml:space="preserve"> inerente ao projeto de fundamentar racionalmente o pluralismo.</w:t>
      </w:r>
    </w:p>
    <w:p>
      <w:pPr>
        <w:pStyle w:val="Heading2"/>
        <w:numPr>
          <w:ilvl w:val="1"/>
          <w:numId w:val="5"/>
        </w:numPr>
        <w:rPr/>
      </w:pPr>
      <w:bookmarkStart w:id="7" w:name="__RefHeading___Toc1164_1745248429"/>
      <w:bookmarkEnd w:id="7"/>
      <w:r>
        <w:rPr/>
        <w:t>A Estrutura Fideística do Pluralismo Hickiano</w:t>
      </w:r>
    </w:p>
    <w:p>
      <w:pPr>
        <w:pStyle w:val="BodyText"/>
        <w:spacing w:before="397" w:after="0"/>
        <w:ind w:firstLine="850"/>
        <w:jc w:val="both"/>
        <w:rPr/>
      </w:pPr>
      <w:r>
        <w:rPr/>
        <w:t>O trabalho demonstrou que Hick, ao postular o "Real" como uma Realidade Última inefável e única, não está a derivar essa conclusão das experiências religiosas particulares, mas sim a impô-la como um princípio metafísico que antecede e organiza a interpretação dessas experiências. Como o próprio Hick admite, a experiência religiosa é sempre mediada por "lentes" culturais e conceptuais</w:t>
      </w:r>
      <w:r>
        <w:rPr>
          <w:rStyle w:val="FootnoteReference"/>
        </w:rPr>
        <w:footnoteReference w:id="22"/>
      </w:r>
      <w:r>
        <w:rPr/>
        <w:t>. Não há um acesso neutro ao "Real" que permita verificar se as experiências de um cristão, um hindu e um budista são, de facto, "experiências do mesmo Real".</w:t>
      </w:r>
    </w:p>
    <w:p>
      <w:pPr>
        <w:pStyle w:val="BodyText"/>
        <w:spacing w:before="397" w:after="0"/>
        <w:ind w:firstLine="850"/>
        <w:jc w:val="both"/>
        <w:rPr/>
      </w:pPr>
      <w:r>
        <w:rPr/>
        <w:t>A hipótese pluralista, portanto, não é uma conclusão empírica, mas um postulado que Hick toma como ponto de partida para resolver o problema da diversidade religiosa. Esse postulado é, em sua estrutura, análogo à crença fideísta dos Reformadores e Contrarreformadores analisada por Popkin: uma aposta na qual a razão não pode provar a verdade última, mas a fé a sustenta como condição de possibilidade para dar sentido à experiência</w:t>
      </w:r>
      <w:r>
        <w:rPr>
          <w:rStyle w:val="FootnoteReference"/>
        </w:rPr>
        <w:footnoteReference w:id="23"/>
      </w:r>
      <w:r>
        <w:rPr/>
        <w:t>. Hick, ao buscar um fundamento último para o pluralismo, acaba por construir um sistema que depende de um ato de fé numa Realidade inefável, reproduzindo a estrutura que ele pretendia superar.</w:t>
      </w:r>
    </w:p>
    <w:p>
      <w:pPr>
        <w:pStyle w:val="Heading2"/>
        <w:numPr>
          <w:ilvl w:val="1"/>
          <w:numId w:val="6"/>
        </w:numPr>
        <w:rPr/>
      </w:pPr>
      <w:bookmarkStart w:id="8" w:name="__RefHeading___Toc1166_1745248429"/>
      <w:bookmarkEnd w:id="8"/>
      <w:r>
        <w:rPr/>
        <w:t>A Contradição Performativa: O Imperialismo do Pluralismo</w:t>
      </w:r>
    </w:p>
    <w:p>
      <w:pPr>
        <w:pStyle w:val="BodyText"/>
        <w:spacing w:before="397" w:after="0"/>
        <w:ind w:firstLine="850"/>
        <w:jc w:val="both"/>
        <w:rPr/>
      </w:pPr>
      <w:r>
        <w:rPr/>
        <w:t>A crítica de Plantinga, apresentada na tese de Barra, expõe com clareza a contradição performativa no coração do pluralismo hickiano</w:t>
      </w:r>
      <w:r>
        <w:rPr>
          <w:rStyle w:val="FootnoteReference"/>
        </w:rPr>
        <w:footnoteReference w:id="24"/>
      </w:r>
      <w:r>
        <w:rPr/>
        <w:t xml:space="preserve">. Hick afirma que nenhuma religião tem o monopólio da verdade, mas, para sustentar essa afirmação, ele precisa fazer uma afirmação de verdade sobre a </w:t>
      </w:r>
      <w:r>
        <w:rPr>
          <w:rStyle w:val="Emphasis"/>
        </w:rPr>
        <w:t>natureza da própria realidade</w:t>
      </w:r>
      <w:r>
        <w:rPr/>
        <w:t xml:space="preserve"> que é, ela mesma, exclusivista.</w:t>
      </w:r>
    </w:p>
    <w:p>
      <w:pPr>
        <w:pStyle w:val="BodyText"/>
        <w:spacing w:before="397" w:after="0"/>
        <w:ind w:firstLine="850"/>
        <w:jc w:val="both"/>
        <w:rPr/>
      </w:pPr>
      <w:r>
        <w:rPr/>
        <w:t>O pluralista, ao declarar que todas as religiões estão erradas em suas pretensões de verdade exclusiva e literal, coloca-se numa posição de privilégio epistémico que ele nega às demais. Ele se torna, nas palavras de um crítico, o "elefante" da parábola que, ao contrário dos cegos, pode ver o todo, afirmando que a venda das religiões as impede de perceber suas limitações</w:t>
      </w:r>
      <w:r>
        <w:rPr>
          <w:rStyle w:val="FootnoteReference"/>
        </w:rPr>
        <w:footnoteReference w:id="25"/>
      </w:r>
      <w:r>
        <w:rPr/>
        <w:t>. Esta posição, ironicamente, constitui uma nova forma de dogmatismo, cuja pretensão de neutralidade esconde a sua própria natureza fideística.</w:t>
      </w:r>
    </w:p>
    <w:p>
      <w:pPr>
        <w:pStyle w:val="BodyText"/>
        <w:spacing w:before="397" w:after="0"/>
        <w:ind w:firstLine="850"/>
        <w:jc w:val="both"/>
        <w:rPr/>
      </w:pPr>
      <w:r>
        <w:rPr/>
        <w:t>Essa crítica ecoa as análises de Popkin sobre os debates da Reforma. Tal como os céticos, como Castellio, tentavam suspender o julgamento sobre as disputas religiosas apelando para a incerteza, Hick tenta suspender o julgamento sobre as verdades exclusivistas apelando para uma "verdade superior". No entanto, ao fazer isso, ele não se coloca numa posição neutra, mas sim num novo tipo de dogmatismo, que se baseia na sua própria fé no "Real".</w:t>
      </w:r>
    </w:p>
    <w:p>
      <w:pPr>
        <w:pStyle w:val="Heading2"/>
        <w:numPr>
          <w:ilvl w:val="1"/>
          <w:numId w:val="7"/>
        </w:numPr>
        <w:rPr/>
      </w:pPr>
      <w:bookmarkStart w:id="9" w:name="__RefHeading___Toc1168_1745248429"/>
      <w:bookmarkEnd w:id="9"/>
      <w:r>
        <w:rPr/>
        <w:t>O Esvaziamento Doutrinário: O Preço do Pluralismo</w:t>
      </w:r>
    </w:p>
    <w:p>
      <w:pPr>
        <w:pStyle w:val="BodyText"/>
        <w:spacing w:before="397" w:after="0"/>
        <w:ind w:firstLine="850"/>
        <w:jc w:val="both"/>
        <w:rPr/>
      </w:pPr>
      <w:r>
        <w:rPr/>
        <w:t xml:space="preserve">A consequência mais direta deste pluralismo fideístico é o que podemos chamar de </w:t>
      </w:r>
      <w:r>
        <w:rPr>
          <w:rStyle w:val="Emphasis"/>
        </w:rPr>
        <w:t>esvaziamento doutrinário</w:t>
      </w:r>
      <w:r>
        <w:rPr/>
        <w:t>. Hick é explícito ao reinterpretar doutrinas centrais do cristianismo: a Encarnação deixa de ser um evento histórico único para se tornar uma metáfora; a Ressurreição corporal deixa de ser um facto histórico para ser um "símbolo esperançoso" da renovação; o nascimento virginal e a Trindade são descartados como construções literais sem sentido.</w:t>
      </w:r>
    </w:p>
    <w:p>
      <w:pPr>
        <w:pStyle w:val="BodyText"/>
        <w:spacing w:before="397" w:after="0"/>
        <w:ind w:firstLine="850"/>
        <w:jc w:val="both"/>
        <w:rPr/>
      </w:pPr>
      <w:r>
        <w:rPr/>
        <w:t>Esta abordagem, na prática, dissolve a especificidade de cada tradição religiosa. O Cristianismo, o Hinduísmo e o Budismo são vistos como caminhos funcionalmente equivalentes que, quando funcionam corretamente, produzem o mesmo resultado: a transformação do ego para o Real. Seus mitos e rituais são úteis na medida em que "funcionam" soteriológicamente, mas sua verdade factual é negada ou relativizada.</w:t>
      </w:r>
    </w:p>
    <w:p>
      <w:pPr>
        <w:pStyle w:val="BodyText"/>
        <w:spacing w:before="397" w:after="0"/>
        <w:ind w:firstLine="850"/>
        <w:jc w:val="both"/>
        <w:rPr/>
      </w:pPr>
      <w:r>
        <w:rPr/>
        <w:t>Como argumentam críticos como D'Costa e Amaladoss, Hick não leva as religiões a sério em seus próprios termos. Ele as trata como fenómenos culturais que apontam para uma realidade que ele mesmo, o filósofo, é capaz de descrever com mais precisão. O cristão que acredita na Encarnação literal, o muçulmano que acredita que o Alcorão é a palavra literal de Deus, o hindu que acredita na realidade dos seus deuses — todos eles, segundo Hick, estão equivocados acerca do fundamento da sua própria fé.</w:t>
      </w:r>
    </w:p>
    <w:p>
      <w:pPr>
        <w:pStyle w:val="Heading2"/>
        <w:numPr>
          <w:ilvl w:val="1"/>
          <w:numId w:val="8"/>
        </w:numPr>
        <w:rPr/>
      </w:pPr>
      <w:bookmarkStart w:id="10" w:name="__RefHeading___Toc1170_1745248429"/>
      <w:bookmarkEnd w:id="10"/>
      <w:r>
        <w:rPr/>
        <w:t>O Pluralismo Fideístico como um Novo Dogmatismo</w:t>
      </w:r>
    </w:p>
    <w:p>
      <w:pPr>
        <w:pStyle w:val="BodyText"/>
        <w:spacing w:before="397" w:after="0"/>
        <w:ind w:firstLine="850"/>
        <w:jc w:val="both"/>
        <w:rPr/>
      </w:pPr>
      <w:r>
        <w:rPr/>
        <w:t>Retomando a pergunta de pesquisa, face ao “problema da justificação”, o pluralismo fideístico falha porque não consegue resolver o problema da contradição doutrinária sem abandonar o conteúdo central das religiões, caindo numa forma de ceticismo disfarçado de abertura.</w:t>
      </w:r>
    </w:p>
    <w:p>
      <w:pPr>
        <w:pStyle w:val="BodyText"/>
        <w:spacing w:before="397" w:after="0"/>
        <w:ind w:firstLine="850"/>
        <w:jc w:val="both"/>
        <w:rPr/>
      </w:pPr>
      <w:r>
        <w:rPr/>
        <w:t>O pluralismo de Hick, ao buscar um fundamento último na fé num Real inefável, reproduz a estrutura fideísta que Popkin identificou no cerne da crise intelectual do século XVII. Ele escapa do exclusivismo dogmático, mas cai num novo tipo de dogmatismo pluralista, cujo preço é o esvaziamento do conteúdo substantivo das tradições religiosas que pretende defender.</w:t>
      </w:r>
    </w:p>
    <w:p>
      <w:pPr>
        <w:pStyle w:val="BodyText"/>
        <w:spacing w:before="397" w:after="0"/>
        <w:ind w:firstLine="850"/>
        <w:jc w:val="both"/>
        <w:rPr/>
      </w:pPr>
      <w:r>
        <w:rPr/>
        <w:t>Não se trata, contudo, de negar a importância do gesto pluralista. A abertura ao diálogo, o respeito pela diversidade e a recusa da violência em nome da verdade religiosa são conquistas éticas inestimáveis. Mas estas conquistas não dependem, paradoxalmente, de uma fundamentação filosófica que pretenda provar a igualdade de todas as religiões. Elas dependem, antes, de uma aposta na humildade epistémica: reconhecer que a nossa fé, por mais profunda que seja, não nos dá acesso à totalidade da verdade sobre o Mistério que a todas transcende.</w:t>
      </w:r>
    </w:p>
    <w:p>
      <w:pPr>
        <w:pStyle w:val="BodyText"/>
        <w:spacing w:before="397" w:after="0"/>
        <w:ind w:firstLine="850"/>
        <w:jc w:val="both"/>
        <w:rPr/>
      </w:pPr>
      <w:r>
        <w:rPr/>
        <w:t>O pluralismo fideístico de Hick, ao pretender oferecer uma fundamentação racional para essa humildade, acaba por trair o seu próprio espírito. Pois, como nos ensina a tradição fideísta que ele tanto tenta superar, a verdadeira humildade diante do Mistério não consiste em afirmar que todas as religiões são igualmente verdadeiras, mas em reconhecer que nenhuma delas pode esgotar a Verdade que professa.</w:t>
      </w:r>
      <w:r>
        <w:br w:type="page"/>
      </w:r>
    </w:p>
    <w:p>
      <w:pPr>
        <w:pStyle w:val="Heading1"/>
        <w:numPr>
          <w:ilvl w:val="0"/>
          <w:numId w:val="1"/>
        </w:numPr>
        <w:spacing w:before="0" w:after="120"/>
        <w:ind w:hanging="0" w:start="0"/>
        <w:rPr/>
      </w:pPr>
      <w:r>
        <w:rPr/>
        <w:t>BIBLIOGRAFIA</w:t>
      </w:r>
    </w:p>
    <w:p>
      <w:pPr>
        <w:pStyle w:val="BodyText"/>
        <w:rPr/>
      </w:pPr>
      <w:r>
        <w:rPr/>
      </w:r>
    </w:p>
    <w:p>
      <w:pPr>
        <w:pStyle w:val="BodyText"/>
        <w:rPr/>
      </w:pPr>
      <w:r>
        <w:rPr/>
        <w:t xml:space="preserve">BARRA, Suely Ribeiro. </w:t>
      </w:r>
      <w:r>
        <w:rPr>
          <w:rStyle w:val="Emphasis"/>
        </w:rPr>
        <w:t>Hipótese pluralista de John Hick</w:t>
      </w:r>
      <w:r>
        <w:rPr/>
        <w:t>: a sua contribuição para o diálogo inter-religioso. 2014. Tese (Doutorado em Ciência da Religião) – Universidade Federal de Juiz de Fora, Juiz de Fora, 2014.</w:t>
      </w:r>
    </w:p>
    <w:p>
      <w:pPr>
        <w:pStyle w:val="BodyText"/>
        <w:rPr/>
      </w:pPr>
      <w:r>
        <w:rPr/>
        <w:t xml:space="preserve">HICK, John. </w:t>
      </w:r>
      <w:r>
        <w:rPr>
          <w:rStyle w:val="Emphasis"/>
        </w:rPr>
        <w:t>A metáfora do Deus encarnado</w:t>
      </w:r>
      <w:r>
        <w:rPr/>
        <w:t>. Petrópolis: Vozes, 2000.</w:t>
      </w:r>
    </w:p>
    <w:p>
      <w:pPr>
        <w:pStyle w:val="BodyText"/>
        <w:rPr/>
      </w:pPr>
      <w:r>
        <w:rPr/>
        <w:t xml:space="preserve">PASCAL, Blaise. </w:t>
      </w:r>
      <w:r>
        <w:rPr>
          <w:rStyle w:val="Emphasis"/>
        </w:rPr>
        <w:t>Pensées</w:t>
      </w:r>
      <w:r>
        <w:rPr/>
        <w:t>. Paris: Classiques Garnier, s.d.</w:t>
      </w:r>
    </w:p>
    <w:p>
      <w:pPr>
        <w:pStyle w:val="BodyText"/>
        <w:rPr/>
      </w:pPr>
      <w:r>
        <w:rPr/>
        <w:t xml:space="preserve">PLANTINGA, Alvin. </w:t>
      </w:r>
      <w:r>
        <w:rPr>
          <w:rStyle w:val="Emphasis"/>
        </w:rPr>
        <w:t>Crença cristã e pluralismo religioso</w:t>
      </w:r>
      <w:r>
        <w:rPr/>
        <w:t xml:space="preserve">. In: _____. </w:t>
      </w:r>
      <w:r>
        <w:rPr>
          <w:rStyle w:val="Emphasis"/>
        </w:rPr>
        <w:t>Fé e filosofia</w:t>
      </w:r>
      <w:r>
        <w:rPr/>
        <w:t>. São Paulo: Vida Nova, 2015. (No original: Warranted Christian Belief, Oxford University Press, 2000.)</w:t>
      </w:r>
    </w:p>
    <w:p>
      <w:pPr>
        <w:pStyle w:val="BodyText"/>
        <w:rPr/>
      </w:pPr>
      <w:r>
        <w:rPr/>
        <w:t xml:space="preserve">POPKIN, Richard H. </w:t>
      </w:r>
      <w:r>
        <w:rPr>
          <w:rStyle w:val="Emphasis"/>
        </w:rPr>
        <w:t>The history of scepticism from Erasmus to Spinoza</w:t>
      </w:r>
      <w:r>
        <w:rPr/>
        <w:t>. Berkeley: University of California Press, 1979.</w:t>
      </w:r>
    </w:p>
    <w:p>
      <w:pPr>
        <w:pStyle w:val="BodyText"/>
        <w:rPr/>
      </w:pPr>
      <w:r>
        <w:rPr/>
        <w:t xml:space="preserve">PORTELLA, Rodrigo. A contribuição de John Hick para o diálogo inter-religioso: uma análise de </w:t>
      </w:r>
      <w:r>
        <w:rPr>
          <w:rStyle w:val="Emphasis"/>
        </w:rPr>
        <w:t>A metáfora do Deus encarnado</w:t>
      </w:r>
      <w:r>
        <w:rPr/>
        <w:t xml:space="preserve">. </w:t>
      </w:r>
      <w:r>
        <w:rPr>
          <w:rStyle w:val="Emphasis"/>
        </w:rPr>
        <w:t>Horizonte</w:t>
      </w:r>
      <w:r>
        <w:rPr/>
        <w:t>, Belo Horizonte, v. 3, n. 6, p. 75-88, 1º sem. 2005.</w:t>
      </w:r>
    </w:p>
    <w:p>
      <w:pPr>
        <w:pStyle w:val="BodyText"/>
        <w:spacing w:before="0" w:after="140"/>
        <w:rPr/>
      </w:pPr>
      <w:r>
        <w:rPr/>
        <w:t xml:space="preserve">RACE, Alan. </w:t>
      </w:r>
      <w:r>
        <w:rPr>
          <w:rStyle w:val="Emphasis"/>
        </w:rPr>
        <w:t>Cristãos e religiosos pluralistas</w:t>
      </w:r>
      <w:r>
        <w:rPr/>
        <w:t>: padrões de teologia cristã das religiões. São Paulo: Paulinas, 1989. (No original: Christians and Religious Pluralism, SCM Press, 1983.)</w:t>
      </w:r>
    </w:p>
    <w:sectPr>
      <w:footerReference w:type="even" r:id="rId2"/>
      <w:footerReference w:type="default" r:id="rId3"/>
      <w:footnotePr>
        <w:numFmt w:val="decimal"/>
      </w:footnotePr>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bookmarkStart w:id="11" w:name="PageNumWizard_FOOTER_Default_Page_Style4"/>
    <w:r>
      <w:rPr/>
      <w:fldChar w:fldCharType="begin"/>
    </w:r>
    <w:r>
      <w:rPr/>
      <w:instrText xml:space="preserve"> PAGE </w:instrText>
    </w:r>
    <w:r>
      <w:rPr/>
      <w:fldChar w:fldCharType="separate"/>
    </w:r>
    <w:r>
      <w:rPr/>
      <w:t>14</w:t>
    </w:r>
    <w:r>
      <w:rPr/>
      <w:fldChar w:fldCharType="end"/>
    </w:r>
    <w:bookmarkEnd w:id="11"/>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bookmarkStart w:id="12" w:name="PageNumWizard_FOOTER_Default_Page_Style1"/>
    <w:r>
      <w:rPr/>
      <w:fldChar w:fldCharType="begin"/>
    </w:r>
    <w:r>
      <w:rPr/>
      <w:instrText xml:space="preserve"> PAGE </w:instrText>
    </w:r>
    <w:r>
      <w:rPr/>
      <w:fldChar w:fldCharType="separate"/>
    </w:r>
    <w:r>
      <w:rPr/>
      <w:t>15</w:t>
    </w:r>
    <w:r>
      <w:rPr/>
      <w:fldChar w:fldCharType="end"/>
    </w:r>
    <w:bookmarkEnd w:id="12"/>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jc w:val="both"/>
        <w:rPr/>
      </w:pPr>
      <w:r>
        <w:rPr>
          <w:rStyle w:val="FootnoteCharacters"/>
        </w:rPr>
        <w:footnoteRef/>
      </w:r>
      <w:r>
        <w:rPr>
          <w:rStyle w:val="Strong"/>
        </w:rPr>
        <w:tab/>
        <w:t>BARRA, Suely Ribeiro.</w:t>
      </w:r>
      <w:r>
        <w:rPr/>
        <w:t xml:space="preserve"> </w:t>
      </w:r>
      <w:r>
        <w:rPr>
          <w:rStyle w:val="Emphasis"/>
        </w:rPr>
        <w:t>HIPÓTESE PLURALISTA DE JOHN HICK: a sua contribuição para o diálogo inter-religioso</w:t>
      </w:r>
      <w:r>
        <w:rPr/>
        <w:t>. Tese (Doutorado em Ciência da Religião) – Universidade Federal de Juiz de Fora, Juiz de Fora, 2014, p. 13-14.</w:t>
      </w:r>
    </w:p>
  </w:footnote>
  <w:footnote w:id="3">
    <w:p>
      <w:pPr>
        <w:pStyle w:val="FootnoteText"/>
        <w:jc w:val="both"/>
        <w:rPr/>
      </w:pPr>
      <w:r>
        <w:rPr>
          <w:rStyle w:val="FootnoteCharacters"/>
        </w:rPr>
        <w:footnoteRef/>
      </w:r>
      <w:r>
        <w:rPr/>
        <w:tab/>
        <w:t>A tese adota a divisão tripartida (exclusivismo, inclusivismo e pluralismo) proposta por Alan Race em 1983, que se tornou um padrão no debate teológico sobre as religiões.</w:t>
      </w:r>
    </w:p>
  </w:footnote>
  <w:footnote w:id="4">
    <w:p>
      <w:pPr>
        <w:pStyle w:val="FootnoteText"/>
        <w:jc w:val="both"/>
        <w:rPr/>
      </w:pPr>
      <w:r>
        <w:rPr>
          <w:rStyle w:val="FootnoteCharacters"/>
        </w:rPr>
        <w:footnoteRef/>
      </w:r>
      <w:r>
        <w:rPr/>
        <w:tab/>
        <w:t xml:space="preserve"> </w:t>
      </w:r>
      <w:r>
        <w:rPr/>
        <w:t>p. 207-220. Hick recorre à distinção kantiana entre fenómeno e número e à máxima tomista de que "a coisa conhecida está no conhecedor segundo o modo do conhecedor" para explicar como o Real é percebido de forma diversa.</w:t>
      </w:r>
    </w:p>
  </w:footnote>
  <w:footnote w:id="5">
    <w:p>
      <w:pPr>
        <w:pStyle w:val="FootnoteText"/>
        <w:jc w:val="both"/>
        <w:rPr/>
      </w:pPr>
      <w:r>
        <w:rPr>
          <w:rStyle w:val="FootnoteCharacters"/>
        </w:rPr>
        <w:footnoteRef/>
      </w:r>
      <w:r>
        <w:rPr/>
        <w:tab/>
        <w:t xml:space="preserve"> </w:t>
      </w:r>
      <w:r>
        <w:rPr/>
        <w:t>p. 236-241. Ao definir a salvação como transformação, Hick supera a visão anselmiana de uma satisfação jurídica (a morte de Jesus como "pagamento" pelos pecados), que ele vê como um obstáculo para a compreensão da bondade e misericórdia divinas universais.</w:t>
      </w:r>
    </w:p>
  </w:footnote>
  <w:footnote w:id="6">
    <w:p>
      <w:pPr>
        <w:pStyle w:val="FootnoteText"/>
        <w:jc w:val="both"/>
        <w:rPr/>
      </w:pPr>
      <w:r>
        <w:rPr>
          <w:rStyle w:val="FootnoteCharacters"/>
        </w:rPr>
        <w:footnoteRef/>
      </w:r>
      <w:r>
        <w:rPr/>
        <w:tab/>
        <w:t xml:space="preserve"> </w:t>
      </w:r>
      <w:r>
        <w:rPr/>
        <w:t>As críticas de Alvin Plantinga são as mais profundas, focando na coerência da ideia de um "Real" sem propriedades positivas, o que, para Plantinga, torna arbitrária a preferência por valores éticos como o amor e a compaixão em detrimento de outros comportamentos.</w:t>
      </w:r>
    </w:p>
  </w:footnote>
  <w:footnote w:id="7">
    <w:p>
      <w:pPr>
        <w:pStyle w:val="FootnoteText"/>
        <w:jc w:val="both"/>
        <w:rPr/>
      </w:pPr>
      <w:r>
        <w:rPr>
          <w:rStyle w:val="FootnoteCharacters"/>
        </w:rPr>
        <w:footnoteRef/>
      </w:r>
      <w:r>
        <w:rPr/>
        <w:tab/>
        <w:t xml:space="preserve"> </w:t>
      </w:r>
      <w:r>
        <w:rPr/>
        <w:t>HICK, John. A metáfora do Deus encarnado. Petrópolis: Vozes, 2000.</w:t>
      </w:r>
    </w:p>
  </w:footnote>
  <w:footnote w:id="8">
    <w:p>
      <w:pPr>
        <w:pStyle w:val="FootnoteText"/>
        <w:jc w:val="both"/>
        <w:rPr/>
      </w:pPr>
      <w:r>
        <w:rPr>
          <w:rStyle w:val="FootnoteCharacters"/>
        </w:rPr>
        <w:footnoteRef/>
      </w:r>
      <w:r>
        <w:rPr>
          <w:rStyle w:val="Strong"/>
        </w:rPr>
        <w:tab/>
        <w:t xml:space="preserve"> </w:t>
      </w:r>
      <w:r>
        <w:rPr>
          <w:rStyle w:val="Strong"/>
        </w:rPr>
        <w:t>PORTELLA, Rodrigo.</w:t>
      </w:r>
      <w:r>
        <w:rPr/>
        <w:t xml:space="preserve"> "A Contribuição de John Hick para o Diálogo Inter-religioso: uma análise de </w:t>
      </w:r>
      <w:r>
        <w:rPr>
          <w:rStyle w:val="Emphasis"/>
        </w:rPr>
        <w:t>A metáfora do Deus encarnado</w:t>
      </w:r>
      <w:r>
        <w:rPr/>
        <w:t xml:space="preserve">". </w:t>
      </w:r>
      <w:r>
        <w:rPr>
          <w:rStyle w:val="Emphasis"/>
        </w:rPr>
        <w:t>Horizonte</w:t>
      </w:r>
      <w:r>
        <w:rPr/>
        <w:t>, Belo Horizonte, v. 3, n. 6, p. 78-79, 1º sem. 2005. O autor explica que o consenso entre os estudiosos é que o Jesus histórico não reivindicou divindade para si, e que sua pregação era de natureza escatológica, focada na iminente vinda do Reino de Deus.</w:t>
      </w:r>
    </w:p>
  </w:footnote>
  <w:footnote w:id="9">
    <w:p>
      <w:pPr>
        <w:pStyle w:val="FootnoteText"/>
        <w:jc w:val="both"/>
        <w:rPr/>
      </w:pPr>
      <w:r>
        <w:rPr>
          <w:rStyle w:val="FootnoteCharacters"/>
        </w:rPr>
        <w:footnoteRef/>
      </w:r>
      <w:r>
        <w:rPr/>
        <w:tab/>
        <w:t xml:space="preserve"> </w:t>
      </w:r>
      <w:r>
        <w:rPr/>
        <w:t>O concílio contou com a participação de mais de 300 bispos, ressalvando-se que apenas sete participantes vinham do Ocidente, dentre os quais dois presbíteros (Vito e Vicente), que representaram o papa Silvestre, à época em idade avançada.</w:t>
      </w:r>
    </w:p>
  </w:footnote>
  <w:footnote w:id="10">
    <w:p>
      <w:pPr>
        <w:pStyle w:val="FootnoteText"/>
        <w:jc w:val="both"/>
        <w:rPr/>
      </w:pPr>
      <w:r>
        <w:rPr>
          <w:rStyle w:val="FootnoteCharacters"/>
        </w:rPr>
        <w:footnoteRef/>
      </w:r>
      <w:r>
        <w:rPr/>
        <w:tab/>
        <w:t xml:space="preserve"> </w:t>
      </w:r>
      <w:r>
        <w:rPr/>
        <w:t xml:space="preserve">A transição da metáfora para o dogma é descrita como um processo histórico impulsionado pela necessidade de unificação do Império Romano e pela adoção da linguagem filosófica grega, culminando nos </w:t>
      </w:r>
      <w:r>
        <w:rPr>
          <w:b/>
          <w:bCs/>
        </w:rPr>
        <w:t>Concílios de Nicéia</w:t>
      </w:r>
      <w:r>
        <w:rPr/>
        <w:t xml:space="preserve"> e </w:t>
      </w:r>
      <w:r>
        <w:rPr>
          <w:b/>
          <w:bCs/>
        </w:rPr>
        <w:t>Calcedônia</w:t>
      </w:r>
      <w:r>
        <w:rPr/>
        <w:t>.</w:t>
      </w:r>
    </w:p>
  </w:footnote>
  <w:footnote w:id="11">
    <w:p>
      <w:pPr>
        <w:pStyle w:val="FootnoteText"/>
        <w:jc w:val="both"/>
        <w:rPr/>
      </w:pPr>
      <w:r>
        <w:rPr>
          <w:rStyle w:val="FootnoteCharacters"/>
        </w:rPr>
        <w:footnoteRef/>
      </w:r>
      <w:r>
        <w:rPr/>
        <w:tab/>
        <w:t xml:space="preserve"> </w:t>
      </w:r>
      <w:r>
        <w:rPr/>
        <w:t>A proposta central de Hick é a "desliteralização" do dogma, defendendo que a ideia de encarnação deve ser entendida como uma metáfora poderosa para expressar que Jesus "encarnou" o amor divino de forma exemplar, e não como um fato ontológico.</w:t>
      </w:r>
    </w:p>
  </w:footnote>
  <w:footnote w:id="12">
    <w:p>
      <w:pPr>
        <w:pStyle w:val="FootnoteText"/>
        <w:jc w:val="both"/>
        <w:rPr/>
      </w:pPr>
      <w:r>
        <w:rPr>
          <w:rStyle w:val="FootnoteCharacters"/>
        </w:rPr>
        <w:footnoteRef/>
      </w:r>
      <w:r>
        <w:rPr/>
        <w:tab/>
        <w:t xml:space="preserve"> </w:t>
      </w:r>
      <w:r>
        <w:rPr/>
        <w:t>Hick utiliza a teologia de Tomás de Aquino para questionar a unicidade da encarnação. O argumento é que se Deus é amor, sua revelação não se limitaria a um único evento histórico e geográfico, abrindo espaço para a validade de outras tradições.</w:t>
      </w:r>
    </w:p>
  </w:footnote>
  <w:footnote w:id="13">
    <w:p>
      <w:pPr>
        <w:pStyle w:val="FootnoteText"/>
        <w:jc w:val="both"/>
        <w:rPr/>
      </w:pPr>
      <w:r>
        <w:rPr>
          <w:rStyle w:val="FootnoteCharacters"/>
        </w:rPr>
        <w:footnoteRef/>
      </w:r>
      <w:r>
        <w:rPr/>
        <w:tab/>
        <w:t xml:space="preserve"> </w:t>
      </w:r>
      <w:r>
        <w:rPr/>
        <w:t>Blaise Pascal, Pensées (Classiques Gamier), no. 374, pp. 166-7.</w:t>
      </w:r>
    </w:p>
  </w:footnote>
  <w:footnote w:id="14">
    <w:p>
      <w:pPr>
        <w:pStyle w:val="FootnoteText"/>
        <w:jc w:val="both"/>
        <w:rPr/>
      </w:pPr>
      <w:r>
        <w:rPr>
          <w:rStyle w:val="FootnoteCharacters"/>
        </w:rPr>
        <w:footnoteRef/>
      </w:r>
      <w:r>
        <w:rPr/>
        <w:tab/>
        <w:t xml:space="preserve"> </w:t>
      </w:r>
      <w:r>
        <w:rPr/>
        <w:t>A razão não tem capacidade alguma para alcançar a verdade. A certeza reside apenas na adesão inquestionável a verdades reveladas.</w:t>
      </w:r>
    </w:p>
  </w:footnote>
  <w:footnote w:id="15">
    <w:p>
      <w:pPr>
        <w:pStyle w:val="FootnoteText"/>
        <w:jc w:val="both"/>
        <w:rPr/>
      </w:pPr>
      <w:r>
        <w:rPr>
          <w:rStyle w:val="FootnoteCharacters"/>
        </w:rPr>
        <w:footnoteRef/>
      </w:r>
      <w:r>
        <w:rPr/>
        <w:tab/>
        <w:t xml:space="preserve"> </w:t>
      </w:r>
      <w:r>
        <w:rPr/>
        <w:t>A razão não pode ter certeza absoluta antes que se aceite algo pela fé. A fé vem primeiro e a razão opera dentro desse quadro estabelecido.</w:t>
      </w:r>
    </w:p>
  </w:footnote>
  <w:footnote w:id="16">
    <w:p>
      <w:pPr>
        <w:pStyle w:val="FootnoteText"/>
        <w:jc w:val="both"/>
        <w:rPr/>
      </w:pPr>
      <w:r>
        <w:rPr>
          <w:rStyle w:val="FootnoteCharacters"/>
        </w:rPr>
        <w:footnoteRef/>
      </w:r>
      <w:r>
        <w:rPr/>
        <w:tab/>
        <w:t xml:space="preserve"> </w:t>
      </w:r>
      <w:r>
        <w:rPr/>
        <w:t xml:space="preserve">Popkin define que o fideísta "pode negar ou duvidar que razões necessárias e suficientes possam ser oferecidas para estabelecer a verdade da proposição, 'Deus existe', e ainda assim o fideísta pode dizer que a proposição poderia ser conhecida como verdadeira apenas se possuísse alguma informação através da fé, ou se acreditasse em certas coisas." </w:t>
      </w:r>
      <w:r>
        <w:rPr>
          <w:rStyle w:val="Emphasis"/>
        </w:rPr>
        <w:t>The History of Scepticism from Erasmus to Spinoza</w:t>
      </w:r>
      <w:r>
        <w:rPr/>
        <w:t>, p. xix.</w:t>
      </w:r>
    </w:p>
  </w:footnote>
  <w:footnote w:id="17">
    <w:p>
      <w:pPr>
        <w:pStyle w:val="FootnoteText"/>
        <w:jc w:val="both"/>
        <w:rPr/>
      </w:pPr>
      <w:r>
        <w:rPr>
          <w:rStyle w:val="FootnoteCharacters"/>
        </w:rPr>
        <w:footnoteRef/>
      </w:r>
      <w:r>
        <w:rPr/>
        <w:tab/>
        <w:t xml:space="preserve"> </w:t>
      </w:r>
      <w:r>
        <w:rPr/>
        <w:t xml:space="preserve">Hick utiliza a "regra de ouro" (amor e compaixão) como um critério ético para avaliar a autenticidade e eficácia salvífica das religiões. Cf. Barra, </w:t>
      </w:r>
      <w:r>
        <w:rPr>
          <w:rStyle w:val="Emphasis"/>
        </w:rPr>
        <w:t>A Hipótese Pluralista de John Hick</w:t>
      </w:r>
      <w:r>
        <w:rPr/>
        <w:t>, p. 120.</w:t>
      </w:r>
    </w:p>
  </w:footnote>
  <w:footnote w:id="18">
    <w:p>
      <w:pPr>
        <w:pStyle w:val="FootnoteText"/>
        <w:jc w:val="both"/>
        <w:rPr/>
      </w:pPr>
      <w:r>
        <w:rPr>
          <w:rStyle w:val="FootnoteCharacters"/>
        </w:rPr>
        <w:footnoteRef/>
      </w:r>
      <w:r>
        <w:rPr/>
        <w:tab/>
        <w:t xml:space="preserve">  </w:t>
      </w:r>
      <w:r>
        <w:rPr/>
        <w:t>Alvin Plantinga argumenta que as afirmações de Hick sobre o "Real" o tornam incoerente, pois atribui propriedades (como "ser a fonte das religiões") a algo que ele afirma ser inefável. Cf. Barra, p. 281.</w:t>
      </w:r>
    </w:p>
  </w:footnote>
  <w:footnote w:id="19">
    <w:p>
      <w:pPr>
        <w:pStyle w:val="FootnoteText"/>
        <w:jc w:val="both"/>
        <w:rPr/>
      </w:pPr>
      <w:r>
        <w:rPr>
          <w:rStyle w:val="FootnoteCharacters"/>
        </w:rPr>
        <w:footnoteRef/>
      </w:r>
      <w:r>
        <w:rPr/>
        <w:tab/>
        <w:t xml:space="preserve">  </w:t>
      </w:r>
      <w:r>
        <w:rPr/>
        <w:t>A afirmação pluralista de Hick ("nenhuma religião tem toda a verdade") é, ela mesma, uma afirmação de verdade sobre a natureza da realidade religiosa, o que mina sua própria pretensão de neutralidade e abertura.</w:t>
      </w:r>
    </w:p>
  </w:footnote>
  <w:footnote w:id="20">
    <w:p>
      <w:pPr>
        <w:pStyle w:val="FootnoteText"/>
        <w:jc w:val="both"/>
        <w:rPr/>
      </w:pPr>
      <w:r>
        <w:rPr>
          <w:rStyle w:val="FootnoteCharacters"/>
        </w:rPr>
        <w:footnoteRef/>
      </w:r>
      <w:r>
        <w:rPr/>
        <w:tab/>
        <w:t xml:space="preserve">  </w:t>
      </w:r>
      <w:r>
        <w:rPr/>
        <w:t xml:space="preserve">Popkin mostra como os oponentes do ceticismo, como Sorel, apontavam a autocontradição do cético que afirmava que nada podia ser conhecido. Cf. Popkin, </w:t>
      </w:r>
      <w:r>
        <w:rPr>
          <w:rStyle w:val="Emphasis"/>
        </w:rPr>
        <w:t>op. cit.</w:t>
      </w:r>
      <w:r>
        <w:rPr/>
        <w:t>, pp. 125-126. O pluralismo de Hick enfrenta uma crítica análoga.</w:t>
      </w:r>
    </w:p>
  </w:footnote>
  <w:footnote w:id="21">
    <w:p>
      <w:pPr>
        <w:pStyle w:val="FootnoteText"/>
        <w:jc w:val="both"/>
        <w:rPr/>
      </w:pPr>
      <w:r>
        <w:rPr>
          <w:rStyle w:val="FootnoteCharacters"/>
        </w:rPr>
        <w:footnoteRef/>
      </w:r>
      <w:r>
        <w:rPr/>
        <w:tab/>
        <w:t xml:space="preserve">  </w:t>
      </w:r>
      <w:r>
        <w:rPr/>
        <w:t>Hick usa a parábola para ilustrar como diferentes religiões captam apenas partes da verdade. Críticos como Almond apontam que, ao fazer isso, Hick se coloca na posição de quem vê o elefante inteiro, reivindicando uma perspectiva privilegiada que ele nega às religiões. Cf. Barra, p. 91.</w:t>
      </w:r>
    </w:p>
  </w:footnote>
  <w:footnote w:id="22">
    <w:p>
      <w:pPr>
        <w:pStyle w:val="FootnoteText"/>
        <w:jc w:val="both"/>
        <w:rPr/>
      </w:pPr>
      <w:r>
        <w:rPr>
          <w:rStyle w:val="FootnoteCharacters"/>
        </w:rPr>
        <w:footnoteRef/>
      </w:r>
      <w:r>
        <w:rPr/>
        <w:tab/>
        <w:t xml:space="preserve">  </w:t>
      </w:r>
      <w:r>
        <w:rPr/>
        <w:t xml:space="preserve">Cf. Barra, </w:t>
      </w:r>
      <w:r>
        <w:rPr>
          <w:rStyle w:val="Emphasis"/>
        </w:rPr>
        <w:t>A Hipótese Pluralista de John Hick</w:t>
      </w:r>
      <w:r>
        <w:rPr/>
        <w:t>, pp. 207-220. Hick recorre à distinção kantiana entre fenómeno e número para explicar como o Real é percebido de forma diversa.</w:t>
      </w:r>
    </w:p>
  </w:footnote>
  <w:footnote w:id="23">
    <w:p>
      <w:pPr>
        <w:pStyle w:val="FootnoteText"/>
        <w:jc w:val="both"/>
        <w:rPr/>
      </w:pPr>
      <w:r>
        <w:rPr>
          <w:rStyle w:val="FootnoteCharacters"/>
        </w:rPr>
        <w:footnoteRef/>
      </w:r>
      <w:r>
        <w:rPr/>
        <w:tab/>
        <w:t xml:space="preserve">  </w:t>
      </w:r>
      <w:r>
        <w:rPr/>
        <w:t xml:space="preserve">Popkin define que o fideísta "pode negar ou duvidar que razões necessárias e suficientes possam ser oferecidas para estabelecer a verdade da proposição, 'Deus existe', e ainda assim o fideísta pode dizer que a proposição poderia ser conhecida como verdadeira apenas se possuísse alguma informação através da fé." </w:t>
      </w:r>
      <w:r>
        <w:rPr>
          <w:rStyle w:val="Emphasis"/>
        </w:rPr>
        <w:t>The History of Scepticism from Erasmus to Spinoza</w:t>
      </w:r>
      <w:r>
        <w:rPr/>
        <w:t>, p. xix.</w:t>
      </w:r>
    </w:p>
  </w:footnote>
  <w:footnote w:id="24">
    <w:p>
      <w:pPr>
        <w:pStyle w:val="FootnoteText"/>
        <w:jc w:val="both"/>
        <w:rPr/>
      </w:pPr>
      <w:r>
        <w:rPr>
          <w:rStyle w:val="FootnoteCharacters"/>
        </w:rPr>
        <w:footnoteRef/>
      </w:r>
      <w:r>
        <w:rPr/>
        <w:tab/>
        <w:t xml:space="preserve">  </w:t>
      </w:r>
      <w:r>
        <w:rPr/>
        <w:t>Plantinga argumenta que a posição de Hick é internamente incoerente, pois atribui propriedades positivas (como "ser a fonte comum das religiões") a algo que ele afirma ser inefável. Cf. Barra, p. 281.</w:t>
      </w:r>
    </w:p>
  </w:footnote>
  <w:footnote w:id="25">
    <w:p>
      <w:pPr>
        <w:pStyle w:val="FootnoteText"/>
        <w:jc w:val="both"/>
        <w:rPr/>
      </w:pPr>
      <w:r>
        <w:rPr>
          <w:rStyle w:val="FootnoteCharacters"/>
        </w:rPr>
        <w:footnoteRef/>
      </w:r>
      <w:r>
        <w:rPr/>
        <w:tab/>
        <w:t xml:space="preserve">  </w:t>
      </w:r>
      <w:r>
        <w:rPr/>
        <w:t>Críticos como Almond apontam que, ao usar a parábola do elefante, Hick se coloca na posição de quem vê o elefante inteiro, reivindicando uma perspectiva privilegiada que ele nega às religiões. Cf. Barra, p. 91.</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2"/>
      <w:numFmt w:val="decimal"/>
      <w:lvlText w:val="%1."/>
      <w:lvlJc w:val="start"/>
      <w:pPr>
        <w:tabs>
          <w:tab w:val="num" w:pos="720"/>
        </w:tabs>
        <w:ind w:start="720" w:hanging="360"/>
      </w:pPr>
      <w:rPr/>
    </w:lvl>
    <w:lvl w:ilvl="1">
      <w:start w:val="2"/>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2"/>
      <w:numFmt w:val="decimal"/>
      <w:lvlText w:val="%1."/>
      <w:lvlJc w:val="start"/>
      <w:pPr>
        <w:tabs>
          <w:tab w:val="num" w:pos="720"/>
        </w:tabs>
        <w:ind w:start="720" w:hanging="360"/>
      </w:pPr>
      <w:rPr/>
    </w:lvl>
    <w:lvl w:ilvl="1">
      <w:start w:val="2"/>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3"/>
      <w:numFmt w:val="decimal"/>
      <w:lvlText w:val="%1."/>
      <w:lvlJc w:val="start"/>
      <w:pPr>
        <w:tabs>
          <w:tab w:val="num" w:pos="720"/>
        </w:tabs>
        <w:ind w:start="720" w:hanging="360"/>
      </w:pPr>
      <w:rPr/>
    </w:lvl>
    <w:lvl w:ilvl="1">
      <w:start w:val="3"/>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720"/>
        </w:tabs>
        <w:ind w:start="720" w:hanging="360"/>
      </w:pPr>
      <w:rPr/>
    </w:lvl>
    <w:lvl w:ilvl="1">
      <w:start w:val="4"/>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mirrorMargins/>
  <w:defaultTabStop w:val="709"/>
  <w:autoHyphenation w:val="true"/>
  <w:evenAndOddHeaders/>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pt-P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pt-PT"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NumberingSymbols">
    <w:name w:val="Numbering Symbols"/>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ootnoteText">
    <w:name w:val="Footnote Text"/>
    <w:basedOn w:val="Normal"/>
    <w:pPr>
      <w:suppressLineNumbers/>
      <w:ind w:hanging="340" w:start="340"/>
    </w:pPr>
    <w:rPr>
      <w:sz w:val="20"/>
      <w:szCs w:val="20"/>
    </w:rPr>
  </w:style>
  <w:style w:type="paragraph" w:styleId="BlockQuotation">
    <w:name w:val="Block Quotation"/>
    <w:basedOn w:val="Normal"/>
    <w:qFormat/>
    <w:pPr>
      <w:spacing w:before="0" w:after="283"/>
      <w:ind w:hanging="0" w:start="567" w:end="567"/>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638" w:leader="dot"/>
      </w:tabs>
      <w:ind w:hanging="0" w:start="0"/>
    </w:pPr>
    <w:rPr/>
  </w:style>
  <w:style w:type="paragraph" w:styleId="TOC2">
    <w:name w:val="TOC 2"/>
    <w:basedOn w:val="Index"/>
    <w:pPr>
      <w:tabs>
        <w:tab w:val="clear" w:pos="709"/>
        <w:tab w:val="right" w:pos="9355" w:leader="dot"/>
      </w:tabs>
      <w:ind w:hanging="0" w:star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563</TotalTime>
  <Application>LibreOffice/24.2.7.2$Linux_X86_64 LibreOffice_project/420$Build-2</Application>
  <AppVersion>15.0000</AppVersion>
  <Pages>15</Pages>
  <Words>5290</Words>
  <Characters>28080</Characters>
  <CharactersWithSpaces>33279</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2026-03-22T19:20:10Z</dcterms:created>
  <dc:creator/>
  <dc:description/>
  <dc:language>pt-PT</dc:language>
  <cp:lastModifiedBy/>
  <dcterms:modified xsi:type="dcterms:W3CDTF">2026-03-24T19:40:24Z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