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sdt>
      <w:sdtPr>
        <w:id w:val="1083280683"/>
        <w:docPartObj>
          <w:docPartGallery w:val="Table of Contents"/>
          <w:docPartUnique/>
        </w:docPartObj>
      </w:sdtPr>
      <w:sdtContent>
        <w:p w:rsidR="76CFE8D1" w:rsidP="76CFE8D1" w:rsidRDefault="76CFE8D1" w14:paraId="09594D7E" w14:textId="60C59676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398124597">
            <w:r w:rsidRPr="17D445E8" w:rsidR="17D445E8">
              <w:rPr>
                <w:rStyle w:val="Hyperlink"/>
              </w:rPr>
              <w:t>1.</w:t>
            </w:r>
            <w:r>
              <w:tab/>
            </w:r>
            <w:r w:rsidRPr="17D445E8" w:rsidR="17D445E8">
              <w:rPr>
                <w:rStyle w:val="Hyperlink"/>
              </w:rPr>
              <w:t>Impedimentos</w:t>
            </w:r>
            <w:r>
              <w:tab/>
            </w:r>
            <w:r>
              <w:fldChar w:fldCharType="begin"/>
            </w:r>
            <w:r>
              <w:instrText xml:space="preserve">PAGEREF _Toc1398124597 \h</w:instrText>
            </w:r>
            <w:r>
              <w:fldChar w:fldCharType="separate"/>
            </w:r>
            <w:r w:rsidRPr="17D445E8" w:rsidR="17D445E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6ED894B" w:rsidP="76ED894B" w:rsidRDefault="76ED894B" w14:paraId="2A55FC57" w14:textId="542C072D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365065619">
            <w:r w:rsidRPr="17D445E8" w:rsidR="17D445E8">
              <w:rPr>
                <w:rStyle w:val="Hyperlink"/>
              </w:rPr>
              <w:t>1.</w:t>
            </w:r>
            <w:r>
              <w:tab/>
            </w:r>
            <w:r w:rsidRPr="17D445E8" w:rsidR="17D445E8">
              <w:rPr>
                <w:rStyle w:val="Hyperlink"/>
              </w:rPr>
              <w:t>1. O Ministro Dias Toffoli e o Resort de Luxo</w:t>
            </w:r>
            <w:r>
              <w:tab/>
            </w:r>
            <w:r>
              <w:fldChar w:fldCharType="begin"/>
            </w:r>
            <w:r>
              <w:instrText xml:space="preserve">PAGEREF _Toc365065619 \h</w:instrText>
            </w:r>
            <w:r>
              <w:fldChar w:fldCharType="separate"/>
            </w:r>
            <w:r w:rsidRPr="17D445E8" w:rsidR="17D445E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7D445E8" w:rsidP="17D445E8" w:rsidRDefault="17D445E8" w14:paraId="63B553C8" w14:textId="42B5D2DB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37603769">
            <w:r w:rsidRPr="17D445E8" w:rsidR="17D445E8">
              <w:rPr>
                <w:rStyle w:val="Hyperlink"/>
              </w:rPr>
              <w:t>2.</w:t>
            </w:r>
            <w:r>
              <w:tab/>
            </w:r>
            <w:r w:rsidRPr="17D445E8" w:rsidR="17D445E8">
              <w:rPr>
                <w:rStyle w:val="Hyperlink"/>
              </w:rPr>
              <w:t>Suspeição</w:t>
            </w:r>
            <w:r>
              <w:tab/>
            </w:r>
            <w:r>
              <w:fldChar w:fldCharType="begin"/>
            </w:r>
            <w:r>
              <w:instrText xml:space="preserve">PAGEREF _Toc137603769 \h</w:instrText>
            </w:r>
            <w:r>
              <w:fldChar w:fldCharType="separate"/>
            </w:r>
            <w:r w:rsidRPr="17D445E8" w:rsidR="17D445E8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76CFE8D1" wp14:paraId="1C337613" wp14:textId="399D478C">
      <w:pPr>
        <w:pStyle w:val="Normal"/>
      </w:pPr>
    </w:p>
    <w:p xmlns:wp14="http://schemas.microsoft.com/office/word/2010/wordml" wp14:paraId="04F75FD0" wp14:textId="6218EDAF">
      <w:r>
        <w:br w:type="page"/>
      </w:r>
    </w:p>
    <w:p xmlns:wp14="http://schemas.microsoft.com/office/word/2010/wordml" w:rsidP="76CFE8D1" wp14:paraId="1E207724" wp14:textId="1E8DCD79">
      <w:pPr>
        <w:pStyle w:val="Title"/>
        <w:rPr>
          <w:rFonts w:ascii="Times New Roman" w:hAnsi="Times New Roman" w:eastAsia="Times New Roman" w:cs="Times New Roman"/>
          <w:sz w:val="32"/>
          <w:szCs w:val="32"/>
        </w:rPr>
      </w:pPr>
      <w:r w:rsidR="656CAF35">
        <w:rPr/>
        <w:t>Garantias Da Imparcialidade</w:t>
      </w:r>
    </w:p>
    <w:p w:rsidR="15908E0D" w:rsidP="76CFE8D1" w:rsidRDefault="15908E0D" w14:paraId="5BAD4592" w14:textId="47E70BEB">
      <w:pPr>
        <w:spacing w:line="360" w:lineRule="auto"/>
        <w:ind w:left="0" w:firstLine="1134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CFE8D1" w:rsidR="15908E0D">
        <w:rPr>
          <w:rFonts w:ascii="Times New Roman" w:hAnsi="Times New Roman" w:eastAsia="Times New Roman" w:cs="Times New Roman"/>
          <w:sz w:val="24"/>
          <w:szCs w:val="24"/>
        </w:rPr>
        <w:t>É bem sabido que a todos é ve</w:t>
      </w:r>
      <w:r w:rsidRPr="76CFE8D1" w:rsidR="09829E6A">
        <w:rPr>
          <w:rFonts w:ascii="Times New Roman" w:hAnsi="Times New Roman" w:eastAsia="Times New Roman" w:cs="Times New Roman"/>
          <w:sz w:val="24"/>
          <w:szCs w:val="24"/>
        </w:rPr>
        <w:t>t</w:t>
      </w:r>
      <w:r w:rsidRPr="76CFE8D1" w:rsidR="15908E0D">
        <w:rPr>
          <w:rFonts w:ascii="Times New Roman" w:hAnsi="Times New Roman" w:eastAsia="Times New Roman" w:cs="Times New Roman"/>
          <w:sz w:val="24"/>
          <w:szCs w:val="24"/>
        </w:rPr>
        <w:t>ado o uso da força</w:t>
      </w:r>
      <w:r w:rsidRPr="76CFE8D1">
        <w:rPr>
          <w:rStyle w:val="FootnoteReference"/>
          <w:rFonts w:ascii="Times New Roman" w:hAnsi="Times New Roman" w:eastAsia="Times New Roman" w:cs="Times New Roman"/>
          <w:sz w:val="24"/>
          <w:szCs w:val="24"/>
        </w:rPr>
        <w:footnoteReference w:id="28973"/>
      </w:r>
      <w:r w:rsidRPr="76CFE8D1" w:rsidR="15908E0D">
        <w:rPr>
          <w:rFonts w:ascii="Times New Roman" w:hAnsi="Times New Roman" w:eastAsia="Times New Roman" w:cs="Times New Roman"/>
          <w:sz w:val="24"/>
          <w:szCs w:val="24"/>
        </w:rPr>
        <w:t xml:space="preserve">, salvo as excepções, </w:t>
      </w:r>
      <w:r w:rsidRPr="76CFE8D1" w:rsidR="6E65CBF6">
        <w:rPr>
          <w:rFonts w:ascii="Times New Roman" w:hAnsi="Times New Roman" w:eastAsia="Times New Roman" w:cs="Times New Roman"/>
          <w:sz w:val="24"/>
          <w:szCs w:val="24"/>
        </w:rPr>
        <w:t xml:space="preserve">para fazer valer determinado direito, seja seu ou de </w:t>
      </w:r>
      <w:r w:rsidRPr="76CFE8D1" w:rsidR="4B2ED868">
        <w:rPr>
          <w:rFonts w:ascii="Times New Roman" w:hAnsi="Times New Roman" w:eastAsia="Times New Roman" w:cs="Times New Roman"/>
          <w:sz w:val="24"/>
          <w:szCs w:val="24"/>
        </w:rPr>
        <w:t>terceiros</w:t>
      </w:r>
      <w:r w:rsidRPr="76CFE8D1" w:rsidR="6E65CBF6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6CFE8D1" w:rsidR="364ADAC5">
        <w:rPr>
          <w:rFonts w:ascii="Times New Roman" w:hAnsi="Times New Roman" w:eastAsia="Times New Roman" w:cs="Times New Roman"/>
          <w:sz w:val="24"/>
          <w:szCs w:val="24"/>
        </w:rPr>
        <w:t xml:space="preserve">Este direito que </w:t>
      </w:r>
      <w:r w:rsidRPr="76CFE8D1" w:rsidR="714D9829">
        <w:rPr>
          <w:rFonts w:ascii="Times New Roman" w:hAnsi="Times New Roman" w:eastAsia="Times New Roman" w:cs="Times New Roman"/>
          <w:sz w:val="24"/>
          <w:szCs w:val="24"/>
        </w:rPr>
        <w:t>se</w:t>
      </w:r>
      <w:r w:rsidRPr="76CFE8D1" w:rsidR="1D47550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CFE8D1" w:rsidR="364ADAC5">
        <w:rPr>
          <w:rFonts w:ascii="Times New Roman" w:hAnsi="Times New Roman" w:eastAsia="Times New Roman" w:cs="Times New Roman"/>
          <w:sz w:val="24"/>
          <w:szCs w:val="24"/>
        </w:rPr>
        <w:t xml:space="preserve">pretende ver assegurado </w:t>
      </w:r>
      <w:r w:rsidRPr="76CFE8D1" w:rsidR="5B13E3A9">
        <w:rPr>
          <w:rFonts w:ascii="Times New Roman" w:hAnsi="Times New Roman" w:eastAsia="Times New Roman" w:cs="Times New Roman"/>
          <w:sz w:val="24"/>
          <w:szCs w:val="24"/>
        </w:rPr>
        <w:t>ou realizado</w:t>
      </w:r>
      <w:r w:rsidRPr="76CFE8D1" w:rsidR="73ACD68F">
        <w:rPr>
          <w:rFonts w:ascii="Times New Roman" w:hAnsi="Times New Roman" w:eastAsia="Times New Roman" w:cs="Times New Roman"/>
          <w:sz w:val="24"/>
          <w:szCs w:val="24"/>
        </w:rPr>
        <w:t xml:space="preserve"> deve transitar em julgado</w:t>
      </w:r>
      <w:r w:rsidRPr="76CFE8D1">
        <w:rPr>
          <w:rStyle w:val="FootnoteReference"/>
          <w:rFonts w:ascii="Times New Roman" w:hAnsi="Times New Roman" w:eastAsia="Times New Roman" w:cs="Times New Roman"/>
          <w:sz w:val="24"/>
          <w:szCs w:val="24"/>
        </w:rPr>
        <w:footnoteReference w:id="3138"/>
      </w:r>
      <w:r w:rsidRPr="76CFE8D1" w:rsidR="6E6A8D80">
        <w:rPr>
          <w:rFonts w:ascii="Times New Roman" w:hAnsi="Times New Roman" w:eastAsia="Times New Roman" w:cs="Times New Roman"/>
          <w:sz w:val="24"/>
          <w:szCs w:val="24"/>
        </w:rPr>
        <w:t xml:space="preserve">, cabendo a um juíz diferir </w:t>
      </w:r>
      <w:r w:rsidRPr="76CFE8D1" w:rsidR="0F7F468D">
        <w:rPr>
          <w:rFonts w:ascii="Times New Roman" w:hAnsi="Times New Roman" w:eastAsia="Times New Roman" w:cs="Times New Roman"/>
          <w:sz w:val="24"/>
          <w:szCs w:val="24"/>
        </w:rPr>
        <w:t>sentença sobre o conflito que lhe é apresentado</w:t>
      </w:r>
      <w:r w:rsidRPr="76CFE8D1">
        <w:rPr>
          <w:rStyle w:val="FootnoteReference"/>
          <w:rFonts w:ascii="Times New Roman" w:hAnsi="Times New Roman" w:eastAsia="Times New Roman" w:cs="Times New Roman"/>
          <w:sz w:val="24"/>
          <w:szCs w:val="24"/>
        </w:rPr>
        <w:footnoteReference w:id="10279"/>
      </w:r>
      <w:r w:rsidRPr="76CFE8D1" w:rsidR="0F7F468D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7BDC55D" w:rsidP="76CFE8D1" w:rsidRDefault="07BDC55D" w14:paraId="3891ACEC" w14:textId="37DD21E3">
      <w:pPr>
        <w:spacing w:line="360" w:lineRule="auto"/>
        <w:ind w:left="0" w:firstLine="1134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CFE8D1" w:rsidR="07BDC55D">
        <w:rPr>
          <w:rFonts w:ascii="Times New Roman" w:hAnsi="Times New Roman" w:eastAsia="Times New Roman" w:cs="Times New Roman"/>
          <w:sz w:val="24"/>
          <w:szCs w:val="24"/>
        </w:rPr>
        <w:t>Naturalmente,</w:t>
      </w:r>
      <w:r w:rsidRPr="76CFE8D1" w:rsidR="0F3B2B1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CFE8D1" w:rsidR="6A1E5F3C">
        <w:rPr>
          <w:rFonts w:ascii="Times New Roman" w:hAnsi="Times New Roman" w:eastAsia="Times New Roman" w:cs="Times New Roman"/>
          <w:sz w:val="24"/>
          <w:szCs w:val="24"/>
        </w:rPr>
        <w:t>pelo seu papel no f</w:t>
      </w:r>
      <w:r w:rsidRPr="76CFE8D1" w:rsidR="1368FF7F">
        <w:rPr>
          <w:rFonts w:ascii="Times New Roman" w:hAnsi="Times New Roman" w:eastAsia="Times New Roman" w:cs="Times New Roman"/>
          <w:sz w:val="24"/>
          <w:szCs w:val="24"/>
        </w:rPr>
        <w:t>ó</w:t>
      </w:r>
      <w:r w:rsidRPr="76CFE8D1" w:rsidR="6A1E5F3C">
        <w:rPr>
          <w:rFonts w:ascii="Times New Roman" w:hAnsi="Times New Roman" w:eastAsia="Times New Roman" w:cs="Times New Roman"/>
          <w:sz w:val="24"/>
          <w:szCs w:val="24"/>
        </w:rPr>
        <w:t>r</w:t>
      </w:r>
      <w:r w:rsidRPr="76CFE8D1" w:rsidR="5292AA69">
        <w:rPr>
          <w:rFonts w:ascii="Times New Roman" w:hAnsi="Times New Roman" w:eastAsia="Times New Roman" w:cs="Times New Roman"/>
          <w:sz w:val="24"/>
          <w:szCs w:val="24"/>
        </w:rPr>
        <w:t>um</w:t>
      </w:r>
      <w:r w:rsidRPr="76CFE8D1" w:rsidR="6A1E5F3C">
        <w:rPr>
          <w:rFonts w:ascii="Times New Roman" w:hAnsi="Times New Roman" w:eastAsia="Times New Roman" w:cs="Times New Roman"/>
          <w:sz w:val="24"/>
          <w:szCs w:val="24"/>
        </w:rPr>
        <w:t xml:space="preserve">, será deveras impactante qualquer que seja </w:t>
      </w:r>
      <w:r w:rsidRPr="76CFE8D1" w:rsidR="0EA6E362">
        <w:rPr>
          <w:rFonts w:ascii="Times New Roman" w:hAnsi="Times New Roman" w:eastAsia="Times New Roman" w:cs="Times New Roman"/>
          <w:sz w:val="24"/>
          <w:szCs w:val="24"/>
        </w:rPr>
        <w:t>o</w:t>
      </w:r>
      <w:r w:rsidRPr="76CFE8D1" w:rsidR="06AEB81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CFE8D1" w:rsidR="0F3B2B15">
        <w:rPr>
          <w:rFonts w:ascii="Times New Roman" w:hAnsi="Times New Roman" w:eastAsia="Times New Roman" w:cs="Times New Roman"/>
          <w:sz w:val="24"/>
          <w:szCs w:val="24"/>
        </w:rPr>
        <w:t xml:space="preserve">interesse </w:t>
      </w:r>
      <w:r w:rsidRPr="76CFE8D1" w:rsidR="0F3B2B15">
        <w:rPr>
          <w:rFonts w:ascii="Times New Roman" w:hAnsi="Times New Roman" w:eastAsia="Times New Roman" w:cs="Times New Roman"/>
          <w:sz w:val="24"/>
          <w:szCs w:val="24"/>
        </w:rPr>
        <w:t>do juiz</w:t>
      </w:r>
      <w:r w:rsidRPr="76CFE8D1" w:rsidR="21CE6C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CFE8D1" w:rsidR="0F3B2B15">
        <w:rPr>
          <w:rFonts w:ascii="Times New Roman" w:hAnsi="Times New Roman" w:eastAsia="Times New Roman" w:cs="Times New Roman"/>
          <w:sz w:val="24"/>
          <w:szCs w:val="24"/>
        </w:rPr>
        <w:t>no resultado do processo</w:t>
      </w:r>
      <w:r w:rsidRPr="76CFE8D1" w:rsidR="7F6DC163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6CFE8D1" w:rsidR="785EEE63">
        <w:rPr>
          <w:rFonts w:ascii="Times New Roman" w:hAnsi="Times New Roman" w:eastAsia="Times New Roman" w:cs="Times New Roman"/>
          <w:sz w:val="24"/>
          <w:szCs w:val="24"/>
        </w:rPr>
        <w:t xml:space="preserve">Com vista </w:t>
      </w:r>
      <w:r w:rsidRPr="76CFE8D1" w:rsidR="714E0F3E">
        <w:rPr>
          <w:rFonts w:ascii="Times New Roman" w:hAnsi="Times New Roman" w:eastAsia="Times New Roman" w:cs="Times New Roman"/>
          <w:sz w:val="24"/>
          <w:szCs w:val="24"/>
        </w:rPr>
        <w:t xml:space="preserve">a prevenção de eventual intervenção </w:t>
      </w:r>
      <w:r w:rsidRPr="76CFE8D1" w:rsidR="0742A3E2">
        <w:rPr>
          <w:rFonts w:ascii="Times New Roman" w:hAnsi="Times New Roman" w:eastAsia="Times New Roman" w:cs="Times New Roman"/>
          <w:sz w:val="24"/>
          <w:szCs w:val="24"/>
        </w:rPr>
        <w:t>“indesejada” por parte</w:t>
      </w:r>
      <w:r w:rsidRPr="76CFE8D1" w:rsidR="6FC5FAFD">
        <w:rPr>
          <w:rFonts w:ascii="Times New Roman" w:hAnsi="Times New Roman" w:eastAsia="Times New Roman" w:cs="Times New Roman"/>
          <w:sz w:val="24"/>
          <w:szCs w:val="24"/>
        </w:rPr>
        <w:t xml:space="preserve"> deste</w:t>
      </w:r>
      <w:r w:rsidRPr="76CFE8D1" w:rsidR="0742A3E2">
        <w:rPr>
          <w:rFonts w:ascii="Times New Roman" w:hAnsi="Times New Roman" w:eastAsia="Times New Roman" w:cs="Times New Roman"/>
          <w:sz w:val="24"/>
          <w:szCs w:val="24"/>
        </w:rPr>
        <w:t>, o Código De Processo Civil regula no</w:t>
      </w:r>
      <w:r w:rsidRPr="76CFE8D1" w:rsidR="02BB405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CFE8D1" w:rsidR="4902FEAA">
        <w:rPr>
          <w:rFonts w:ascii="Times New Roman" w:hAnsi="Times New Roman" w:eastAsia="Times New Roman" w:cs="Times New Roman"/>
          <w:sz w:val="24"/>
          <w:szCs w:val="24"/>
        </w:rPr>
        <w:t>CAPÍTULO</w:t>
      </w:r>
      <w:r w:rsidRPr="76CFE8D1" w:rsidR="02BB4056">
        <w:rPr>
          <w:rFonts w:ascii="Times New Roman" w:hAnsi="Times New Roman" w:eastAsia="Times New Roman" w:cs="Times New Roman"/>
          <w:sz w:val="24"/>
          <w:szCs w:val="24"/>
        </w:rPr>
        <w:t xml:space="preserve"> VI</w:t>
      </w:r>
      <w:r w:rsidRPr="76CFE8D1" w:rsidR="06B2DF3B">
        <w:rPr>
          <w:rFonts w:ascii="Times New Roman" w:hAnsi="Times New Roman" w:eastAsia="Times New Roman" w:cs="Times New Roman"/>
          <w:sz w:val="24"/>
          <w:szCs w:val="24"/>
        </w:rPr>
        <w:t>,</w:t>
      </w:r>
      <w:r w:rsidRPr="76CFE8D1" w:rsidR="02BB4056">
        <w:rPr>
          <w:rFonts w:ascii="Times New Roman" w:hAnsi="Times New Roman" w:eastAsia="Times New Roman" w:cs="Times New Roman"/>
          <w:sz w:val="24"/>
          <w:szCs w:val="24"/>
        </w:rPr>
        <w:t xml:space="preserve"> do Livro II, </w:t>
      </w:r>
      <w:r w:rsidRPr="76CFE8D1" w:rsidR="672564C9">
        <w:rPr>
          <w:rFonts w:ascii="Times New Roman" w:hAnsi="Times New Roman" w:eastAsia="Times New Roman" w:cs="Times New Roman"/>
          <w:sz w:val="24"/>
          <w:szCs w:val="24"/>
        </w:rPr>
        <w:t>as garantias da imparcialidade.</w:t>
      </w:r>
    </w:p>
    <w:p w:rsidR="346ADE0F" w:rsidP="76CFE8D1" w:rsidRDefault="346ADE0F" w14:paraId="1800ED56" w14:textId="26302932">
      <w:pPr>
        <w:spacing w:line="360" w:lineRule="auto"/>
        <w:ind w:left="0"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6ED894B" w:rsidR="346ADE0F">
        <w:rPr>
          <w:rFonts w:ascii="Times New Roman" w:hAnsi="Times New Roman" w:eastAsia="Times New Roman" w:cs="Times New Roman"/>
          <w:sz w:val="24"/>
          <w:szCs w:val="24"/>
        </w:rPr>
        <w:t xml:space="preserve">Trata-se de </w:t>
      </w:r>
      <w:r w:rsidRPr="76ED894B" w:rsidR="346ADE0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garantias que asseguram que o juiz atue com neutralidade e equidistância entre as partes, sendo pilares do processo justo</w:t>
      </w:r>
      <w:r w:rsidRPr="76ED894B" w:rsidR="48E9B39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os principais mecanismos incluem o “impedimento” e a “suspeição”.</w:t>
      </w:r>
    </w:p>
    <w:p w:rsidR="096F6BAA" w:rsidP="76ED894B" w:rsidRDefault="096F6BAA" w14:paraId="57417FB4" w14:textId="0DD311DE">
      <w:pPr>
        <w:spacing w:line="360" w:lineRule="auto"/>
        <w:ind w:left="0"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6ED894B" w:rsidR="096F6BA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Para a análise destes elementos, trarei à mesa um caso que p</w:t>
      </w:r>
      <w:r w:rsidRPr="76ED894B" w:rsidR="3E8CCF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ela sua arquitetura é, </w:t>
      </w:r>
      <w:r w:rsidRPr="76ED894B" w:rsidR="425C70C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meu ver</w:t>
      </w:r>
      <w:r w:rsidRPr="76ED894B" w:rsidR="3E8CCF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76ED894B" w:rsidR="26051C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interessante e “bonito”, sendo também muito </w:t>
      </w:r>
      <w:r w:rsidRPr="76ED894B" w:rsidR="6A6992D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impulsionado</w:t>
      </w:r>
      <w:r w:rsidRPr="76ED894B" w:rsidR="26051C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por se tratar de véspera de eleições presidenciais </w:t>
      </w:r>
      <w:r w:rsidRPr="76ED894B" w:rsidR="48DD5D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em território brasileiro</w:t>
      </w:r>
      <w:r w:rsidRPr="76ED894B" w:rsidR="12DA35D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03EF7045" w:rsidP="76ED894B" w:rsidRDefault="03EF7045" w14:paraId="04FD1508" w14:textId="2740CDDC">
      <w:pPr>
        <w:pStyle w:val="Normal"/>
        <w:spacing w:line="360" w:lineRule="auto"/>
        <w:ind w:left="0"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6ED894B" w:rsidR="60DB9EC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“Operação Compliance Zero</w:t>
      </w:r>
      <w:r w:rsidRPr="76ED894B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881"/>
      </w:r>
      <w:r w:rsidRPr="76ED894B" w:rsidR="60DB9EC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” ou como é comumente chamado </w:t>
      </w:r>
      <w:r w:rsidRPr="76ED894B" w:rsidR="08C600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caso </w:t>
      </w:r>
      <w:r w:rsidRPr="76ED894B" w:rsidR="60DB9EC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“</w:t>
      </w:r>
      <w:r w:rsidRPr="76ED894B" w:rsidR="4A859A0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Banco Master</w:t>
      </w:r>
      <w:r w:rsidRPr="76ED894B" w:rsidR="60DB9EC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”</w:t>
      </w:r>
      <w:r w:rsidRPr="76ED894B" w:rsidR="20DF641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76ED894B" w:rsidR="4CD603F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é um exemplo muito pertinente e atual para discutir as garantias da imparcialidade, especialmente os institutos do </w:t>
      </w:r>
      <w:r w:rsidRPr="76ED894B" w:rsidR="4CD60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impedimento</w:t>
      </w:r>
      <w:r w:rsidRPr="76ED894B" w:rsidR="4CD603F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da </w:t>
      </w:r>
      <w:r w:rsidRPr="76ED894B" w:rsidR="4CD60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suspeição</w:t>
      </w:r>
      <w:r w:rsidRPr="76ED894B" w:rsidR="4CD603F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no âmbito do Poder Judiciário e à luz do direito angolano.</w:t>
      </w:r>
    </w:p>
    <w:p w:rsidR="68906CF4" w:rsidP="76ED894B" w:rsidRDefault="68906CF4" w14:paraId="2040C0DB" w14:textId="63923279">
      <w:pPr>
        <w:pStyle w:val="Normal"/>
        <w:spacing w:line="360" w:lineRule="auto"/>
        <w:ind w:left="0"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7D445E8" w:rsidR="35B0446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Para contextualizar, o Banco Master foi liquidado extrajudicialmente pelo Banco Central do Brasil em novembro de 2025, em meio a um escândalo que envolve um rombo de cerca de R$ 41 bilhões e uma suposta fraude sofisticada. As investigações da Polícia Federal (Operação Compliance Zero) apuram um esquema de fraudes financeiras, gestão fraudulenta e lavagem de dinheiro. O cerne da questão para o debate sobre a imparcialidade reside nas relações pessoais e de negócios que o </w:t>
      </w:r>
      <w:r w:rsidRPr="17D445E8" w:rsidR="5A62F5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bancário</w:t>
      </w:r>
      <w:r w:rsidRPr="17D445E8" w:rsidR="35B0446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Daniel </w:t>
      </w:r>
      <w:r w:rsidRPr="17D445E8" w:rsidR="35B0446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</w:t>
      </w:r>
      <w:r w:rsidRPr="17D445E8" w:rsidR="35B0446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orcaro</w:t>
      </w:r>
      <w:r w:rsidRPr="17D445E8" w:rsidR="35B0446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  <w:r w:rsidRPr="17D445E8" w:rsidR="35B0446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mantinha com membros do Supremo Tribunal Federal (STF) e outras altas </w:t>
      </w:r>
      <w:r w:rsidRPr="17D445E8" w:rsidR="35B0446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autoridades.</w:t>
      </w:r>
    </w:p>
    <w:p w:rsidR="726B7D6F" w:rsidP="76ED894B" w:rsidRDefault="726B7D6F" w14:paraId="739E88B5" w14:textId="4299259F">
      <w:pPr>
        <w:pStyle w:val="Normal"/>
        <w:spacing w:line="360" w:lineRule="auto"/>
        <w:ind w:left="0" w:firstLine="1134"/>
        <w:jc w:val="both"/>
      </w:pPr>
      <w:r w:rsidRPr="17D445E8" w:rsidR="78983C1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imparcialidade do julgador, um pilar do devido processo legal, é garantida por mecanismos como o impedimento (causas objetivas) e a suspeição (causas subjetivas, ligadas à aparência de parcialidade). O caso Master coloca em xeque esses princípios.</w:t>
      </w:r>
    </w:p>
    <w:p w:rsidR="1F610170" w:rsidP="17D445E8" w:rsidRDefault="1F610170" w14:paraId="657D68BE" w14:textId="014480A1">
      <w:pPr>
        <w:pStyle w:val="Heading1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40"/>
          <w:szCs w:val="40"/>
          <w:lang w:val="pt-BR"/>
        </w:rPr>
      </w:pPr>
      <w:bookmarkStart w:name="_Toc1398124597" w:id="23111621"/>
      <w:r w:rsidRPr="17D445E8" w:rsidR="58EC964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40"/>
          <w:szCs w:val="40"/>
          <w:lang w:val="pt-BR"/>
        </w:rPr>
        <w:t>Impedimentos</w:t>
      </w:r>
      <w:bookmarkEnd w:id="23111621"/>
    </w:p>
    <w:p w:rsidR="29C2E9AC" w:rsidP="76ED894B" w:rsidRDefault="29C2E9AC" w14:paraId="73B079F9" w14:textId="6A4AF4A7">
      <w:pPr>
        <w:pStyle w:val="Normal"/>
        <w:spacing w:line="360" w:lineRule="auto"/>
        <w:ind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6ED894B" w:rsidR="0C6404E8">
        <w:rPr>
          <w:noProof w:val="0"/>
          <w:lang w:val="pt-BR"/>
        </w:rPr>
        <w:t>A</w:t>
      </w:r>
      <w:r w:rsidRPr="76ED894B" w:rsidR="22247C80">
        <w:rPr>
          <w:noProof w:val="0"/>
          <w:lang w:val="pt-BR"/>
        </w:rPr>
        <w:t xml:space="preserve"> </w:t>
      </w:r>
      <w:r w:rsidRPr="17D445E8" w:rsidR="22247C80">
        <w:rPr>
          <w:i w:val="1"/>
          <w:iCs w:val="1"/>
          <w:noProof w:val="0"/>
          <w:lang w:val="pt-BR"/>
        </w:rPr>
        <w:t>SECÇÃO I</w:t>
      </w:r>
      <w:r w:rsidRPr="17D445E8">
        <w:rPr>
          <w:rStyle w:val="FootnoteReference"/>
          <w:i w:val="1"/>
          <w:iCs w:val="1"/>
          <w:noProof w:val="0"/>
          <w:lang w:val="pt-BR"/>
        </w:rPr>
        <w:footnoteReference w:id="14244"/>
      </w:r>
      <w:r w:rsidRPr="76ED894B" w:rsidR="22247C80">
        <w:rPr>
          <w:noProof w:val="0"/>
          <w:lang w:val="pt-BR"/>
        </w:rPr>
        <w:t xml:space="preserve"> do </w:t>
      </w:r>
      <w:r w:rsidRPr="17D445E8" w:rsidR="22247C80">
        <w:rPr>
          <w:i w:val="1"/>
          <w:iCs w:val="1"/>
          <w:noProof w:val="0"/>
          <w:lang w:val="pt-BR"/>
        </w:rPr>
        <w:t>CAPÍTULO VI</w:t>
      </w:r>
      <w:r w:rsidRPr="76ED894B" w:rsidR="22247C80">
        <w:rPr>
          <w:noProof w:val="0"/>
          <w:lang w:val="pt-BR"/>
        </w:rPr>
        <w:t xml:space="preserve"> é dada por inteiro </w:t>
      </w:r>
      <w:r w:rsidRPr="76ED894B" w:rsidR="21FD6761">
        <w:rPr>
          <w:noProof w:val="0"/>
          <w:lang w:val="pt-BR"/>
        </w:rPr>
        <w:t>aos impedimentos, e por impedim</w:t>
      </w:r>
      <w:r w:rsidRPr="76ED894B" w:rsidR="41B34ECE">
        <w:rPr>
          <w:noProof w:val="0"/>
          <w:lang w:val="pt-BR"/>
        </w:rPr>
        <w:t>entos compreendem</w:t>
      </w:r>
      <w:r w:rsidRPr="76ED894B" w:rsidR="58BCE867">
        <w:rPr>
          <w:noProof w:val="0"/>
          <w:lang w:val="pt-BR"/>
        </w:rPr>
        <w:t>-se</w:t>
      </w:r>
      <w:r w:rsidRPr="76ED894B" w:rsidR="41B34ECE">
        <w:rPr>
          <w:noProof w:val="0"/>
          <w:lang w:val="pt-BR"/>
        </w:rPr>
        <w:t xml:space="preserve"> as circunstâncias em que o juiz se encontra </w:t>
      </w:r>
      <w:r w:rsidRPr="76ED894B" w:rsidR="5C8A1536">
        <w:rPr>
          <w:noProof w:val="0"/>
          <w:lang w:val="pt-BR"/>
        </w:rPr>
        <w:t>impossibilitado/proibido de julgar o mérito da causa</w:t>
      </w:r>
      <w:r w:rsidRPr="76ED894B" w:rsidR="477BEF06">
        <w:rPr>
          <w:noProof w:val="0"/>
          <w:lang w:val="pt-BR"/>
        </w:rPr>
        <w:t>, a</w:t>
      </w:r>
      <w:r w:rsidRPr="76ED894B" w:rsidR="477BEF0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plica-se quando há vínculos objetivos entre o juiz e o processo; </w:t>
      </w:r>
      <w:r w:rsidRPr="76ED894B" w:rsidR="03EC7C1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quando a </w:t>
      </w:r>
      <w:r w:rsidRPr="76ED894B" w:rsidR="477BEF0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mulher, parente</w:t>
      </w:r>
      <w:r w:rsidRPr="76ED894B" w:rsidR="7732B4D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ou </w:t>
      </w:r>
      <w:r w:rsidRPr="76ED894B" w:rsidR="6EAB91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afim</w:t>
      </w:r>
      <w:r w:rsidRPr="76ED894B" w:rsidR="477BEF0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76ED894B" w:rsidR="4131A43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tenha na causa interesse que lhe permita figurar como parte principal</w:t>
      </w:r>
      <w:r w:rsidRPr="76ED894B" w:rsidR="5165920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  <w:r w:rsidRPr="76ED894B" w:rsidR="477BEF0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76ED894B" w:rsidR="563B264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bem como todas as outras circunstâncias que sirvam de base para a arguição de impedimentos</w:t>
      </w:r>
      <w:r w:rsidRPr="76ED894B" w:rsidR="0C4883F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cri</w:t>
      </w:r>
      <w:r w:rsidRPr="76ED894B" w:rsidR="477BEF0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ando uma proibição absoluta de julgar.</w:t>
      </w:r>
    </w:p>
    <w:p w:rsidR="476C4DFF" w:rsidP="17D445E8" w:rsidRDefault="476C4DFF" w14:paraId="7D45EA51" w14:textId="77FC90B0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pt-BR"/>
        </w:rPr>
      </w:pPr>
      <w:bookmarkStart w:name="_Toc365065619" w:id="1936080962"/>
      <w:r w:rsidRPr="17D445E8" w:rsidR="70CB260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pt-BR"/>
        </w:rPr>
        <w:t>O Ministro Dias Toffoli e o Resort de Luxo</w:t>
      </w:r>
      <w:bookmarkEnd w:id="1936080962"/>
      <w:r w:rsidRPr="17D445E8" w:rsidR="70CB260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pt-BR"/>
        </w:rPr>
        <w:t xml:space="preserve"> </w:t>
      </w:r>
    </w:p>
    <w:p w:rsidR="476C4DFF" w:rsidP="76ED894B" w:rsidRDefault="476C4DFF" w14:paraId="3322287B" w14:textId="6E33BC60">
      <w:pPr>
        <w:pStyle w:val="Normal"/>
        <w:spacing w:before="240" w:beforeAutospacing="off" w:after="240" w:afterAutospacing="off" w:line="360" w:lineRule="auto"/>
        <w:ind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6ED894B" w:rsidR="476C4D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Um dos episódios mais emblemáticos envolve o ministro Dias Toffoli, relator do caso no STF.</w:t>
      </w:r>
    </w:p>
    <w:p w:rsidR="476C4DFF" w:rsidP="76ED894B" w:rsidRDefault="476C4DFF" w14:paraId="4CAF6E8E" w14:textId="08E7D661">
      <w:pPr>
        <w:pStyle w:val="Normal"/>
        <w:spacing w:before="240" w:beforeAutospacing="off" w:after="240" w:afterAutospacing="off" w:line="360" w:lineRule="auto"/>
        <w:ind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6ED894B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Polícia Federal identificou que a empresa</w:t>
      </w:r>
      <w:r w:rsidRPr="17D445E8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15633"/>
      </w:r>
      <w:r w:rsidRPr="76ED894B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familiar de Toffoli, a </w:t>
      </w:r>
      <w:r w:rsidRPr="76ED894B" w:rsidR="70CB26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Maridt</w:t>
      </w:r>
      <w:r w:rsidRPr="76ED894B" w:rsidR="70CB26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Participações</w:t>
      </w:r>
      <w:r w:rsidRPr="76ED894B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21926"/>
      </w:r>
      <w:r w:rsidRPr="76ED894B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era sócia de um resort de luxo, o </w:t>
      </w:r>
      <w:r w:rsidRPr="76ED894B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Tayayá</w:t>
      </w:r>
      <w:r w:rsidRPr="76ED894B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no Paraná. Este resort era, ao mesmo tempo, alvo de investimentos de um fundo gerido pela </w:t>
      </w:r>
      <w:r w:rsidRPr="76ED894B" w:rsidR="70CB26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Reag</w:t>
      </w:r>
      <w:r w:rsidRPr="76ED894B" w:rsidR="70CB26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Investimentos</w:t>
      </w:r>
      <w:r w:rsidRPr="76ED894B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empresa fortemente ligada ao Banco Master e que está no centro das investigações. A </w:t>
      </w:r>
      <w:r w:rsidRPr="76ED894B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Reag</w:t>
      </w:r>
      <w:r w:rsidRPr="76ED894B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era responsável por fundos que receberam ativos fraudulentos do Master.</w:t>
      </w:r>
    </w:p>
    <w:p w:rsidR="476C4DFF" w:rsidP="76ED894B" w:rsidRDefault="476C4DFF" w14:paraId="62417B8A" w14:textId="19545E09">
      <w:pPr>
        <w:pStyle w:val="Normal"/>
        <w:spacing w:before="240" w:beforeAutospacing="off" w:after="240" w:afterAutospacing="off" w:line="360" w:lineRule="auto"/>
        <w:ind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7D445E8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situação levanta a questão do </w:t>
      </w:r>
      <w:r w:rsidRPr="17D445E8" w:rsidR="70CB26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impedimento</w:t>
      </w:r>
      <w:r w:rsidRPr="17D445E8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 ministro. O Código de Processo </w:t>
      </w:r>
      <w:r w:rsidRPr="17D445E8" w:rsidR="0C23A26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Civil prevê</w:t>
      </w:r>
      <w:r w:rsidRPr="17D445E8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que o juiz é impedido de atuar quando ele ou seus familiares forem "diretamente interessados" na causa. Embora Toffoli tenha afirmado que não se via como impedido, pois não é </w:t>
      </w:r>
      <w:r w:rsidRPr="17D445E8" w:rsidR="0631AD8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sócio administrador</w:t>
      </w:r>
      <w:r w:rsidRPr="17D445E8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da empresa</w:t>
      </w:r>
      <w:r w:rsidRPr="17D445E8" w:rsidR="76E5FA0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  <w:r w:rsidRPr="17D445E8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7D445E8" w:rsidR="7D0F83B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os </w:t>
      </w:r>
      <w:r w:rsidRPr="17D445E8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seus irmãos a dirigem, a proximidade entre </w:t>
      </w:r>
      <w:r w:rsidRPr="17D445E8" w:rsidR="63D222A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os </w:t>
      </w:r>
      <w:r w:rsidRPr="17D445E8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seus negócios familiares e um dos principais alvos da investigação que ele próprio conduz cria um conflito de interesses </w:t>
      </w:r>
      <w:r w:rsidRPr="17D445E8" w:rsidR="2B599C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incontornável.</w:t>
      </w:r>
    </w:p>
    <w:p w:rsidR="476C4DFF" w:rsidP="76ED894B" w:rsidRDefault="476C4DFF" w14:paraId="7DF5C5DF" w14:textId="26757C01">
      <w:pPr>
        <w:pStyle w:val="Normal"/>
        <w:spacing w:before="240" w:beforeAutospacing="off" w:after="240" w:afterAutospacing="off" w:line="360" w:lineRule="auto"/>
        <w:ind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7D445E8" w:rsidR="5BB551A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À luz</w:t>
      </w:r>
      <w:r w:rsidRPr="17D445E8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7D445E8" w:rsidR="6208AC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da lei angolana, a </w:t>
      </w:r>
      <w:r w:rsidRPr="17D445E8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permanência de Toffoli na relatoria, mesmo diante desses vínculos, é apontada por especialistas</w:t>
      </w:r>
      <w:r w:rsidRPr="17D445E8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24181"/>
      </w:r>
      <w:r w:rsidRPr="17D445E8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como uma violação do princípio do </w:t>
      </w:r>
      <w:r w:rsidRPr="17D445E8" w:rsidR="70CB26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juiz natural</w:t>
      </w:r>
      <w:r w:rsidRPr="17D445E8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(ninguém será processado nem sentenciado senão pela autoridade competente) e gera insegurança jurídica, pois qualquer decisão sua pode ser futuramente questionada </w:t>
      </w:r>
      <w:r w:rsidRPr="17D445E8" w:rsidR="70CB26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por</w:t>
      </w:r>
      <w:r w:rsidRPr="17D445E8" w:rsidR="65C7A71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7D445E8" w:rsidR="65C7A71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</w:t>
      </w:r>
      <w:r w:rsidRPr="17D445E8" w:rsidR="65C7A71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uspeição.</w:t>
      </w:r>
    </w:p>
    <w:p w:rsidR="76ED894B" w:rsidP="17D445E8" w:rsidRDefault="76ED894B" w14:paraId="649A7622" w14:textId="1CF7D274">
      <w:pPr>
        <w:pStyle w:val="Heading1"/>
        <w:rPr>
          <w:noProof w:val="0"/>
          <w:color w:val="auto"/>
          <w:lang w:val="pt-BR"/>
        </w:rPr>
      </w:pPr>
      <w:bookmarkStart w:name="_Toc137603769" w:id="1936460612"/>
      <w:r w:rsidRPr="17D445E8" w:rsidR="35102219">
        <w:rPr>
          <w:noProof w:val="0"/>
          <w:lang w:val="pt-BR"/>
        </w:rPr>
        <w:t>Suspeição</w:t>
      </w:r>
      <w:bookmarkEnd w:id="1936460612"/>
    </w:p>
    <w:p w:rsidR="76ED894B" w:rsidP="17D445E8" w:rsidRDefault="76ED894B" w14:paraId="11A86278" w14:textId="72F683DA">
      <w:pPr>
        <w:pStyle w:val="Normal"/>
        <w:spacing w:before="240" w:beforeAutospacing="off" w:after="240" w:afterAutospacing="off" w:line="360" w:lineRule="auto"/>
        <w:ind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7D445E8" w:rsidR="71EF2A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</w:t>
      </w:r>
      <w:r w:rsidRPr="17D445E8" w:rsidR="71EF2AC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SECÇÃO II</w:t>
      </w:r>
      <w:r w:rsidRPr="17D445E8" w:rsidR="71EF2A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 </w:t>
      </w:r>
      <w:r w:rsidRPr="17D445E8" w:rsidR="71EF2AC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CAPÍTULO VI</w:t>
      </w:r>
      <w:r w:rsidRPr="17D445E8" w:rsidR="71EF2A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fala sobre a suspeição</w:t>
      </w:r>
      <w:r w:rsidRPr="17D445E8" w:rsidR="5612000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aqui, fala-se igualmente de uma modalidade de garantia de imparcialidade, mas que dife</w:t>
      </w:r>
      <w:r w:rsidRPr="17D445E8" w:rsidR="4966400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 da anterior pel</w:t>
      </w:r>
      <w:r w:rsidRPr="17D445E8" w:rsidR="3A2FC7B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17D445E8" w:rsidR="4966400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</w:t>
      </w:r>
      <w:r w:rsidRPr="17D445E8" w:rsidR="0A3F45D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ua</w:t>
      </w:r>
      <w:r w:rsidRPr="17D445E8" w:rsidR="4966400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7D445E8" w:rsidR="509799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índole subjetiva</w:t>
      </w:r>
      <w:r w:rsidRPr="17D445E8" w:rsidR="4966400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76ED894B" w:rsidP="17D445E8" w:rsidRDefault="76ED894B" w14:paraId="037F7A43" w14:textId="5CCD1582">
      <w:pPr>
        <w:pStyle w:val="Normal"/>
        <w:spacing w:before="240" w:beforeAutospacing="off" w:after="240" w:afterAutospacing="off" w:line="360" w:lineRule="auto"/>
        <w:ind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Outra que abalou a credibilidade do STF foi o do ministro Alexandre de Moraes.</w:t>
      </w:r>
    </w:p>
    <w:p w:rsidR="76ED894B" w:rsidP="17D445E8" w:rsidRDefault="76ED894B" w14:paraId="36DF9D6D" w14:textId="74CDCF3F">
      <w:pPr>
        <w:pStyle w:val="Normal"/>
        <w:spacing w:before="240" w:beforeAutospacing="off" w:after="240" w:afterAutospacing="off" w:line="360" w:lineRule="auto"/>
        <w:ind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escritório de advocacia de sua esposa, </w:t>
      </w:r>
      <w:r w:rsidRPr="17D445E8" w:rsidR="0F7C42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Viviane </w:t>
      </w:r>
      <w:r w:rsidRPr="17D445E8" w:rsidR="0F7C42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Barci</w:t>
      </w:r>
      <w:r w:rsidRPr="17D445E8" w:rsidR="0F7C42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de Moraes</w:t>
      </w: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firmou um contrato de </w:t>
      </w:r>
      <w:r w:rsidRPr="17D445E8" w:rsidR="0F7C42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R$ 129 milhões</w:t>
      </w: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com o Banco Master para prestar serviços de consultoria jurídica. O contrato previa pagamentos mensais de mais de R$ 3,6 </w:t>
      </w:r>
      <w:r w:rsidRPr="17D445E8" w:rsidR="6C90262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milhões</w:t>
      </w:r>
      <w:r w:rsidRPr="17D445E8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15123"/>
      </w:r>
      <w:r w:rsidRPr="17D445E8" w:rsidR="6C90262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76ED894B" w:rsidP="17D445E8" w:rsidRDefault="76ED894B" w14:paraId="3BD7B521" w14:textId="29F667FE">
      <w:pPr>
        <w:pStyle w:val="Normal"/>
        <w:spacing w:before="240" w:beforeAutospacing="off" w:after="240" w:afterAutospacing="off" w:line="360" w:lineRule="auto"/>
        <w:ind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situação se enquadra na hipótese de </w:t>
      </w:r>
      <w:r w:rsidRPr="17D445E8" w:rsidR="0F7C42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suspeição</w:t>
      </w: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Mesmo que não haja prova de que o ministro tenha agido em benefício do banco, a suspeição se caracteriza pela "aparência" de parcialidade. A lei considera suspeito o juiz que for "amigo íntimo" ou "inimigo capital" de qualquer das partes, ou que tenha interesse no julgamento.</w:t>
      </w:r>
    </w:p>
    <w:p w:rsidR="76ED894B" w:rsidP="17D445E8" w:rsidRDefault="76ED894B" w14:paraId="192853BD" w14:textId="586B3793">
      <w:pPr>
        <w:pStyle w:val="Normal"/>
        <w:spacing w:before="240" w:beforeAutospacing="off" w:after="240" w:afterAutospacing="off" w:line="360" w:lineRule="auto"/>
        <w:ind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vultoso contrato da esposa com a parte investigada é suficiente para gerar dúvida razoável sobre a isenção do magistrado em qualquer caso que envolva o </w:t>
      </w:r>
      <w:r w:rsidRPr="17D445E8" w:rsidR="598AF2B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banco.</w:t>
      </w: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The Economist destacou que laços como esse "reforçam a impressão entre os eleitores brasileiros de que a Suprema Corte do país carece de imparcialidade</w:t>
      </w:r>
      <w:r w:rsidRPr="17D445E8" w:rsidR="3037447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".</w:t>
      </w:r>
    </w:p>
    <w:p w:rsidR="76ED894B" w:rsidP="17D445E8" w:rsidRDefault="76ED894B" w14:paraId="5856B629" w14:textId="5DFB6AC8">
      <w:pPr>
        <w:pStyle w:val="Heading2"/>
        <w:rPr>
          <w:noProof w:val="0"/>
          <w:color w:val="auto"/>
          <w:lang w:val="pt-BR"/>
        </w:rPr>
      </w:pPr>
      <w:r w:rsidRPr="17D445E8" w:rsidR="0F7C420C">
        <w:rPr>
          <w:noProof w:val="0"/>
          <w:color w:val="auto"/>
          <w:lang w:val="pt-BR"/>
        </w:rPr>
        <w:t xml:space="preserve"> </w:t>
      </w:r>
      <w:r w:rsidRPr="17D445E8" w:rsidR="0F7C42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pt-BR"/>
        </w:rPr>
        <w:t>A Avocação do Inquérito e o Sigilo das Provas (Desvios Processuais)</w:t>
      </w:r>
    </w:p>
    <w:p w:rsidR="76ED894B" w:rsidP="17D445E8" w:rsidRDefault="76ED894B" w14:paraId="775103FD" w14:textId="0AE05FEF">
      <w:pPr>
        <w:spacing w:before="240" w:beforeAutospacing="off" w:after="240" w:afterAutospacing="off" w:line="360" w:lineRule="auto"/>
        <w:ind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Além dos vínculos pessoais, a forma como o processo foi conduzido também levanta preocupações sobre a </w:t>
      </w: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imparcialidade.</w:t>
      </w:r>
    </w:p>
    <w:p w:rsidR="76ED894B" w:rsidP="17D445E8" w:rsidRDefault="76ED894B" w14:paraId="30E4EFFB" w14:textId="411AE8C4">
      <w:pPr>
        <w:spacing w:before="240" w:beforeAutospacing="off" w:after="240" w:afterAutospacing="off" w:line="360" w:lineRule="auto"/>
        <w:ind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inquérito, que corria na primeira instância em Brasília, foi atraído para o STF pelo ministro Toffoli com base em alegações genéricas de envolvimento de "possíveis autoridades com foro". Críticos apontam que essa decisão foi uma manobra para "forjar" a competência do STF, violando o princípio do juiz natural e transformando o foro privilegiado em um instrumento de conveniência </w:t>
      </w:r>
      <w:r w:rsidRPr="17D445E8" w:rsidR="480FB63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processual.</w:t>
      </w:r>
    </w:p>
    <w:p w:rsidR="76ED894B" w:rsidP="17D445E8" w:rsidRDefault="76ED894B" w14:paraId="0D06296C" w14:textId="4EB4C9C8">
      <w:pPr>
        <w:spacing w:before="240" w:beforeAutospacing="off" w:after="240" w:afterAutospacing="off" w:line="360" w:lineRule="auto"/>
        <w:ind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Toffoli impôs um regime de sigilo severo às investigações e centralizou as provas em seu gabinete, dificultando o trabalho da Polícia Federal</w:t>
      </w:r>
      <w:r w:rsidRPr="17D445E8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1074"/>
      </w: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da Procuradoria-Geral da República (PGR). Em um primeiro momento, ele determinou que as provas ficassem lacradas em seu gabinete, recuando apenas depois para permitir o acesso </w:t>
      </w:r>
      <w:r w:rsidRPr="17D445E8" w:rsidR="26E2749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parcial.</w:t>
      </w: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Essa atuação, descrita como um "ativismo" excessivo, conflita com a postura de árbitro imparcial que se espera de um juiz.</w:t>
      </w:r>
    </w:p>
    <w:p w:rsidR="76ED894B" w:rsidP="17D445E8" w:rsidRDefault="76ED894B" w14:paraId="45AA42ED" w14:textId="6AA38581">
      <w:pPr>
        <w:pStyle w:val="Heading3"/>
        <w:spacing w:before="281" w:beforeAutospacing="off" w:after="281" w:afterAutospacing="off" w:line="360" w:lineRule="auto"/>
        <w:ind/>
        <w:jc w:val="both"/>
      </w:pPr>
      <w:r w:rsidRPr="17D445E8" w:rsidR="0F7C420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A Perda de Confiança nas Instituições</w:t>
      </w:r>
    </w:p>
    <w:p w:rsidR="76ED894B" w:rsidP="17D445E8" w:rsidRDefault="76ED894B" w14:paraId="645CE56A" w14:textId="1DF879AA">
      <w:pPr>
        <w:spacing w:before="240" w:beforeAutospacing="off" w:after="240" w:afterAutospacing="off" w:line="360" w:lineRule="auto"/>
        <w:ind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caso Master não é apenas um escândalo financeiro; ele se tornou um teste de resiliência para as instituições democráticas brasileiras. O efeito mais direto das controvérsias foi a </w:t>
      </w:r>
      <w:r w:rsidRPr="17D445E8" w:rsidR="0F7C42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erosão da confiança pública</w:t>
      </w: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no Judiciário.</w:t>
      </w:r>
    </w:p>
    <w:p w:rsidR="76ED894B" w:rsidP="17D445E8" w:rsidRDefault="76ED894B" w14:paraId="5B4718EF" w14:textId="496BF35B">
      <w:pPr>
        <w:spacing w:before="240" w:beforeAutospacing="off" w:after="240" w:afterAutospacing="off" w:line="360" w:lineRule="auto"/>
        <w:ind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Uma pesquisa </w:t>
      </w: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AtlasIntel</w:t>
      </w: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/Estadão de março de 2026 revelou que </w:t>
      </w:r>
      <w:r w:rsidRPr="17D445E8" w:rsidR="0F7C42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60% da população não confia no STF</w:t>
      </w: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o maior índice da série </w:t>
      </w:r>
      <w:r w:rsidRPr="17D445E8" w:rsidR="12D88D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histórica.</w:t>
      </w: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Para </w:t>
      </w:r>
      <w:r w:rsidRPr="17D445E8" w:rsidR="0F7C42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66,1% dos brasileiros</w:t>
      </w: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há envolvimento direto de ministros da Corte no caso </w:t>
      </w: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Master.</w:t>
      </w:r>
    </w:p>
    <w:p w:rsidR="76ED894B" w:rsidP="17D445E8" w:rsidRDefault="76ED894B" w14:paraId="40CAC0FE" w14:textId="5C98553B">
      <w:pPr>
        <w:spacing w:before="240" w:beforeAutospacing="off" w:after="240" w:afterAutospacing="off" w:line="360" w:lineRule="auto"/>
        <w:ind w:firstLine="1134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Impressionantes </w:t>
      </w:r>
      <w:r w:rsidRPr="17D445E8" w:rsidR="0F7C42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76,9%</w:t>
      </w: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dos entrevistados acreditam que há "muita influência externa (de políticos, partidos e grupos poderosos)" nos julgamentos do </w:t>
      </w:r>
      <w:r w:rsidRPr="17D445E8" w:rsidR="5801457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Supremo.</w:t>
      </w:r>
    </w:p>
    <w:p w:rsidR="76ED894B" w:rsidP="17D445E8" w:rsidRDefault="76ED894B" w14:paraId="54647E3D" w14:textId="2DF165FB">
      <w:pPr>
        <w:pStyle w:val="Heading1"/>
        <w:rPr/>
      </w:pPr>
      <w:r w:rsidRPr="17D445E8" w:rsidR="0F7C420C">
        <w:rPr>
          <w:noProof w:val="0"/>
          <w:lang w:val="pt-BR"/>
        </w:rPr>
        <w:t>Co</w:t>
      </w:r>
      <w:r w:rsidRPr="17D445E8" w:rsidR="69630B5F">
        <w:rPr>
          <w:noProof w:val="0"/>
          <w:lang w:val="pt-BR"/>
        </w:rPr>
        <w:t>nsiderações Finais</w:t>
      </w:r>
    </w:p>
    <w:p w:rsidR="76ED894B" w:rsidP="17D445E8" w:rsidRDefault="76ED894B" w14:paraId="21E4682E" w14:textId="57991EC3">
      <w:pPr>
        <w:spacing w:before="240" w:beforeAutospacing="off" w:after="240" w:afterAutospacing="off" w:line="360" w:lineRule="auto"/>
        <w:ind w:firstLine="1134"/>
        <w:jc w:val="both"/>
      </w:pP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caso Banco Master serve como um exemplo paradigmático de como as garantias da imparcialidade podem ser ameaçadas. Ele demonstra que a imparcialidade não se resume à ausência de corrupção (ilicitude), mas exige também a </w:t>
      </w:r>
      <w:r w:rsidRPr="17D445E8" w:rsidR="0F7C42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aparência de imparcialidade</w:t>
      </w: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Quando ministros do mais alto tribunal do país investigam ou julgam processos que envolvem seus próprios negócios familiares (caso Toffoli) ou contratos milionários de seus cônjuges (caso Moraes), o princípio do juiz natural e a confiança no sistema de justiça como um todo são gravemente comprometidos.</w:t>
      </w:r>
    </w:p>
    <w:p w:rsidR="76ED894B" w:rsidP="17D445E8" w:rsidRDefault="76ED894B" w14:paraId="41B9DDF5" w14:textId="014F832C">
      <w:pPr>
        <w:spacing w:before="240" w:beforeAutospacing="off" w:after="240" w:afterAutospacing="off" w:line="360" w:lineRule="auto"/>
        <w:ind w:firstLine="1134"/>
        <w:jc w:val="both"/>
      </w:pP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resposta a essas crises, como a proposta de adoção de um código de ética pelo novo presidente do STF, Edson Fachin, mostra-se fundamental para tentar reparar essa imagem, mas enfrenta </w:t>
      </w:r>
      <w:r w:rsidRPr="17D445E8" w:rsidR="4DFF95D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resistência.</w:t>
      </w:r>
      <w:r w:rsidRPr="17D445E8" w:rsidR="0F7C4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Assim, o "caso Master" se consolida como um marco na discussão sobre os limites entre a atuação jurisdicional e a vida privada dos magistrados no Brasil.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d6c3924607d46f4"/>
      <w:footerReference w:type="default" r:id="R6c238b64f13c4a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mc="http://schemas.openxmlformats.org/markup-compatibility/2006" mc:Ignorable="wp14 w15 w16se w16cid w16 w16cex w16sdtdh w16sdtfl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6CFE8D1" w:rsidTr="76CFE8D1" w14:paraId="2E4D7A02">
      <w:trPr>
        <w:trHeight w:val="300"/>
      </w:trPr>
      <w:tc>
        <w:tcPr>
          <w:tcW w:w="3005" w:type="dxa"/>
          <w:tcMar/>
        </w:tcPr>
        <w:p w:rsidR="76CFE8D1" w:rsidP="76CFE8D1" w:rsidRDefault="76CFE8D1" w14:paraId="5A5937DB" w14:textId="2DD6940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6CFE8D1" w:rsidP="76CFE8D1" w:rsidRDefault="76CFE8D1" w14:paraId="55BBA80D" w14:textId="39B53C5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6CFE8D1" w:rsidP="76CFE8D1" w:rsidRDefault="76CFE8D1" w14:paraId="5D948244" w14:textId="7BEC0926">
          <w:pPr>
            <w:pStyle w:val="Header"/>
            <w:bidi w:val="0"/>
            <w:ind w:right="-115"/>
            <w:jc w:val="right"/>
          </w:pPr>
        </w:p>
      </w:tc>
    </w:tr>
  </w:tbl>
  <w:p w:rsidR="76CFE8D1" w:rsidP="76CFE8D1" w:rsidRDefault="76CFE8D1" w14:paraId="0B06F7B0" w14:textId="3A00F08B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mc="http://schemas.openxmlformats.org/markup-compatibility/2006" xmlns:r="http://schemas.openxmlformats.org/officeDocument/2006/relationships" mc:Ignorable="wp14 w15 w16se w16cid w16 w16cex w16sdtdh w16sdtfl">
  <w:footnote w:type="separator" w:id="-1">
    <w:p w:rsidR="76CFE8D1" w:rsidRDefault="76CFE8D1" w14:paraId="3E614595" w14:textId="7332EC5B">
      <w:pPr>
        <w:spacing w:after="0" w:line="240" w:lineRule="auto"/>
      </w:pPr>
      <w:r>
        <w:separator/>
      </w:r>
    </w:p>
  </w:footnote>
  <w:footnote w:type="continuationSeparator" w:id="0">
    <w:p w:rsidR="76CFE8D1" w:rsidRDefault="76CFE8D1" w14:paraId="1CC4BAB0" w14:textId="1DB3EDD4">
      <w:pPr>
        <w:spacing w:after="0" w:line="240" w:lineRule="auto"/>
      </w:pPr>
      <w:r>
        <w:continuationSeparator/>
      </w:r>
    </w:p>
  </w:footnote>
  <w:footnote w:id="28973">
    <w:p w:rsidR="76CFE8D1" w:rsidP="76CFE8D1" w:rsidRDefault="76CFE8D1" w14:paraId="5407A6CE" w14:textId="59FC1E28">
      <w:pPr>
        <w:pStyle w:val="FootnoteText"/>
        <w:bidi w:val="0"/>
        <w:ind w:firstLine="0"/>
      </w:pPr>
      <w:r w:rsidRPr="76CFE8D1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76CFE8D1" w:rsidR="76CFE8D1">
        <w:rPr>
          <w:rFonts w:ascii="Times New Roman" w:hAnsi="Times New Roman" w:eastAsia="Times New Roman" w:cs="Times New Roman"/>
          <w:sz w:val="20"/>
          <w:szCs w:val="20"/>
        </w:rPr>
        <w:t xml:space="preserve"> Proibição da autodefesa, art. 1.</w:t>
      </w:r>
    </w:p>
  </w:footnote>
  <w:footnote w:id="3138">
    <w:p w:rsidR="76CFE8D1" w:rsidP="76CFE8D1" w:rsidRDefault="76CFE8D1" w14:paraId="46103418" w14:textId="0847B2A8">
      <w:pPr>
        <w:pStyle w:val="FootnoteText"/>
        <w:bidi w:val="0"/>
        <w:ind w:firstLine="0"/>
      </w:pPr>
      <w:r w:rsidRPr="76CFE8D1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76CFE8D1" w:rsidR="76CFE8D1">
        <w:rPr>
          <w:rFonts w:ascii="Times New Roman" w:hAnsi="Times New Roman" w:eastAsia="Times New Roman" w:cs="Times New Roman"/>
          <w:sz w:val="20"/>
          <w:szCs w:val="20"/>
        </w:rPr>
        <w:t xml:space="preserve"> Necessidade do pedido, art. 3.</w:t>
      </w:r>
    </w:p>
  </w:footnote>
  <w:footnote w:id="10279">
    <w:p w:rsidR="76CFE8D1" w:rsidP="76CFE8D1" w:rsidRDefault="76CFE8D1" w14:paraId="063BF846" w14:textId="7670A4BA">
      <w:pPr>
        <w:pStyle w:val="FootnoteText"/>
        <w:bidi w:val="0"/>
        <w:spacing w:before="0" w:beforeAutospacing="off" w:after="0" w:afterAutospacing="off"/>
        <w:ind w:firstLine="0"/>
        <w:jc w:val="both"/>
      </w:pPr>
      <w:r w:rsidRPr="76CFE8D1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76CFE8D1" w:rsidR="76CFE8D1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6CFE8D1" w:rsidR="76CFE8D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princípio do dispositivo no direito processual civil determina que as partes têm a iniciativa de instaurar o processo e de delimitar o objeto da causa (fatos e pedidos), cabendo ao juiz decidir com base nas provas trazidas por elas. O processo começa por iniciativa da parte, devendo o juiz decidir dentro do que foi pedido, não podendo ir além (ultra petita) ou aquém (citra petita).</w:t>
      </w:r>
    </w:p>
  </w:footnote>
  <w:footnote w:id="881">
    <w:p w:rsidR="76ED894B" w:rsidP="17D445E8" w:rsidRDefault="76ED894B" w14:paraId="57E5733E" w14:textId="5966F17B">
      <w:pPr>
        <w:pStyle w:val="FootnoteText"/>
        <w:bidi w:val="0"/>
        <w:jc w:val="both"/>
        <w:rPr>
          <w:noProof w:val="0"/>
          <w:lang w:val="pt-BR"/>
        </w:rPr>
      </w:pPr>
      <w:r w:rsidRPr="76ED894B">
        <w:rPr>
          <w:rStyle w:val="FootnoteReference"/>
        </w:rPr>
        <w:footnoteRef/>
      </w:r>
      <w:r w:rsidR="17D445E8">
        <w:rPr/>
        <w:t xml:space="preserve"> </w:t>
      </w:r>
      <w:r w:rsidRPr="76ED894B" w:rsidR="17D445E8">
        <w:rPr>
          <w:noProof w:val="0"/>
          <w:lang w:val="pt-BR"/>
        </w:rPr>
        <w:t xml:space="preserve">Iniciada no final de 2025, a operação apura a emissão de títulos falsos e manipulação de mercado, com prisões e bloqueios de bens que chegam a R$ 22 bilhões na 3ª fase (março/2026). O principal alvo é </w:t>
      </w:r>
      <w:r w:rsidRPr="76ED894B" w:rsidR="17D445E8">
        <w:rPr>
          <w:b w:val="1"/>
          <w:bCs w:val="1"/>
          <w:noProof w:val="0"/>
          <w:lang w:val="pt-BR"/>
        </w:rPr>
        <w:t xml:space="preserve">Daniel </w:t>
      </w:r>
      <w:r w:rsidRPr="76ED894B" w:rsidR="17D445E8">
        <w:rPr>
          <w:b w:val="1"/>
          <w:bCs w:val="1"/>
          <w:noProof w:val="0"/>
          <w:lang w:val="pt-BR"/>
        </w:rPr>
        <w:t>Vorcaro</w:t>
      </w:r>
      <w:r w:rsidRPr="76ED894B" w:rsidR="17D445E8">
        <w:rPr>
          <w:noProof w:val="0"/>
          <w:lang w:val="pt-BR"/>
        </w:rPr>
        <w:t xml:space="preserve">, antigo dono do Banco Master, sendo os principais crimes: Lavagem de dinheiro, corrupção, gestão fraudulenta/temerária, organização criminosa, emissão de títulos de crédito falsos e obstrução de justiça. </w:t>
      </w:r>
      <w:r w:rsidRPr="17D445E8" w:rsidR="17D445E8">
        <w:rPr>
          <w:i w:val="1"/>
          <w:iCs w:val="1"/>
          <w:noProof w:val="0"/>
          <w:lang w:val="pt-BR"/>
        </w:rPr>
        <w:t xml:space="preserve">Coordenação-Geral de Comunicação Social. </w:t>
      </w:r>
      <w:r w:rsidRPr="76ED894B" w:rsidR="17D445E8">
        <w:rPr>
          <w:noProof w:val="0"/>
          <w:lang w:val="pt-BR"/>
        </w:rPr>
        <w:t xml:space="preserve">PF deflagra 3ª fase da Operação Compliance Zero. Ministério Da Justiça E Segurança Pública. Distrito Federal. Disponível em: </w:t>
      </w:r>
      <w:hyperlink r:id="R525d7eaa306e4f6e">
        <w:r w:rsidRPr="17D445E8" w:rsidR="17D445E8">
          <w:rPr>
            <w:rStyle w:val="Hyperlink"/>
            <w:noProof w:val="0"/>
            <w:lang w:val="pt-BR"/>
          </w:rPr>
          <w:t>https://www.gov.br/pf/pt-br/assuntos/noticias/2026/03/policia-federal-deflagra-3a-fase-da-operacao-compliance-zero</w:t>
        </w:r>
      </w:hyperlink>
      <w:r w:rsidRPr="76ED894B" w:rsidR="17D445E8">
        <w:rPr>
          <w:noProof w:val="0"/>
          <w:lang w:val="pt-BR"/>
        </w:rPr>
        <w:t>. Acesso em 24 mar. 2026.</w:t>
      </w:r>
    </w:p>
  </w:footnote>
  <w:footnote w:id="14244">
    <w:p w:rsidR="76ED894B" w:rsidP="76ED894B" w:rsidRDefault="76ED894B" w14:paraId="365C6DC8" w14:textId="6FA6C0E6">
      <w:pPr>
        <w:pStyle w:val="FootnoteText"/>
        <w:bidi w:val="0"/>
      </w:pPr>
      <w:r w:rsidRPr="76ED894B">
        <w:rPr>
          <w:rStyle w:val="FootnoteReference"/>
        </w:rPr>
        <w:footnoteRef/>
      </w:r>
      <w:r w:rsidR="17D445E8">
        <w:rPr/>
        <w:t xml:space="preserve"> Art. 122</w:t>
      </w:r>
      <w:r w:rsidR="17D445E8">
        <w:rPr/>
        <w:t xml:space="preserve"> do Código de Processo Civil.</w:t>
      </w:r>
    </w:p>
  </w:footnote>
  <w:footnote w:id="21926">
    <w:p w:rsidR="76ED894B" w:rsidP="76ED894B" w:rsidRDefault="76ED894B" w14:paraId="0A3C9B75" w14:textId="2F4F32E9">
      <w:pPr>
        <w:pStyle w:val="FootnoteText"/>
        <w:bidi w:val="0"/>
      </w:pPr>
      <w:r w:rsidRPr="76ED894B">
        <w:rPr>
          <w:rStyle w:val="FootnoteReference"/>
        </w:rPr>
        <w:footnoteRef/>
      </w:r>
      <w:r w:rsidR="76ED894B">
        <w:rPr/>
        <w:t xml:space="preserve"> </w:t>
      </w:r>
      <w:r w:rsidRPr="76ED894B" w:rsidR="76ED894B">
        <w:rPr>
          <w:b w:val="1"/>
          <w:bCs w:val="1"/>
          <w:noProof w:val="0"/>
          <w:lang w:val="pt-BR"/>
        </w:rPr>
        <w:t>PIVA, Gabriela.</w:t>
      </w:r>
      <w:r w:rsidRPr="76ED894B" w:rsidR="76ED894B">
        <w:rPr>
          <w:noProof w:val="0"/>
          <w:lang w:val="pt-BR"/>
        </w:rPr>
        <w:t xml:space="preserve"> </w:t>
      </w:r>
      <w:r w:rsidRPr="76ED894B" w:rsidR="76ED894B">
        <w:rPr>
          <w:i w:val="1"/>
          <w:iCs w:val="1"/>
          <w:noProof w:val="0"/>
          <w:lang w:val="pt-BR"/>
        </w:rPr>
        <w:t>Arleen, Maridt e Tayayá: conheça as peças do quebra-cabeça no Caso Master.</w:t>
      </w:r>
      <w:r w:rsidRPr="76ED894B" w:rsidR="76ED894B">
        <w:rPr>
          <w:noProof w:val="0"/>
          <w:lang w:val="pt-BR"/>
        </w:rPr>
        <w:t xml:space="preserve"> </w:t>
      </w:r>
      <w:r w:rsidRPr="76ED894B" w:rsidR="76ED894B">
        <w:rPr>
          <w:b w:val="1"/>
          <w:bCs w:val="1"/>
          <w:noProof w:val="0"/>
          <w:lang w:val="pt-BR"/>
        </w:rPr>
        <w:t>CNN Brasil.</w:t>
      </w:r>
      <w:r w:rsidRPr="76ED894B" w:rsidR="76ED894B">
        <w:rPr>
          <w:noProof w:val="0"/>
          <w:lang w:val="pt-BR"/>
        </w:rPr>
        <w:t xml:space="preserve"> São Paulo. Disponível em: </w:t>
      </w:r>
      <w:hyperlink r:id="Rc7c8feac46a94194">
        <w:r w:rsidRPr="76ED894B" w:rsidR="76ED894B">
          <w:rPr>
            <w:rStyle w:val="Hyperlink"/>
            <w:noProof w:val="0"/>
            <w:lang w:val="pt-BR"/>
          </w:rPr>
          <w:t>https://www.cnnbrasil.com.br/politica/arleen-maridt-e-tayaya-conheca-as-pecas-do-quebra-cabeca-no-caso-master/</w:t>
        </w:r>
      </w:hyperlink>
      <w:r w:rsidRPr="76ED894B" w:rsidR="76ED894B">
        <w:rPr>
          <w:noProof w:val="0"/>
          <w:lang w:val="pt-BR"/>
        </w:rPr>
        <w:t>. Acesso em 24 mar. 2026.</w:t>
      </w:r>
    </w:p>
  </w:footnote>
  <w:footnote w:id="24181">
    <w:p w:rsidR="17D445E8" w:rsidP="17D445E8" w:rsidRDefault="17D445E8" w14:paraId="61B9F3E0" w14:textId="3E34F88B">
      <w:pPr>
        <w:pStyle w:val="FootnoteText"/>
        <w:bidi w:val="0"/>
        <w:spacing w:before="0" w:beforeAutospacing="off" w:after="322" w:afterAutospacing="off"/>
      </w:pPr>
      <w:r w:rsidRPr="17D445E8">
        <w:rPr>
          <w:rStyle w:val="FootnoteReference"/>
        </w:rPr>
        <w:footnoteRef/>
      </w:r>
      <w:r w:rsidR="17D445E8">
        <w:rPr/>
        <w:t xml:space="preserve"> Brasil247. </w:t>
      </w:r>
      <w:r w:rsidRPr="17D445E8" w:rsidR="17D445E8">
        <w:rPr>
          <w:noProof w:val="0"/>
          <w:lang w:val="pt-BR"/>
        </w:rPr>
        <w:t xml:space="preserve">Investigadores do caso Master consideram insustentável situação de Toffoli e alertam STF. Disponível em: </w:t>
      </w:r>
      <w:hyperlink r:id="R9213521dfcbc4851">
        <w:r w:rsidRPr="17D445E8" w:rsidR="17D445E8">
          <w:rPr>
            <w:rStyle w:val="Hyperlink"/>
            <w:noProof w:val="0"/>
            <w:lang w:val="pt-BR"/>
          </w:rPr>
          <w:t>https://www.brasil247.com/brasil/investigadores-do-caso-master-consideram-insustentavel-situacao-de-toffoli-e-alertam-stf#google_vignette</w:t>
        </w:r>
      </w:hyperlink>
      <w:r w:rsidRPr="17D445E8" w:rsidR="17D445E8">
        <w:rPr>
          <w:noProof w:val="0"/>
          <w:lang w:val="pt-BR"/>
        </w:rPr>
        <w:t>. Acessado em 25 de Mar</w:t>
      </w:r>
    </w:p>
  </w:footnote>
  <w:footnote w:id="15633">
    <w:p w:rsidR="17D445E8" w:rsidP="17D445E8" w:rsidRDefault="17D445E8" w14:paraId="587358C0" w14:textId="5628182E">
      <w:pPr>
        <w:pStyle w:val="FootnoteText"/>
        <w:bidi w:val="0"/>
      </w:pPr>
      <w:r w:rsidRPr="17D445E8">
        <w:rPr>
          <w:rStyle w:val="FootnoteReference"/>
        </w:rPr>
        <w:footnoteRef/>
      </w:r>
      <w:r w:rsidR="17D445E8">
        <w:rPr/>
        <w:t xml:space="preserve"> </w:t>
      </w:r>
      <w:r w:rsidRPr="17D445E8" w:rsidR="17D445E8">
        <w:rPr>
          <w:b w:val="1"/>
          <w:bCs w:val="1"/>
          <w:noProof w:val="0"/>
          <w:lang w:val="pt-BR"/>
        </w:rPr>
        <w:t>BERGAMASCO, Débora; TEIXEIRA, Matheus.</w:t>
      </w:r>
      <w:r w:rsidRPr="17D445E8" w:rsidR="17D445E8">
        <w:rPr>
          <w:noProof w:val="0"/>
          <w:lang w:val="pt-BR"/>
        </w:rPr>
        <w:t xml:space="preserve"> </w:t>
      </w:r>
      <w:r w:rsidRPr="17D445E8" w:rsidR="17D445E8">
        <w:rPr>
          <w:i w:val="1"/>
          <w:iCs w:val="1"/>
          <w:noProof w:val="0"/>
          <w:lang w:val="pt-BR"/>
        </w:rPr>
        <w:t>Caso Master: PF deve pedir quebra de sigilo de fundo ligado a Toffoli.</w:t>
      </w:r>
      <w:r w:rsidRPr="17D445E8" w:rsidR="17D445E8">
        <w:rPr>
          <w:noProof w:val="0"/>
          <w:lang w:val="pt-BR"/>
        </w:rPr>
        <w:t xml:space="preserve"> </w:t>
      </w:r>
      <w:r w:rsidRPr="17D445E8" w:rsidR="17D445E8">
        <w:rPr>
          <w:b w:val="1"/>
          <w:bCs w:val="1"/>
          <w:noProof w:val="0"/>
          <w:lang w:val="pt-BR"/>
        </w:rPr>
        <w:t>CNN Brasil.</w:t>
      </w:r>
      <w:r w:rsidRPr="17D445E8" w:rsidR="17D445E8">
        <w:rPr>
          <w:noProof w:val="0"/>
          <w:lang w:val="pt-BR"/>
        </w:rPr>
        <w:t xml:space="preserve"> Brasília. Disponível em: </w:t>
      </w:r>
      <w:hyperlink r:id="R7de0e8fb0c2844d6">
        <w:r w:rsidRPr="17D445E8" w:rsidR="17D445E8">
          <w:rPr>
            <w:rStyle w:val="Hyperlink"/>
            <w:noProof w:val="0"/>
            <w:lang w:val="pt-BR"/>
          </w:rPr>
          <w:t>https://www.cnnbrasil.com.br/politica/caso-master-pf-deve-pedir-quebra-de-sigilo-de-fundo-ligado-a-toffoli/</w:t>
        </w:r>
      </w:hyperlink>
      <w:r w:rsidRPr="17D445E8" w:rsidR="17D445E8">
        <w:rPr>
          <w:noProof w:val="0"/>
          <w:lang w:val="pt-BR"/>
        </w:rPr>
        <w:t>. Acesso em 24 mar. 2026.</w:t>
      </w:r>
    </w:p>
  </w:footnote>
  <w:footnote w:id="15123">
    <w:p w:rsidR="17D445E8" w:rsidP="17D445E8" w:rsidRDefault="17D445E8" w14:paraId="21600DF4" w14:textId="3AC1D48B">
      <w:pPr>
        <w:pStyle w:val="FootnoteText"/>
        <w:bidi w:val="0"/>
      </w:pPr>
      <w:r w:rsidRPr="17D445E8">
        <w:rPr>
          <w:rStyle w:val="FootnoteReference"/>
        </w:rPr>
        <w:footnoteRef/>
      </w:r>
      <w:r w:rsidR="17D445E8">
        <w:rPr/>
        <w:t xml:space="preserve"> </w:t>
      </w:r>
      <w:r w:rsidRPr="17D445E8" w:rsidR="17D445E8">
        <w:rPr>
          <w:b w:val="1"/>
          <w:bCs w:val="1"/>
          <w:noProof w:val="0"/>
          <w:lang w:val="pt-BR"/>
        </w:rPr>
        <w:t>SCHREIBER, Mariana.</w:t>
      </w:r>
      <w:r w:rsidRPr="17D445E8" w:rsidR="17D445E8">
        <w:rPr>
          <w:noProof w:val="0"/>
          <w:lang w:val="pt-BR"/>
        </w:rPr>
        <w:t xml:space="preserve"> </w:t>
      </w:r>
      <w:r w:rsidRPr="17D445E8" w:rsidR="17D445E8">
        <w:rPr>
          <w:i w:val="1"/>
          <w:iCs w:val="1"/>
          <w:noProof w:val="0"/>
          <w:lang w:val="pt-BR"/>
        </w:rPr>
        <w:t>Explicação de esposa de Moraes sobre contrato com Banco Master tem lacunas e incongruências, dizem advogados: 'Valor estratosférico'</w:t>
      </w:r>
      <w:r w:rsidRPr="17D445E8" w:rsidR="17D445E8">
        <w:rPr>
          <w:noProof w:val="0"/>
          <w:lang w:val="pt-BR"/>
        </w:rPr>
        <w:t xml:space="preserve">. </w:t>
      </w:r>
      <w:r w:rsidRPr="17D445E8" w:rsidR="17D445E8">
        <w:rPr>
          <w:b w:val="1"/>
          <w:bCs w:val="1"/>
          <w:noProof w:val="0"/>
          <w:lang w:val="pt-BR"/>
        </w:rPr>
        <w:t>BBC News Brasil.</w:t>
      </w:r>
      <w:r w:rsidRPr="17D445E8" w:rsidR="17D445E8">
        <w:rPr>
          <w:noProof w:val="0"/>
          <w:lang w:val="pt-BR"/>
        </w:rPr>
        <w:t xml:space="preserve"> Brasília. Disponível em: </w:t>
      </w:r>
      <w:hyperlink r:id="R9af985f09ba34952">
        <w:r w:rsidRPr="17D445E8" w:rsidR="17D445E8">
          <w:rPr>
            <w:rStyle w:val="Hyperlink"/>
            <w:noProof w:val="0"/>
            <w:lang w:val="pt-BR"/>
          </w:rPr>
          <w:t>https://www.bbc.com/portuguese/articles/c05vy931jnqo</w:t>
        </w:r>
      </w:hyperlink>
      <w:r w:rsidRPr="17D445E8" w:rsidR="17D445E8">
        <w:rPr>
          <w:noProof w:val="0"/>
          <w:lang w:val="pt-BR"/>
        </w:rPr>
        <w:t>. Acesso em 24 mar. 2026.</w:t>
      </w:r>
    </w:p>
  </w:footnote>
  <w:footnote w:id="1074">
    <w:p w:rsidR="17D445E8" w:rsidP="17D445E8" w:rsidRDefault="17D445E8" w14:paraId="53ADCE12" w14:textId="53726756">
      <w:pPr>
        <w:pStyle w:val="FootnoteText"/>
        <w:bidi w:val="0"/>
      </w:pPr>
      <w:r w:rsidRPr="17D445E8">
        <w:rPr>
          <w:rStyle w:val="FootnoteReference"/>
        </w:rPr>
        <w:footnoteRef/>
      </w:r>
      <w:r w:rsidR="17D445E8">
        <w:rPr/>
        <w:t xml:space="preserve"> </w:t>
      </w:r>
      <w:r w:rsidRPr="17D445E8" w:rsidR="17D445E8">
        <w:rPr>
          <w:b w:val="1"/>
          <w:bCs w:val="1"/>
          <w:noProof w:val="0"/>
          <w:lang w:val="pt-BR"/>
        </w:rPr>
        <w:t>ESTADÃO.</w:t>
      </w:r>
      <w:r w:rsidRPr="17D445E8" w:rsidR="17D445E8">
        <w:rPr>
          <w:noProof w:val="0"/>
          <w:lang w:val="pt-BR"/>
        </w:rPr>
        <w:t xml:space="preserve"> </w:t>
      </w:r>
      <w:r w:rsidRPr="17D445E8" w:rsidR="17D445E8">
        <w:rPr>
          <w:i w:val="1"/>
          <w:iCs w:val="1"/>
          <w:noProof w:val="0"/>
          <w:lang w:val="pt-BR"/>
        </w:rPr>
        <w:t>André Mendonça reduz sigilo de caso Banco Master e dá mais autonomia para PF nas investigações.</w:t>
      </w:r>
      <w:r w:rsidRPr="17D445E8" w:rsidR="17D445E8">
        <w:rPr>
          <w:noProof w:val="0"/>
          <w:lang w:val="pt-BR"/>
        </w:rPr>
        <w:t xml:space="preserve"> </w:t>
      </w:r>
      <w:r w:rsidRPr="17D445E8" w:rsidR="17D445E8">
        <w:rPr>
          <w:b w:val="1"/>
          <w:bCs w:val="1"/>
          <w:noProof w:val="0"/>
          <w:lang w:val="pt-BR"/>
        </w:rPr>
        <w:t>O Estado de S. Paulo.</w:t>
      </w:r>
      <w:r w:rsidRPr="17D445E8" w:rsidR="17D445E8">
        <w:rPr>
          <w:noProof w:val="0"/>
          <w:lang w:val="pt-BR"/>
        </w:rPr>
        <w:t xml:space="preserve"> Brasília. Disponível em: </w:t>
      </w:r>
      <w:hyperlink r:id="Rc831e565751845b7">
        <w:r w:rsidRPr="17D445E8" w:rsidR="17D445E8">
          <w:rPr>
            <w:rStyle w:val="Hyperlink"/>
            <w:noProof w:val="0"/>
            <w:lang w:val="pt-BR"/>
          </w:rPr>
          <w:t>https://www.estadao.com.br/politica/andre-mendonca-reduz-sigilo-de-caso-banco-master-e-da-mais-autonomia-para-pf-nas-investigacoes/</w:t>
        </w:r>
      </w:hyperlink>
      <w:r w:rsidRPr="17D445E8" w:rsidR="17D445E8">
        <w:rPr>
          <w:noProof w:val="0"/>
          <w:lang w:val="pt-BR"/>
        </w:rPr>
        <w:t>. Acesso em 24 mar. 2026.</w:t>
      </w:r>
    </w:p>
  </w:footnote>
</w:footnotes>
</file>

<file path=word/header.xml><?xml version="1.0" encoding="utf-8"?>
<w:hdr xmlns:w14="http://schemas.microsoft.com/office/word/2010/wordml" xmlns:w="http://schemas.openxmlformats.org/wordprocessingml/2006/main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mc="http://schemas.openxmlformats.org/markup-compatibility/2006" mc:Ignorable="wp14 w15 w16se w16cid w16 w16cex w16sdtdh w16sdtfl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6CFE8D1" w:rsidTr="76CFE8D1" w14:paraId="7E5E0FBB">
      <w:trPr>
        <w:trHeight w:val="300"/>
      </w:trPr>
      <w:tc>
        <w:tcPr>
          <w:tcW w:w="3005" w:type="dxa"/>
          <w:tcMar/>
        </w:tcPr>
        <w:p w:rsidR="76CFE8D1" w:rsidP="76CFE8D1" w:rsidRDefault="76CFE8D1" w14:paraId="76BD4B81" w14:textId="1BB63D2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6CFE8D1" w:rsidP="76CFE8D1" w:rsidRDefault="76CFE8D1" w14:paraId="59602C53" w14:textId="6AB335C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6CFE8D1" w:rsidP="76CFE8D1" w:rsidRDefault="76CFE8D1" w14:paraId="2E163789" w14:textId="0C069185">
          <w:pPr>
            <w:pStyle w:val="Header"/>
            <w:bidi w:val="0"/>
            <w:ind w:right="-115"/>
            <w:jc w:val="right"/>
          </w:pPr>
        </w:p>
      </w:tc>
    </w:tr>
  </w:tbl>
  <w:p w:rsidR="76CFE8D1" w:rsidP="76CFE8D1" w:rsidRDefault="76CFE8D1" w14:paraId="31676497" w14:textId="4AB81B9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11b5670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7">
    <w:nsid w:val="17a91c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8869c6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5">
    <w:nsid w:val="96d8a10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4">
    <w:nsid w:val="6596c68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3">
    <w:nsid w:val="261cbbf3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2">
    <w:nsid w:val="1649786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1">
    <w:nsid w:val="54f72f9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9f135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eada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f64e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58eb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95b4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5bd6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pStyle w:val="Heading1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066c1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eb74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d3ba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77a4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8D7B84"/>
    <w:rsid w:val="015ED769"/>
    <w:rsid w:val="02150705"/>
    <w:rsid w:val="02705570"/>
    <w:rsid w:val="02BB4056"/>
    <w:rsid w:val="0332F33D"/>
    <w:rsid w:val="03EC7C11"/>
    <w:rsid w:val="03EF7045"/>
    <w:rsid w:val="043338CC"/>
    <w:rsid w:val="04C9B489"/>
    <w:rsid w:val="0631AD8D"/>
    <w:rsid w:val="063317EC"/>
    <w:rsid w:val="0636722A"/>
    <w:rsid w:val="06AEB818"/>
    <w:rsid w:val="06B2DF3B"/>
    <w:rsid w:val="0742A3E2"/>
    <w:rsid w:val="07BDC55D"/>
    <w:rsid w:val="07F18ED9"/>
    <w:rsid w:val="08C600EF"/>
    <w:rsid w:val="08C90D48"/>
    <w:rsid w:val="0959E7DA"/>
    <w:rsid w:val="096F6BAA"/>
    <w:rsid w:val="09829E6A"/>
    <w:rsid w:val="09E5F17A"/>
    <w:rsid w:val="09E5F17A"/>
    <w:rsid w:val="09E67C78"/>
    <w:rsid w:val="0A3F45DF"/>
    <w:rsid w:val="0AB1E22C"/>
    <w:rsid w:val="0B1F73ED"/>
    <w:rsid w:val="0B9A9FB9"/>
    <w:rsid w:val="0BF47C2F"/>
    <w:rsid w:val="0C23A264"/>
    <w:rsid w:val="0C30847B"/>
    <w:rsid w:val="0C4883F7"/>
    <w:rsid w:val="0C6404E8"/>
    <w:rsid w:val="0CFB1E88"/>
    <w:rsid w:val="0EA6E362"/>
    <w:rsid w:val="0F38405F"/>
    <w:rsid w:val="0F3B2B15"/>
    <w:rsid w:val="0F4727AE"/>
    <w:rsid w:val="0F7C420C"/>
    <w:rsid w:val="0F7F468D"/>
    <w:rsid w:val="10743A88"/>
    <w:rsid w:val="11388139"/>
    <w:rsid w:val="11C90FDB"/>
    <w:rsid w:val="128E9140"/>
    <w:rsid w:val="12D88DE7"/>
    <w:rsid w:val="12DA35D8"/>
    <w:rsid w:val="132E0893"/>
    <w:rsid w:val="1361838B"/>
    <w:rsid w:val="1368FF7F"/>
    <w:rsid w:val="13B817E4"/>
    <w:rsid w:val="1470D045"/>
    <w:rsid w:val="156E3566"/>
    <w:rsid w:val="157469FA"/>
    <w:rsid w:val="15908E0D"/>
    <w:rsid w:val="15DCF4A5"/>
    <w:rsid w:val="1627935C"/>
    <w:rsid w:val="163E44AA"/>
    <w:rsid w:val="16756425"/>
    <w:rsid w:val="16AC9BD3"/>
    <w:rsid w:val="177E8D9E"/>
    <w:rsid w:val="17A59D0A"/>
    <w:rsid w:val="17D445E8"/>
    <w:rsid w:val="183DC8D9"/>
    <w:rsid w:val="1A014DDE"/>
    <w:rsid w:val="1B04B315"/>
    <w:rsid w:val="1B44A088"/>
    <w:rsid w:val="1B4F1D8A"/>
    <w:rsid w:val="1C2012BC"/>
    <w:rsid w:val="1C6E9DD3"/>
    <w:rsid w:val="1D47550D"/>
    <w:rsid w:val="1D4ED6E2"/>
    <w:rsid w:val="1D81FB2F"/>
    <w:rsid w:val="1D9EE77A"/>
    <w:rsid w:val="1ECB13F1"/>
    <w:rsid w:val="1F610170"/>
    <w:rsid w:val="1FC40E1D"/>
    <w:rsid w:val="206F0C48"/>
    <w:rsid w:val="20DF6415"/>
    <w:rsid w:val="215096DF"/>
    <w:rsid w:val="2171DEA8"/>
    <w:rsid w:val="21BED12F"/>
    <w:rsid w:val="21CE6CF9"/>
    <w:rsid w:val="21FD6761"/>
    <w:rsid w:val="22247C80"/>
    <w:rsid w:val="2253FA9F"/>
    <w:rsid w:val="2367DB3B"/>
    <w:rsid w:val="23920F03"/>
    <w:rsid w:val="23AB34CE"/>
    <w:rsid w:val="23BC939F"/>
    <w:rsid w:val="26051CE6"/>
    <w:rsid w:val="262E4837"/>
    <w:rsid w:val="26DAB3D5"/>
    <w:rsid w:val="26DD66CA"/>
    <w:rsid w:val="26E2749A"/>
    <w:rsid w:val="26FF973C"/>
    <w:rsid w:val="27208CA5"/>
    <w:rsid w:val="27555671"/>
    <w:rsid w:val="2774AEE1"/>
    <w:rsid w:val="27AB0B81"/>
    <w:rsid w:val="28320505"/>
    <w:rsid w:val="29ABCA24"/>
    <w:rsid w:val="29C2E9AC"/>
    <w:rsid w:val="2A0801ED"/>
    <w:rsid w:val="2B599CC8"/>
    <w:rsid w:val="2C3C2222"/>
    <w:rsid w:val="2C3E3E67"/>
    <w:rsid w:val="2D0038F9"/>
    <w:rsid w:val="2D206A27"/>
    <w:rsid w:val="2E9CA358"/>
    <w:rsid w:val="2EB753C2"/>
    <w:rsid w:val="2F24A4C4"/>
    <w:rsid w:val="3013A5C7"/>
    <w:rsid w:val="30374472"/>
    <w:rsid w:val="309F2329"/>
    <w:rsid w:val="32FEFFDA"/>
    <w:rsid w:val="346ADE0F"/>
    <w:rsid w:val="34945609"/>
    <w:rsid w:val="35102219"/>
    <w:rsid w:val="35B04465"/>
    <w:rsid w:val="364ADAC5"/>
    <w:rsid w:val="365414D3"/>
    <w:rsid w:val="37C7E50A"/>
    <w:rsid w:val="37DFFF73"/>
    <w:rsid w:val="3A2FC7B2"/>
    <w:rsid w:val="3A52EF7C"/>
    <w:rsid w:val="3B31D301"/>
    <w:rsid w:val="3B78388F"/>
    <w:rsid w:val="3BBB5EDF"/>
    <w:rsid w:val="3BD8D32A"/>
    <w:rsid w:val="3C5D3750"/>
    <w:rsid w:val="3CBE47E9"/>
    <w:rsid w:val="3CD157F3"/>
    <w:rsid w:val="3D422A79"/>
    <w:rsid w:val="3E495BCC"/>
    <w:rsid w:val="3E8CCF87"/>
    <w:rsid w:val="3E90F60E"/>
    <w:rsid w:val="3F6D5337"/>
    <w:rsid w:val="3FA1A01C"/>
    <w:rsid w:val="40294C41"/>
    <w:rsid w:val="4131A439"/>
    <w:rsid w:val="4169C531"/>
    <w:rsid w:val="41B34ECE"/>
    <w:rsid w:val="425C70C6"/>
    <w:rsid w:val="429861EA"/>
    <w:rsid w:val="42B00615"/>
    <w:rsid w:val="43E1F943"/>
    <w:rsid w:val="446668D9"/>
    <w:rsid w:val="44B849D8"/>
    <w:rsid w:val="451C0D65"/>
    <w:rsid w:val="46273D33"/>
    <w:rsid w:val="464FF545"/>
    <w:rsid w:val="466EBB10"/>
    <w:rsid w:val="476C4DFF"/>
    <w:rsid w:val="477BEF06"/>
    <w:rsid w:val="477C08C4"/>
    <w:rsid w:val="47DDC56E"/>
    <w:rsid w:val="47F1B52D"/>
    <w:rsid w:val="48059723"/>
    <w:rsid w:val="480FB63E"/>
    <w:rsid w:val="4889A5C0"/>
    <w:rsid w:val="48D794F8"/>
    <w:rsid w:val="48DD5D70"/>
    <w:rsid w:val="48E9B396"/>
    <w:rsid w:val="4902FEAA"/>
    <w:rsid w:val="49664008"/>
    <w:rsid w:val="4A859A04"/>
    <w:rsid w:val="4A882858"/>
    <w:rsid w:val="4B2ED868"/>
    <w:rsid w:val="4B31EC96"/>
    <w:rsid w:val="4C586B8A"/>
    <w:rsid w:val="4C7B0B6B"/>
    <w:rsid w:val="4C92CFD7"/>
    <w:rsid w:val="4CAABB96"/>
    <w:rsid w:val="4CD603F2"/>
    <w:rsid w:val="4D075F6C"/>
    <w:rsid w:val="4D2764A4"/>
    <w:rsid w:val="4D71006C"/>
    <w:rsid w:val="4DFF95DD"/>
    <w:rsid w:val="4E4F3472"/>
    <w:rsid w:val="4E8B4270"/>
    <w:rsid w:val="4ED31E85"/>
    <w:rsid w:val="4F4DDD79"/>
    <w:rsid w:val="4F63128B"/>
    <w:rsid w:val="500D2E0A"/>
    <w:rsid w:val="509799E9"/>
    <w:rsid w:val="5165920B"/>
    <w:rsid w:val="5292AA69"/>
    <w:rsid w:val="52AE88C4"/>
    <w:rsid w:val="52AE88C4"/>
    <w:rsid w:val="53278B2B"/>
    <w:rsid w:val="53A4F49D"/>
    <w:rsid w:val="53D3925F"/>
    <w:rsid w:val="54517D18"/>
    <w:rsid w:val="54570BD5"/>
    <w:rsid w:val="5612000E"/>
    <w:rsid w:val="563B2646"/>
    <w:rsid w:val="56FB29FD"/>
    <w:rsid w:val="57C1743D"/>
    <w:rsid w:val="58014572"/>
    <w:rsid w:val="58160F4B"/>
    <w:rsid w:val="58BCE867"/>
    <w:rsid w:val="58EC9644"/>
    <w:rsid w:val="598AF2BB"/>
    <w:rsid w:val="59F9AD95"/>
    <w:rsid w:val="5A09C10E"/>
    <w:rsid w:val="5A62F54D"/>
    <w:rsid w:val="5B13E3A9"/>
    <w:rsid w:val="5B287E4E"/>
    <w:rsid w:val="5BB551AD"/>
    <w:rsid w:val="5C10A8CC"/>
    <w:rsid w:val="5C8A1536"/>
    <w:rsid w:val="5C9B99D3"/>
    <w:rsid w:val="5CDBE781"/>
    <w:rsid w:val="5D0E0FE3"/>
    <w:rsid w:val="5D23D31F"/>
    <w:rsid w:val="5E0B5DE2"/>
    <w:rsid w:val="5E6D0AC9"/>
    <w:rsid w:val="5F0D13F0"/>
    <w:rsid w:val="6048F9E3"/>
    <w:rsid w:val="60DB9EC2"/>
    <w:rsid w:val="60F409FF"/>
    <w:rsid w:val="61CC6B2E"/>
    <w:rsid w:val="61F9A195"/>
    <w:rsid w:val="6208AC4E"/>
    <w:rsid w:val="622503AB"/>
    <w:rsid w:val="622D3356"/>
    <w:rsid w:val="626A9A1F"/>
    <w:rsid w:val="6298C4D6"/>
    <w:rsid w:val="63660D8A"/>
    <w:rsid w:val="63D222AE"/>
    <w:rsid w:val="643663D9"/>
    <w:rsid w:val="6474733A"/>
    <w:rsid w:val="64F0CAFE"/>
    <w:rsid w:val="65085843"/>
    <w:rsid w:val="6554EBE3"/>
    <w:rsid w:val="656CAF35"/>
    <w:rsid w:val="65B36847"/>
    <w:rsid w:val="65C7A712"/>
    <w:rsid w:val="672564C9"/>
    <w:rsid w:val="67ADEF8B"/>
    <w:rsid w:val="67C16D63"/>
    <w:rsid w:val="68906CF4"/>
    <w:rsid w:val="6909D6AA"/>
    <w:rsid w:val="69630B5F"/>
    <w:rsid w:val="69B362FC"/>
    <w:rsid w:val="69E92468"/>
    <w:rsid w:val="6A1E5F3C"/>
    <w:rsid w:val="6A6992DA"/>
    <w:rsid w:val="6BCF162D"/>
    <w:rsid w:val="6C2C24DE"/>
    <w:rsid w:val="6C902621"/>
    <w:rsid w:val="6C9DCFDC"/>
    <w:rsid w:val="6DA2F69E"/>
    <w:rsid w:val="6DA488C5"/>
    <w:rsid w:val="6DB047D8"/>
    <w:rsid w:val="6E65CBF6"/>
    <w:rsid w:val="6E6A8D80"/>
    <w:rsid w:val="6E9C9EB6"/>
    <w:rsid w:val="6EAB9170"/>
    <w:rsid w:val="6EDB3EAB"/>
    <w:rsid w:val="6FC5FAFD"/>
    <w:rsid w:val="70CB2600"/>
    <w:rsid w:val="714D9829"/>
    <w:rsid w:val="714E0F3E"/>
    <w:rsid w:val="71D4D8AB"/>
    <w:rsid w:val="71EF2AC9"/>
    <w:rsid w:val="7268BB4F"/>
    <w:rsid w:val="726B7D6F"/>
    <w:rsid w:val="72A39788"/>
    <w:rsid w:val="73AAB44C"/>
    <w:rsid w:val="73ACD68F"/>
    <w:rsid w:val="742A5DF7"/>
    <w:rsid w:val="74802F1E"/>
    <w:rsid w:val="756D469A"/>
    <w:rsid w:val="762435CE"/>
    <w:rsid w:val="7649524F"/>
    <w:rsid w:val="769CBD4E"/>
    <w:rsid w:val="76CFE8D1"/>
    <w:rsid w:val="76E5FA05"/>
    <w:rsid w:val="76ED894B"/>
    <w:rsid w:val="7732B4DE"/>
    <w:rsid w:val="777973DA"/>
    <w:rsid w:val="785EEE63"/>
    <w:rsid w:val="78983C18"/>
    <w:rsid w:val="792646DD"/>
    <w:rsid w:val="7944C406"/>
    <w:rsid w:val="7CFD2BCB"/>
    <w:rsid w:val="7D0F83BE"/>
    <w:rsid w:val="7D13E945"/>
    <w:rsid w:val="7D8D7B84"/>
    <w:rsid w:val="7DF3E87D"/>
    <w:rsid w:val="7E87D211"/>
    <w:rsid w:val="7F6DC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53021"/>
  <w15:chartTrackingRefBased/>
  <w15:docId w15:val="{1CA21872-6078-4B69-8A5C-7465633267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6CFE8D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76CFE8D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6CFE8D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noteText">
    <w:uiPriority w:val="99"/>
    <w:name w:val="footnote text"/>
    <w:basedOn w:val="Normal"/>
    <w:semiHidden/>
    <w:unhideWhenUsed/>
    <w:rsid w:val="76CFE8D1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76CFE8D1"/>
    <w:rPr>
      <w:vertAlign w:val="superscript"/>
    </w:rPr>
  </w:style>
  <w:style w:type="character" w:styleId="Hyperlink">
    <w:uiPriority w:val="99"/>
    <w:name w:val="Hyperlink"/>
    <w:basedOn w:val="DefaultParagraphFont"/>
    <w:unhideWhenUsed/>
    <w:rsid w:val="76CFE8D1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17D445E8"/>
    <w:rPr>
      <w:rFonts w:ascii="Aptos Display" w:hAnsi="Aptos Display" w:eastAsia="" w:cs="" w:asciiTheme="majorAscii" w:hAnsiTheme="majorAscii" w:eastAsiaTheme="majorEastAsia" w:cstheme="majorBidi"/>
      <w:noProof w:val="0"/>
      <w:color w:val="auto"/>
      <w:sz w:val="40"/>
      <w:szCs w:val="40"/>
      <w:lang w:val="pt-BR"/>
    </w:rPr>
    <w:pPr>
      <w:keepNext w:val="1"/>
      <w:keepLines w:val="1"/>
      <w:numPr>
        <w:ilvl w:val="0"/>
        <w:numId w:val="5"/>
      </w:numPr>
      <w:spacing w:before="360" w:after="80"/>
      <w:outlineLvl w:val="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76ED894B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76ED894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2">
    <w:uiPriority w:val="9"/>
    <w:name w:val="heading 2"/>
    <w:basedOn w:val="Normal"/>
    <w:next w:val="Normal"/>
    <w:unhideWhenUsed/>
    <w:qFormat/>
    <w:rsid w:val="76ED89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2">
    <w:uiPriority w:val="39"/>
    <w:name w:val="toc 2"/>
    <w:basedOn w:val="Normal"/>
    <w:next w:val="Normal"/>
    <w:unhideWhenUsed/>
    <w:rsid w:val="76ED894B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qFormat/>
    <w:rsid w:val="17D445E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d6c3924607d46f4" /><Relationship Type="http://schemas.openxmlformats.org/officeDocument/2006/relationships/footer" Target="footer.xml" Id="R6c238b64f13c4a24" /><Relationship Type="http://schemas.openxmlformats.org/officeDocument/2006/relationships/footnotes" Target="footnotes.xml" Id="R18108a42f89341d7" /><Relationship Type="http://schemas.openxmlformats.org/officeDocument/2006/relationships/numbering" Target="numbering.xml" Id="R48e9f7f2478744cf" /></Relationships>
</file>

<file path=word/_rels/footnotes.xml.rels>&#65279;<?xml version="1.0" encoding="utf-8"?><Relationships xmlns="http://schemas.openxmlformats.org/package/2006/relationships"><Relationship Type="http://schemas.openxmlformats.org/officeDocument/2006/relationships/hyperlink" Target="https://www.cnnbrasil.com.br/politica/arleen-maridt-e-tayaya-conheca-as-pecas-do-quebra-cabeca-no-caso-master/" TargetMode="External" Id="Rc7c8feac46a94194" /><Relationship Type="http://schemas.openxmlformats.org/officeDocument/2006/relationships/hyperlink" Target="https://www.gov.br/pf/pt-br/assuntos/noticias/2026/03/policia-federal-deflagra-3a-fase-da-operacao-compliance-zero" TargetMode="External" Id="R525d7eaa306e4f6e" /><Relationship Type="http://schemas.openxmlformats.org/officeDocument/2006/relationships/hyperlink" Target="https://www.brasil247.com/brasil/investigadores-do-caso-master-consideram-insustentavel-situacao-de-toffoli-e-alertam-stf#google_vignette" TargetMode="External" Id="R9213521dfcbc4851" /><Relationship Type="http://schemas.openxmlformats.org/officeDocument/2006/relationships/hyperlink" Target="https://www.cnnbrasil.com.br/politica/caso-master-pf-deve-pedir-quebra-de-sigilo-de-fundo-ligado-a-toffoli/" TargetMode="External" Id="R7de0e8fb0c2844d6" /><Relationship Type="http://schemas.openxmlformats.org/officeDocument/2006/relationships/hyperlink" Target="https://www.bbc.com/portuguese/articles/c05vy931jnqo" TargetMode="External" Id="R9af985f09ba34952" /><Relationship Type="http://schemas.openxmlformats.org/officeDocument/2006/relationships/hyperlink" Target="https://www.estadao.com.br/politica/andre-mendonca-reduz-sigilo-de-caso-banco-master-e-da-mais-autonomia-para-pf-nas-investigacoes/" TargetMode="External" Id="Rc831e565751845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2026-03-24T19:07:45.2191283Z</dcterms:created>
  <dcterms:modified xsi:type="dcterms:W3CDTF">2026-03-25T22:47:38.7673855Z</dcterms:modified>
  <dc:creator>Sandro Filipe</dc:creator>
  <lastModifiedBy>Sandro Filipe</lastModifiedBy>
</coreProperties>
</file>