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sdt>
      <w:sdtPr>
        <w:id w:val="1996435343"/>
        <w:docPartObj>
          <w:docPartGallery w:val="Table of Contents"/>
          <w:docPartUnique/>
        </w:docPartObj>
      </w:sdtPr>
      <w:sdtContent>
        <w:p xmlns:wp14="http://schemas.microsoft.com/office/word/2010/wordml" w:rsidP="3465A9C1" wp14:paraId="4283948A" wp14:textId="52962FF9">
          <w:pPr>
            <w:pStyle w:val="TOC1"/>
            <w:tabs>
              <w:tab w:val="right" w:leader="dot" w:pos="9015"/>
            </w:tabs>
            <w:bidi w:val="0"/>
          </w:pPr>
          <w:r>
            <w:fldChar w:fldCharType="begin"/>
          </w:r>
          <w:r>
            <w:instrText xml:space="preserve">TOC \o "1-9" \z \u \h</w:instrText>
          </w:r>
          <w:r>
            <w:fldChar w:fldCharType="separate"/>
          </w:r>
          <w:hyperlink w:anchor="_Toc948231357">
            <w:r w:rsidRPr="3465A9C1" w:rsidR="3465A9C1">
              <w:rPr>
                <w:rStyle w:val="Hyperlink"/>
              </w:rPr>
              <w:t>1. INTRODUÇÃO</w:t>
            </w:r>
            <w:r>
              <w:tab/>
            </w:r>
            <w:r>
              <w:fldChar w:fldCharType="begin"/>
            </w:r>
            <w:r>
              <w:instrText xml:space="preserve">PAGEREF _Toc948231357 \h</w:instrText>
            </w:r>
            <w:r>
              <w:fldChar w:fldCharType="separate"/>
            </w:r>
            <w:r w:rsidRPr="3465A9C1" w:rsidR="3465A9C1">
              <w:rPr>
                <w:rStyle w:val="Hyperlink"/>
              </w:rPr>
              <w:t>1</w:t>
            </w:r>
            <w:r>
              <w:fldChar w:fldCharType="end"/>
            </w:r>
          </w:hyperlink>
        </w:p>
        <w:p xmlns:wp14="http://schemas.microsoft.com/office/word/2010/wordml" w:rsidP="3465A9C1" wp14:paraId="0028A550" wp14:textId="15C62E8F">
          <w:pPr>
            <w:pStyle w:val="TOC1"/>
            <w:tabs>
              <w:tab w:val="right" w:leader="dot" w:pos="9015"/>
            </w:tabs>
            <w:bidi w:val="0"/>
          </w:pPr>
          <w:hyperlink w:anchor="_Toc2136988620">
            <w:r w:rsidRPr="3465A9C1" w:rsidR="3465A9C1">
              <w:rPr>
                <w:rStyle w:val="Hyperlink"/>
              </w:rPr>
              <w:t>2. EVOLUÇÃO HISTÓRICO-LEGISLATIVA E CONTEXTO</w:t>
            </w:r>
            <w:r>
              <w:tab/>
            </w:r>
            <w:r>
              <w:fldChar w:fldCharType="begin"/>
            </w:r>
            <w:r>
              <w:instrText xml:space="preserve">PAGEREF _Toc2136988620 \h</w:instrText>
            </w:r>
            <w:r>
              <w:fldChar w:fldCharType="separate"/>
            </w:r>
            <w:r w:rsidRPr="3465A9C1" w:rsidR="3465A9C1">
              <w:rPr>
                <w:rStyle w:val="Hyperlink"/>
              </w:rPr>
              <w:t>1</w:t>
            </w:r>
            <w:r>
              <w:fldChar w:fldCharType="end"/>
            </w:r>
          </w:hyperlink>
        </w:p>
        <w:p xmlns:wp14="http://schemas.microsoft.com/office/word/2010/wordml" w:rsidP="3465A9C1" wp14:paraId="38AAB5EA" wp14:textId="738C2E0F">
          <w:pPr>
            <w:pStyle w:val="TOC1"/>
            <w:tabs>
              <w:tab w:val="right" w:leader="dot" w:pos="9015"/>
            </w:tabs>
            <w:bidi w:val="0"/>
          </w:pPr>
          <w:hyperlink w:anchor="_Toc990655844">
            <w:r w:rsidRPr="3465A9C1" w:rsidR="3465A9C1">
              <w:rPr>
                <w:rStyle w:val="Hyperlink"/>
              </w:rPr>
              <w:t>3. REGIME JURÍDICO GERAL DOS PROCEDIMENTOS CAUTELARES</w:t>
            </w:r>
            <w:r>
              <w:tab/>
            </w:r>
            <w:r>
              <w:fldChar w:fldCharType="begin"/>
            </w:r>
            <w:r>
              <w:instrText xml:space="preserve">PAGEREF _Toc990655844 \h</w:instrText>
            </w:r>
            <w:r>
              <w:fldChar w:fldCharType="separate"/>
            </w:r>
            <w:r w:rsidRPr="3465A9C1" w:rsidR="3465A9C1">
              <w:rPr>
                <w:rStyle w:val="Hyperlink"/>
              </w:rPr>
              <w:t>1</w:t>
            </w:r>
            <w:r>
              <w:fldChar w:fldCharType="end"/>
            </w:r>
          </w:hyperlink>
        </w:p>
        <w:p xmlns:wp14="http://schemas.microsoft.com/office/word/2010/wordml" w:rsidP="3465A9C1" wp14:paraId="3EED53F9" wp14:textId="1EA9FC2E">
          <w:pPr>
            <w:pStyle w:val="TOC2"/>
            <w:tabs>
              <w:tab w:val="right" w:leader="dot" w:pos="9015"/>
            </w:tabs>
            <w:bidi w:val="0"/>
          </w:pPr>
          <w:hyperlink w:anchor="_Toc1004849123">
            <w:r w:rsidRPr="3465A9C1" w:rsidR="3465A9C1">
              <w:rPr>
                <w:rStyle w:val="Hyperlink"/>
              </w:rPr>
              <w:t>3.1. Aplicação Subsidiária das Regras dos Incidentes (Art. 381.º)</w:t>
            </w:r>
            <w:r>
              <w:tab/>
            </w:r>
            <w:r>
              <w:fldChar w:fldCharType="begin"/>
            </w:r>
            <w:r>
              <w:instrText xml:space="preserve">PAGEREF _Toc1004849123 \h</w:instrText>
            </w:r>
            <w:r>
              <w:fldChar w:fldCharType="separate"/>
            </w:r>
            <w:r w:rsidRPr="3465A9C1" w:rsidR="3465A9C1">
              <w:rPr>
                <w:rStyle w:val="Hyperlink"/>
              </w:rPr>
              <w:t>1</w:t>
            </w:r>
            <w:r>
              <w:fldChar w:fldCharType="end"/>
            </w:r>
          </w:hyperlink>
        </w:p>
        <w:p xmlns:wp14="http://schemas.microsoft.com/office/word/2010/wordml" w:rsidP="3465A9C1" wp14:paraId="7525E2F9" wp14:textId="39FE160C">
          <w:pPr>
            <w:pStyle w:val="TOC2"/>
            <w:tabs>
              <w:tab w:val="right" w:leader="dot" w:pos="9015"/>
            </w:tabs>
            <w:bidi w:val="0"/>
          </w:pPr>
          <w:hyperlink w:anchor="_Toc950444317">
            <w:r w:rsidRPr="3465A9C1" w:rsidR="3465A9C1">
              <w:rPr>
                <w:rStyle w:val="Hyperlink"/>
              </w:rPr>
              <w:t>3.2. Caducidade da Providência (Art. 382.º)</w:t>
            </w:r>
            <w:r>
              <w:tab/>
            </w:r>
            <w:r>
              <w:fldChar w:fldCharType="begin"/>
            </w:r>
            <w:r>
              <w:instrText xml:space="preserve">PAGEREF _Toc950444317 \h</w:instrText>
            </w:r>
            <w:r>
              <w:fldChar w:fldCharType="separate"/>
            </w:r>
            <w:r w:rsidRPr="3465A9C1" w:rsidR="3465A9C1">
              <w:rPr>
                <w:rStyle w:val="Hyperlink"/>
              </w:rPr>
              <w:t>2</w:t>
            </w:r>
            <w:r>
              <w:fldChar w:fldCharType="end"/>
            </w:r>
          </w:hyperlink>
        </w:p>
        <w:p xmlns:wp14="http://schemas.microsoft.com/office/word/2010/wordml" w:rsidP="3465A9C1" wp14:paraId="412B06EB" wp14:textId="77FBA386">
          <w:pPr>
            <w:pStyle w:val="TOC2"/>
            <w:tabs>
              <w:tab w:val="right" w:leader="dot" w:pos="9015"/>
            </w:tabs>
            <w:bidi w:val="0"/>
          </w:pPr>
          <w:hyperlink w:anchor="_Toc959341560">
            <w:r w:rsidRPr="3465A9C1" w:rsidR="3465A9C1">
              <w:rPr>
                <w:rStyle w:val="Hyperlink"/>
              </w:rPr>
              <w:t>3.3. Levantamento e Substituição da Providência (Arts. 383.º e 387.º)</w:t>
            </w:r>
            <w:r>
              <w:tab/>
            </w:r>
            <w:r>
              <w:fldChar w:fldCharType="begin"/>
            </w:r>
            <w:r>
              <w:instrText xml:space="preserve">PAGEREF _Toc959341560 \h</w:instrText>
            </w:r>
            <w:r>
              <w:fldChar w:fldCharType="separate"/>
            </w:r>
            <w:r w:rsidRPr="3465A9C1" w:rsidR="3465A9C1">
              <w:rPr>
                <w:rStyle w:val="Hyperlink"/>
              </w:rPr>
              <w:t>2</w:t>
            </w:r>
            <w:r>
              <w:fldChar w:fldCharType="end"/>
            </w:r>
          </w:hyperlink>
        </w:p>
        <w:p xmlns:wp14="http://schemas.microsoft.com/office/word/2010/wordml" w:rsidP="3465A9C1" wp14:paraId="040AF674" wp14:textId="1162AF95">
          <w:pPr>
            <w:pStyle w:val="TOC2"/>
            <w:tabs>
              <w:tab w:val="right" w:leader="dot" w:pos="9015"/>
            </w:tabs>
            <w:bidi w:val="0"/>
          </w:pPr>
          <w:hyperlink w:anchor="_Toc2023825851">
            <w:r w:rsidRPr="3465A9C1" w:rsidR="3465A9C1">
              <w:rPr>
                <w:rStyle w:val="Hyperlink"/>
              </w:rPr>
              <w:t>3.4. Dependência e Apensação (Art. 384.º)</w:t>
            </w:r>
            <w:r>
              <w:tab/>
            </w:r>
            <w:r>
              <w:fldChar w:fldCharType="begin"/>
            </w:r>
            <w:r>
              <w:instrText xml:space="preserve">PAGEREF _Toc2023825851 \h</w:instrText>
            </w:r>
            <w:r>
              <w:fldChar w:fldCharType="separate"/>
            </w:r>
            <w:r w:rsidRPr="3465A9C1" w:rsidR="3465A9C1">
              <w:rPr>
                <w:rStyle w:val="Hyperlink"/>
              </w:rPr>
              <w:t>2</w:t>
            </w:r>
            <w:r>
              <w:fldChar w:fldCharType="end"/>
            </w:r>
          </w:hyperlink>
        </w:p>
        <w:p xmlns:wp14="http://schemas.microsoft.com/office/word/2010/wordml" w:rsidP="3465A9C1" wp14:paraId="55738189" wp14:textId="3FCBC357">
          <w:pPr>
            <w:pStyle w:val="TOC2"/>
            <w:tabs>
              <w:tab w:val="right" w:leader="dot" w:pos="9015"/>
            </w:tabs>
            <w:bidi w:val="0"/>
          </w:pPr>
          <w:hyperlink w:anchor="_Toc360266440">
            <w:r w:rsidRPr="3465A9C1" w:rsidR="3465A9C1">
              <w:rPr>
                <w:rStyle w:val="Hyperlink"/>
              </w:rPr>
              <w:t>3.5. Audiência do Requerido e Contraditório (Art. 385.º)</w:t>
            </w:r>
            <w:r>
              <w:tab/>
            </w:r>
            <w:r>
              <w:fldChar w:fldCharType="begin"/>
            </w:r>
            <w:r>
              <w:instrText xml:space="preserve">PAGEREF _Toc360266440 \h</w:instrText>
            </w:r>
            <w:r>
              <w:fldChar w:fldCharType="separate"/>
            </w:r>
            <w:r w:rsidRPr="3465A9C1" w:rsidR="3465A9C1">
              <w:rPr>
                <w:rStyle w:val="Hyperlink"/>
              </w:rPr>
              <w:t>3</w:t>
            </w:r>
            <w:r>
              <w:fldChar w:fldCharType="end"/>
            </w:r>
          </w:hyperlink>
        </w:p>
        <w:p xmlns:wp14="http://schemas.microsoft.com/office/word/2010/wordml" w:rsidP="3465A9C1" wp14:paraId="399EE32D" wp14:textId="5C8112B8">
          <w:pPr>
            <w:pStyle w:val="TOC1"/>
            <w:tabs>
              <w:tab w:val="right" w:leader="dot" w:pos="9015"/>
            </w:tabs>
            <w:bidi w:val="0"/>
          </w:pPr>
          <w:hyperlink w:anchor="_Toc1611297307">
            <w:r w:rsidRPr="3465A9C1" w:rsidR="3465A9C1">
              <w:rPr>
                <w:rStyle w:val="Hyperlink"/>
              </w:rPr>
              <w:t>4. ESPÉCIES DE PROCEDIMENTOS CAUTELARES</w:t>
            </w:r>
            <w:r>
              <w:tab/>
            </w:r>
            <w:r>
              <w:fldChar w:fldCharType="begin"/>
            </w:r>
            <w:r>
              <w:instrText xml:space="preserve">PAGEREF _Toc1611297307 \h</w:instrText>
            </w:r>
            <w:r>
              <w:fldChar w:fldCharType="separate"/>
            </w:r>
            <w:r w:rsidRPr="3465A9C1" w:rsidR="3465A9C1">
              <w:rPr>
                <w:rStyle w:val="Hyperlink"/>
              </w:rPr>
              <w:t>3</w:t>
            </w:r>
            <w:r>
              <w:fldChar w:fldCharType="end"/>
            </w:r>
          </w:hyperlink>
        </w:p>
        <w:p xmlns:wp14="http://schemas.microsoft.com/office/word/2010/wordml" w:rsidP="3465A9C1" wp14:paraId="3F90E950" wp14:textId="32C6A406">
          <w:pPr>
            <w:pStyle w:val="TOC2"/>
            <w:tabs>
              <w:tab w:val="right" w:leader="dot" w:pos="9015"/>
            </w:tabs>
            <w:bidi w:val="0"/>
          </w:pPr>
          <w:hyperlink w:anchor="_Toc1368419819">
            <w:r w:rsidRPr="3465A9C1" w:rsidR="3465A9C1">
              <w:rPr>
                <w:rStyle w:val="Hyperlink"/>
              </w:rPr>
              <w:t>4.1. Alimentos Provisórios (Arts. 388.º a 392.º)</w:t>
            </w:r>
            <w:r>
              <w:tab/>
            </w:r>
            <w:r>
              <w:fldChar w:fldCharType="begin"/>
            </w:r>
            <w:r>
              <w:instrText xml:space="preserve">PAGEREF _Toc1368419819 \h</w:instrText>
            </w:r>
            <w:r>
              <w:fldChar w:fldCharType="separate"/>
            </w:r>
            <w:r w:rsidRPr="3465A9C1" w:rsidR="3465A9C1">
              <w:rPr>
                <w:rStyle w:val="Hyperlink"/>
              </w:rPr>
              <w:t>3</w:t>
            </w:r>
            <w:r>
              <w:fldChar w:fldCharType="end"/>
            </w:r>
          </w:hyperlink>
        </w:p>
        <w:p xmlns:wp14="http://schemas.microsoft.com/office/word/2010/wordml" w:rsidP="3465A9C1" wp14:paraId="6AAFC195" wp14:textId="7011F991">
          <w:pPr>
            <w:pStyle w:val="TOC2"/>
            <w:tabs>
              <w:tab w:val="right" w:leader="dot" w:pos="9015"/>
            </w:tabs>
            <w:bidi w:val="0"/>
          </w:pPr>
          <w:hyperlink w:anchor="_Toc651389383">
            <w:r w:rsidRPr="3465A9C1" w:rsidR="3465A9C1">
              <w:rPr>
                <w:rStyle w:val="Hyperlink"/>
              </w:rPr>
              <w:t>4.2. Restituição Provisória de Posse (Arts. 393.º a 395.º)</w:t>
            </w:r>
            <w:r>
              <w:tab/>
            </w:r>
            <w:r>
              <w:fldChar w:fldCharType="begin"/>
            </w:r>
            <w:r>
              <w:instrText xml:space="preserve">PAGEREF _Toc651389383 \h</w:instrText>
            </w:r>
            <w:r>
              <w:fldChar w:fldCharType="separate"/>
            </w:r>
            <w:r w:rsidRPr="3465A9C1" w:rsidR="3465A9C1">
              <w:rPr>
                <w:rStyle w:val="Hyperlink"/>
              </w:rPr>
              <w:t>3</w:t>
            </w:r>
            <w:r>
              <w:fldChar w:fldCharType="end"/>
            </w:r>
          </w:hyperlink>
        </w:p>
        <w:p xmlns:wp14="http://schemas.microsoft.com/office/word/2010/wordml" w:rsidP="3465A9C1" wp14:paraId="41DA1010" wp14:textId="71E75D65">
          <w:pPr>
            <w:pStyle w:val="TOC2"/>
            <w:tabs>
              <w:tab w:val="right" w:leader="dot" w:pos="9015"/>
            </w:tabs>
            <w:bidi w:val="0"/>
          </w:pPr>
          <w:hyperlink w:anchor="_Toc1248544353">
            <w:r w:rsidRPr="3465A9C1" w:rsidR="3465A9C1">
              <w:rPr>
                <w:rStyle w:val="Hyperlink"/>
              </w:rPr>
              <w:t>4.3. Suspensão de Deliberações Sociais (Arts. 396.º a 398.º)</w:t>
            </w:r>
            <w:r>
              <w:tab/>
            </w:r>
            <w:r>
              <w:fldChar w:fldCharType="begin"/>
            </w:r>
            <w:r>
              <w:instrText xml:space="preserve">PAGEREF _Toc1248544353 \h</w:instrText>
            </w:r>
            <w:r>
              <w:fldChar w:fldCharType="separate"/>
            </w:r>
            <w:r w:rsidRPr="3465A9C1" w:rsidR="3465A9C1">
              <w:rPr>
                <w:rStyle w:val="Hyperlink"/>
              </w:rPr>
              <w:t>3</w:t>
            </w:r>
            <w:r>
              <w:fldChar w:fldCharType="end"/>
            </w:r>
          </w:hyperlink>
        </w:p>
        <w:p xmlns:wp14="http://schemas.microsoft.com/office/word/2010/wordml" w:rsidP="3465A9C1" wp14:paraId="512CEB4E" wp14:textId="25DC8C0D">
          <w:pPr>
            <w:pStyle w:val="TOC2"/>
            <w:tabs>
              <w:tab w:val="right" w:leader="dot" w:pos="9015"/>
            </w:tabs>
            <w:bidi w:val="0"/>
          </w:pPr>
          <w:hyperlink w:anchor="_Toc2011876577">
            <w:r w:rsidRPr="3465A9C1" w:rsidR="3465A9C1">
              <w:rPr>
                <w:rStyle w:val="Hyperlink"/>
              </w:rPr>
              <w:t>4.4. Providências Cautelares Não Especificadas (Arts. 399.º a 401.º)</w:t>
            </w:r>
            <w:r>
              <w:tab/>
            </w:r>
            <w:r>
              <w:fldChar w:fldCharType="begin"/>
            </w:r>
            <w:r>
              <w:instrText xml:space="preserve">PAGEREF _Toc2011876577 \h</w:instrText>
            </w:r>
            <w:r>
              <w:fldChar w:fldCharType="separate"/>
            </w:r>
            <w:r w:rsidRPr="3465A9C1" w:rsidR="3465A9C1">
              <w:rPr>
                <w:rStyle w:val="Hyperlink"/>
              </w:rPr>
              <w:t>3</w:t>
            </w:r>
            <w:r>
              <w:fldChar w:fldCharType="end"/>
            </w:r>
          </w:hyperlink>
        </w:p>
        <w:p xmlns:wp14="http://schemas.microsoft.com/office/word/2010/wordml" w:rsidP="3465A9C1" wp14:paraId="3E4A692B" wp14:textId="294CD1F4">
          <w:pPr>
            <w:pStyle w:val="TOC2"/>
            <w:tabs>
              <w:tab w:val="right" w:leader="dot" w:pos="9015"/>
            </w:tabs>
            <w:bidi w:val="0"/>
          </w:pPr>
          <w:hyperlink w:anchor="_Toc2081208506">
            <w:r w:rsidRPr="3465A9C1" w:rsidR="3465A9C1">
              <w:rPr>
                <w:rStyle w:val="Hyperlink"/>
              </w:rPr>
              <w:t>4.5. Arresto (Arts. 402.º a 411.º)</w:t>
            </w:r>
            <w:r>
              <w:tab/>
            </w:r>
            <w:r>
              <w:fldChar w:fldCharType="begin"/>
            </w:r>
            <w:r>
              <w:instrText xml:space="preserve">PAGEREF _Toc2081208506 \h</w:instrText>
            </w:r>
            <w:r>
              <w:fldChar w:fldCharType="separate"/>
            </w:r>
            <w:r w:rsidRPr="3465A9C1" w:rsidR="3465A9C1">
              <w:rPr>
                <w:rStyle w:val="Hyperlink"/>
              </w:rPr>
              <w:t>4</w:t>
            </w:r>
            <w:r>
              <w:fldChar w:fldCharType="end"/>
            </w:r>
          </w:hyperlink>
        </w:p>
        <w:p xmlns:wp14="http://schemas.microsoft.com/office/word/2010/wordml" w:rsidP="3465A9C1" wp14:paraId="7213101D" wp14:textId="63C87CBC">
          <w:pPr>
            <w:pStyle w:val="TOC2"/>
            <w:tabs>
              <w:tab w:val="right" w:leader="dot" w:pos="9015"/>
            </w:tabs>
            <w:bidi w:val="0"/>
          </w:pPr>
          <w:hyperlink w:anchor="_Toc960873761">
            <w:r w:rsidRPr="3465A9C1" w:rsidR="3465A9C1">
              <w:rPr>
                <w:rStyle w:val="Hyperlink"/>
              </w:rPr>
              <w:t>4.6. Embargos de Obra Nova (Arts. 412.º a 420.º)</w:t>
            </w:r>
            <w:r>
              <w:tab/>
            </w:r>
            <w:r>
              <w:fldChar w:fldCharType="begin"/>
            </w:r>
            <w:r>
              <w:instrText xml:space="preserve">PAGEREF _Toc960873761 \h</w:instrText>
            </w:r>
            <w:r>
              <w:fldChar w:fldCharType="separate"/>
            </w:r>
            <w:r w:rsidRPr="3465A9C1" w:rsidR="3465A9C1">
              <w:rPr>
                <w:rStyle w:val="Hyperlink"/>
              </w:rPr>
              <w:t>4</w:t>
            </w:r>
            <w:r>
              <w:fldChar w:fldCharType="end"/>
            </w:r>
          </w:hyperlink>
        </w:p>
        <w:p xmlns:wp14="http://schemas.microsoft.com/office/word/2010/wordml" w:rsidP="3465A9C1" wp14:paraId="61D462C8" wp14:textId="2CF27906">
          <w:pPr>
            <w:pStyle w:val="TOC2"/>
            <w:tabs>
              <w:tab w:val="right" w:leader="dot" w:pos="9015"/>
            </w:tabs>
            <w:bidi w:val="0"/>
          </w:pPr>
          <w:hyperlink w:anchor="_Toc1214483284">
            <w:r w:rsidRPr="3465A9C1" w:rsidR="3465A9C1">
              <w:rPr>
                <w:rStyle w:val="Hyperlink"/>
              </w:rPr>
              <w:t>4.7. Arrolamento (Arts. 421.º a 427.º)</w:t>
            </w:r>
            <w:r>
              <w:tab/>
            </w:r>
            <w:r>
              <w:fldChar w:fldCharType="begin"/>
            </w:r>
            <w:r>
              <w:instrText xml:space="preserve">PAGEREF _Toc1214483284 \h</w:instrText>
            </w:r>
            <w:r>
              <w:fldChar w:fldCharType="separate"/>
            </w:r>
            <w:r w:rsidRPr="3465A9C1" w:rsidR="3465A9C1">
              <w:rPr>
                <w:rStyle w:val="Hyperlink"/>
              </w:rPr>
              <w:t>4</w:t>
            </w:r>
            <w:r>
              <w:fldChar w:fldCharType="end"/>
            </w:r>
          </w:hyperlink>
        </w:p>
        <w:p xmlns:wp14="http://schemas.microsoft.com/office/word/2010/wordml" w:rsidP="3465A9C1" wp14:paraId="26FA3313" wp14:textId="570D817E">
          <w:pPr>
            <w:pStyle w:val="TOC1"/>
            <w:tabs>
              <w:tab w:val="right" w:leader="dot" w:pos="9015"/>
            </w:tabs>
            <w:bidi w:val="0"/>
          </w:pPr>
          <w:hyperlink w:anchor="_Toc886225055">
            <w:r w:rsidRPr="3465A9C1" w:rsidR="3465A9C1">
              <w:rPr>
                <w:rStyle w:val="Hyperlink"/>
              </w:rPr>
              <w:t>5. ARTIGOS ÚTEIS EXTRACAPÍTULO: UMA INTERPRETAÇÃO SISTEMÁTICA</w:t>
            </w:r>
            <w:r>
              <w:tab/>
            </w:r>
            <w:r>
              <w:fldChar w:fldCharType="begin"/>
            </w:r>
            <w:r>
              <w:instrText xml:space="preserve">PAGEREF _Toc886225055 \h</w:instrText>
            </w:r>
            <w:r>
              <w:fldChar w:fldCharType="separate"/>
            </w:r>
            <w:r w:rsidRPr="3465A9C1" w:rsidR="3465A9C1">
              <w:rPr>
                <w:rStyle w:val="Hyperlink"/>
              </w:rPr>
              <w:t>5</w:t>
            </w:r>
            <w:r>
              <w:fldChar w:fldCharType="end"/>
            </w:r>
          </w:hyperlink>
        </w:p>
        <w:p xmlns:wp14="http://schemas.microsoft.com/office/word/2010/wordml" w:rsidP="3465A9C1" wp14:paraId="3DFD76E1" wp14:textId="0E810C3B">
          <w:pPr>
            <w:pStyle w:val="TOC1"/>
            <w:tabs>
              <w:tab w:val="right" w:leader="dot" w:pos="9015"/>
            </w:tabs>
            <w:bidi w:val="0"/>
          </w:pPr>
          <w:hyperlink w:anchor="_Toc577262513">
            <w:r w:rsidRPr="3465A9C1" w:rsidR="3465A9C1">
              <w:rPr>
                <w:rStyle w:val="Hyperlink"/>
              </w:rPr>
              <w:t>6. IMPUGNAÇÃO DAS PROVIDÊNCIAS CAUTELARES E RECURSOS</w:t>
            </w:r>
            <w:r>
              <w:tab/>
            </w:r>
            <w:r>
              <w:fldChar w:fldCharType="begin"/>
            </w:r>
            <w:r>
              <w:instrText xml:space="preserve">PAGEREF _Toc577262513 \h</w:instrText>
            </w:r>
            <w:r>
              <w:fldChar w:fldCharType="separate"/>
            </w:r>
            <w:r w:rsidRPr="3465A9C1" w:rsidR="3465A9C1">
              <w:rPr>
                <w:rStyle w:val="Hyperlink"/>
              </w:rPr>
              <w:t>6</w:t>
            </w:r>
            <w:r>
              <w:fldChar w:fldCharType="end"/>
            </w:r>
          </w:hyperlink>
        </w:p>
        <w:p xmlns:wp14="http://schemas.microsoft.com/office/word/2010/wordml" w:rsidP="3465A9C1" wp14:paraId="1CF0CD46" wp14:textId="3F28D119">
          <w:pPr>
            <w:pStyle w:val="TOC1"/>
            <w:tabs>
              <w:tab w:val="right" w:leader="dot" w:pos="9015"/>
            </w:tabs>
            <w:bidi w:val="0"/>
          </w:pPr>
          <w:hyperlink w:anchor="_Toc1187749375">
            <w:r w:rsidRPr="3465A9C1" w:rsidR="3465A9C1">
              <w:rPr>
                <w:rStyle w:val="Hyperlink"/>
              </w:rPr>
              <w:t>7. SÍNTESE DOS REQUISITOS E PRINCÍPIOS DOS PROCEDIMENTOS CAUTELARES</w:t>
            </w:r>
            <w:r>
              <w:tab/>
            </w:r>
            <w:r>
              <w:fldChar w:fldCharType="begin"/>
            </w:r>
            <w:r>
              <w:instrText xml:space="preserve">PAGEREF _Toc1187749375 \h</w:instrText>
            </w:r>
            <w:r>
              <w:fldChar w:fldCharType="separate"/>
            </w:r>
            <w:r w:rsidRPr="3465A9C1" w:rsidR="3465A9C1">
              <w:rPr>
                <w:rStyle w:val="Hyperlink"/>
              </w:rPr>
              <w:t>6</w:t>
            </w:r>
            <w:r>
              <w:fldChar w:fldCharType="end"/>
            </w:r>
          </w:hyperlink>
        </w:p>
        <w:p xmlns:wp14="http://schemas.microsoft.com/office/word/2010/wordml" w:rsidP="3465A9C1" wp14:paraId="56E46F12" wp14:textId="53100E77">
          <w:pPr>
            <w:pStyle w:val="TOC1"/>
            <w:tabs>
              <w:tab w:val="right" w:leader="dot" w:pos="9015"/>
            </w:tabs>
            <w:bidi w:val="0"/>
          </w:pPr>
          <w:hyperlink w:anchor="_Toc824068453">
            <w:r w:rsidRPr="3465A9C1" w:rsidR="3465A9C1">
              <w:rPr>
                <w:rStyle w:val="Hyperlink"/>
              </w:rPr>
              <w:t>8. CONCLUSÃO</w:t>
            </w:r>
            <w:r>
              <w:tab/>
            </w:r>
            <w:r>
              <w:fldChar w:fldCharType="begin"/>
            </w:r>
            <w:r>
              <w:instrText xml:space="preserve">PAGEREF _Toc824068453 \h</w:instrText>
            </w:r>
            <w:r>
              <w:fldChar w:fldCharType="separate"/>
            </w:r>
            <w:r w:rsidRPr="3465A9C1" w:rsidR="3465A9C1">
              <w:rPr>
                <w:rStyle w:val="Hyperlink"/>
              </w:rPr>
              <w:t>8</w:t>
            </w:r>
            <w:r>
              <w:fldChar w:fldCharType="end"/>
            </w:r>
          </w:hyperlink>
        </w:p>
        <w:p xmlns:wp14="http://schemas.microsoft.com/office/word/2010/wordml" wp14:paraId="7C767DD1" wp14:textId="7ADCE04D">
          <w:r>
            <w:fldChar w:fldCharType="end"/>
          </w:r>
        </w:p>
      </w:sdtContent>
    </w:sdt>
    <w:p xmlns:wp14="http://schemas.microsoft.com/office/word/2010/wordml" w:rsidP="3465A9C1" wp14:paraId="1D8AA933" wp14:textId="52DD50BE">
      <w:pPr>
        <w:pStyle w:val="Heading1"/>
        <w:rPr>
          <w:noProof w:val="0"/>
          <w:lang w:val="pt-BR"/>
        </w:rPr>
      </w:pPr>
    </w:p>
    <w:p xmlns:wp14="http://schemas.microsoft.com/office/word/2010/wordml" wp14:paraId="37ACBCAC" wp14:textId="06062898">
      <w:r>
        <w:br w:type="page"/>
      </w:r>
    </w:p>
    <w:p xmlns:wp14="http://schemas.microsoft.com/office/word/2010/wordml" w:rsidP="3465A9C1" wp14:paraId="1DA28609" wp14:textId="28C1D9D7">
      <w:pPr>
        <w:pStyle w:val="Heading1"/>
        <w:rPr>
          <w:noProof w:val="0"/>
          <w:lang w:val="pt-BR"/>
        </w:rPr>
      </w:pPr>
      <w:bookmarkStart w:name="_Toc948231357" w:id="1600723378"/>
      <w:r w:rsidRPr="3465A9C1" w:rsidR="79FE4865">
        <w:rPr>
          <w:noProof w:val="0"/>
          <w:lang w:val="pt-BR"/>
        </w:rPr>
        <w:t>1. INTRODUÇÃO</w:t>
      </w:r>
      <w:bookmarkEnd w:id="1600723378"/>
    </w:p>
    <w:p xmlns:wp14="http://schemas.microsoft.com/office/word/2010/wordml" w:rsidP="3465A9C1" wp14:paraId="5AD4AD4E" wp14:textId="4EF310CA">
      <w:pPr>
        <w:spacing w:before="240" w:beforeAutospacing="off" w:after="240" w:afterAutospacing="off"/>
        <w:jc w:val="both"/>
      </w:pPr>
      <w:r w:rsidRPr="3465A9C1" w:rsidR="79FE4865">
        <w:rPr>
          <w:rFonts w:ascii="Times New Roman" w:hAnsi="Times New Roman" w:eastAsia="Times New Roman" w:cs="Times New Roman"/>
          <w:noProof w:val="0"/>
          <w:sz w:val="24"/>
          <w:szCs w:val="24"/>
          <w:lang w:val="pt-BR"/>
        </w:rPr>
        <w:t>No âmbito do processo civil, a necessidade de garantir a utilidade prática da decisão final, evitando que o decurso do tempo ou a conduta de uma das partes torne a prestação jurisdicional ineficaz, é uma preocupação central do legislador. É neste contexto que se inserem os procedimentos cautelares, concebidos como mecanismos processuais destinados a assegurar o efeito útil da acção principal, prevenindo um dano que, de outra forma, se tornaria irreparável ou de difícil reparação.</w:t>
      </w:r>
    </w:p>
    <w:p xmlns:wp14="http://schemas.microsoft.com/office/word/2010/wordml" w:rsidP="3465A9C1" wp14:paraId="212621B3" wp14:textId="2608D046">
      <w:pPr>
        <w:spacing w:before="240" w:beforeAutospacing="off" w:after="240" w:afterAutospacing="off"/>
        <w:jc w:val="both"/>
      </w:pPr>
      <w:r w:rsidRPr="3465A9C1" w:rsidR="79FE4865">
        <w:rPr>
          <w:rFonts w:ascii="Times New Roman" w:hAnsi="Times New Roman" w:eastAsia="Times New Roman" w:cs="Times New Roman"/>
          <w:noProof w:val="0"/>
          <w:sz w:val="24"/>
          <w:szCs w:val="24"/>
          <w:lang w:val="pt-BR"/>
        </w:rPr>
        <w:t xml:space="preserve">O Código de Processo Civil angolano, aprovado pelo Decreto-Lei n.º 44 129, de 28 de Dezembro de 1961, dedica o seu </w:t>
      </w:r>
      <w:r w:rsidRPr="3465A9C1" w:rsidR="79FE4865">
        <w:rPr>
          <w:rStyle w:val="SubtleReference"/>
          <w:noProof w:val="0"/>
          <w:lang w:val="pt-BR"/>
        </w:rPr>
        <w:t>Capítulo IV do Livro III (Do Processo)</w:t>
      </w:r>
      <w:r w:rsidRPr="3465A9C1" w:rsidR="79FE4865">
        <w:rPr>
          <w:rFonts w:ascii="Times New Roman" w:hAnsi="Times New Roman" w:eastAsia="Times New Roman" w:cs="Times New Roman"/>
          <w:noProof w:val="0"/>
          <w:sz w:val="24"/>
          <w:szCs w:val="24"/>
          <w:lang w:val="pt-BR"/>
        </w:rPr>
        <w:t xml:space="preserve"> a esta temática, sob a epígrafe </w:t>
      </w:r>
      <w:r w:rsidRPr="3465A9C1" w:rsidR="79FE4865">
        <w:rPr>
          <w:rFonts w:ascii="Times New Roman" w:hAnsi="Times New Roman" w:eastAsia="Times New Roman" w:cs="Times New Roman"/>
          <w:b w:val="1"/>
          <w:bCs w:val="1"/>
          <w:i w:val="1"/>
          <w:iCs w:val="1"/>
          <w:noProof w:val="0"/>
          <w:sz w:val="24"/>
          <w:szCs w:val="24"/>
          <w:lang w:val="pt-BR"/>
        </w:rPr>
        <w:t>"Dos procedimentos cautelares"</w:t>
      </w:r>
      <w:r w:rsidRPr="3465A9C1" w:rsidR="79FE4865">
        <w:rPr>
          <w:rFonts w:ascii="Times New Roman" w:hAnsi="Times New Roman" w:eastAsia="Times New Roman" w:cs="Times New Roman"/>
          <w:noProof w:val="0"/>
          <w:sz w:val="24"/>
          <w:szCs w:val="24"/>
          <w:lang w:val="pt-BR"/>
        </w:rPr>
        <w:t>. Conforme resulta da exposição de motivos do diploma (a que o documento se refere como "preâmbulo"), esta é uma área que sofreu uma "sensível remodelação" em relação ao Código de 1939, evidenciando a intenção do legislador de conferir maior coerência e operatividade a estes institutos.</w:t>
      </w:r>
    </w:p>
    <w:p xmlns:wp14="http://schemas.microsoft.com/office/word/2010/wordml" w:rsidP="3465A9C1" wp14:paraId="4366E375" wp14:textId="0ED70B3D">
      <w:pPr>
        <w:spacing w:before="240" w:beforeAutospacing="off" w:after="240" w:afterAutospacing="off"/>
        <w:jc w:val="both"/>
      </w:pPr>
      <w:r w:rsidRPr="3465A9C1" w:rsidR="79FE4865">
        <w:rPr>
          <w:rFonts w:ascii="Times New Roman" w:hAnsi="Times New Roman" w:eastAsia="Times New Roman" w:cs="Times New Roman"/>
          <w:noProof w:val="0"/>
          <w:sz w:val="24"/>
          <w:szCs w:val="24"/>
          <w:lang w:val="pt-BR"/>
        </w:rPr>
        <w:t xml:space="preserve">A análise tem como </w:t>
      </w:r>
      <w:r w:rsidRPr="3465A9C1" w:rsidR="5DE82B1B">
        <w:rPr>
          <w:rFonts w:ascii="Times New Roman" w:hAnsi="Times New Roman" w:eastAsia="Times New Roman" w:cs="Times New Roman"/>
          <w:noProof w:val="0"/>
          <w:sz w:val="24"/>
          <w:szCs w:val="24"/>
          <w:lang w:val="pt-BR"/>
        </w:rPr>
        <w:t>objetivo</w:t>
      </w:r>
      <w:r w:rsidRPr="3465A9C1" w:rsidR="79FE4865">
        <w:rPr>
          <w:rFonts w:ascii="Times New Roman" w:hAnsi="Times New Roman" w:eastAsia="Times New Roman" w:cs="Times New Roman"/>
          <w:noProof w:val="0"/>
          <w:sz w:val="24"/>
          <w:szCs w:val="24"/>
          <w:lang w:val="pt-BR"/>
        </w:rPr>
        <w:t xml:space="preserve"> dissecar o regime jurídico dos procedimentos cautelares, examinando as suas disposições gerais, as suas espécies e os princípios que os regem, à luz dos artigos 381.º a 427.º do Código, complementados por outras normas que, embora não integrem formalmente o capítulo, são fundamentais para a sua compreensão e aplicação.</w:t>
      </w:r>
    </w:p>
    <w:p xmlns:wp14="http://schemas.microsoft.com/office/word/2010/wordml" w:rsidP="3465A9C1" wp14:paraId="3DE3646C" wp14:textId="78275340">
      <w:pPr>
        <w:pStyle w:val="Heading1"/>
        <w:rPr>
          <w:noProof w:val="0"/>
          <w:lang w:val="pt-BR"/>
        </w:rPr>
      </w:pPr>
      <w:bookmarkStart w:name="_Toc2136988620" w:id="142402606"/>
      <w:r w:rsidRPr="3465A9C1" w:rsidR="79FE4865">
        <w:rPr>
          <w:noProof w:val="0"/>
          <w:lang w:val="pt-BR"/>
        </w:rPr>
        <w:t>2. EVOLUÇÃO HISTÓRICO-LEGISLATIVA E CONTEXTO</w:t>
      </w:r>
      <w:bookmarkEnd w:id="142402606"/>
    </w:p>
    <w:p xmlns:wp14="http://schemas.microsoft.com/office/word/2010/wordml" w:rsidP="3465A9C1" wp14:paraId="70C9AA58" wp14:textId="43062D02">
      <w:pPr>
        <w:spacing w:before="240" w:beforeAutospacing="off" w:after="240" w:afterAutospacing="off"/>
        <w:jc w:val="both"/>
      </w:pPr>
      <w:r w:rsidRPr="3465A9C1" w:rsidR="79FE4865">
        <w:rPr>
          <w:rFonts w:ascii="Times New Roman" w:hAnsi="Times New Roman" w:eastAsia="Times New Roman" w:cs="Times New Roman"/>
          <w:noProof w:val="0"/>
          <w:sz w:val="24"/>
          <w:szCs w:val="24"/>
          <w:lang w:val="pt-BR"/>
        </w:rPr>
        <w:t xml:space="preserve">O preâmbulo do diploma (páginas 2 e 3 do documento) oferece um contexto valioso para a compreensão das opções legislativas. Assinala-se que a designação genérica do instituto foi alterada de </w:t>
      </w:r>
      <w:r w:rsidRPr="3465A9C1" w:rsidR="79FE4865">
        <w:rPr>
          <w:rFonts w:ascii="Times New Roman" w:hAnsi="Times New Roman" w:eastAsia="Times New Roman" w:cs="Times New Roman"/>
          <w:b w:val="1"/>
          <w:bCs w:val="1"/>
          <w:i w:val="1"/>
          <w:iCs w:val="1"/>
          <w:noProof w:val="0"/>
          <w:sz w:val="24"/>
          <w:szCs w:val="24"/>
          <w:lang w:val="pt-BR"/>
        </w:rPr>
        <w:t>"processos preventivos e conservatórios"</w:t>
      </w:r>
      <w:r w:rsidRPr="3465A9C1" w:rsidR="79FE4865">
        <w:rPr>
          <w:rFonts w:ascii="Times New Roman" w:hAnsi="Times New Roman" w:eastAsia="Times New Roman" w:cs="Times New Roman"/>
          <w:noProof w:val="0"/>
          <w:sz w:val="24"/>
          <w:szCs w:val="24"/>
          <w:lang w:val="pt-BR"/>
        </w:rPr>
        <w:t xml:space="preserve"> para </w:t>
      </w:r>
      <w:r w:rsidRPr="3465A9C1" w:rsidR="79FE4865">
        <w:rPr>
          <w:rFonts w:ascii="Times New Roman" w:hAnsi="Times New Roman" w:eastAsia="Times New Roman" w:cs="Times New Roman"/>
          <w:b w:val="1"/>
          <w:bCs w:val="1"/>
          <w:i w:val="1"/>
          <w:iCs w:val="1"/>
          <w:noProof w:val="0"/>
          <w:sz w:val="24"/>
          <w:szCs w:val="24"/>
          <w:lang w:val="pt-BR"/>
        </w:rPr>
        <w:t>"procedimentos cautelares"</w:t>
      </w:r>
      <w:r w:rsidRPr="3465A9C1" w:rsidR="79FE4865">
        <w:rPr>
          <w:rFonts w:ascii="Times New Roman" w:hAnsi="Times New Roman" w:eastAsia="Times New Roman" w:cs="Times New Roman"/>
          <w:noProof w:val="0"/>
          <w:sz w:val="24"/>
          <w:szCs w:val="24"/>
          <w:lang w:val="pt-BR"/>
        </w:rPr>
        <w:t>, considerada mais adequada à sua estrutura e finalidade específica.</w:t>
      </w:r>
    </w:p>
    <w:p xmlns:wp14="http://schemas.microsoft.com/office/word/2010/wordml" w:rsidP="3465A9C1" wp14:paraId="3725C101" wp14:textId="3E48BA75">
      <w:pPr>
        <w:spacing w:before="240" w:beforeAutospacing="off" w:after="240" w:afterAutospacing="off"/>
        <w:jc w:val="both"/>
      </w:pPr>
      <w:r w:rsidRPr="3465A9C1" w:rsidR="79FE4865">
        <w:rPr>
          <w:rFonts w:ascii="Times New Roman" w:hAnsi="Times New Roman" w:eastAsia="Times New Roman" w:cs="Times New Roman"/>
          <w:noProof w:val="0"/>
          <w:sz w:val="24"/>
          <w:szCs w:val="24"/>
          <w:lang w:val="pt-BR"/>
        </w:rPr>
        <w:t>Uma das alterações mais significativas introduzidas pela reforma de 1961 foi o endurecimento das condições para a subsistência das providências. Anteriormente, a eficácia destas poderia perdurar por meses ou anos, o que era considerado gravoso e, por vezes, utilizado como mero meio de pressão sobre o adversário. O novo regime visou acautelar este abuso, fixando prazos mais rigorosos para a propositura da acção principal e para a manutenção da providência, evitando que esta se tornasse um "fim em si mesmo".</w:t>
      </w:r>
    </w:p>
    <w:p xmlns:wp14="http://schemas.microsoft.com/office/word/2010/wordml" w:rsidP="3465A9C1" wp14:paraId="4E241350" wp14:textId="71836BAD">
      <w:pPr>
        <w:pStyle w:val="Heading1"/>
        <w:rPr>
          <w:noProof w:val="0"/>
          <w:lang w:val="pt-BR"/>
        </w:rPr>
      </w:pPr>
      <w:bookmarkStart w:name="_Toc990655844" w:id="1702940838"/>
      <w:r w:rsidRPr="3465A9C1" w:rsidR="79FE4865">
        <w:rPr>
          <w:noProof w:val="0"/>
          <w:lang w:val="pt-BR"/>
        </w:rPr>
        <w:t>3. REGIME JURÍDICO GERAL DOS PROCEDIMENTOS CAUTELARES</w:t>
      </w:r>
      <w:bookmarkEnd w:id="1702940838"/>
    </w:p>
    <w:p xmlns:wp14="http://schemas.microsoft.com/office/word/2010/wordml" w:rsidP="3465A9C1" wp14:paraId="1746F54F" wp14:textId="75E170D7">
      <w:pPr>
        <w:spacing w:before="240" w:beforeAutospacing="off" w:after="240" w:afterAutospacing="off"/>
        <w:jc w:val="both"/>
      </w:pPr>
      <w:r w:rsidRPr="3465A9C1" w:rsidR="79FE4865">
        <w:rPr>
          <w:rFonts w:ascii="Times New Roman" w:hAnsi="Times New Roman" w:eastAsia="Times New Roman" w:cs="Times New Roman"/>
          <w:noProof w:val="0"/>
          <w:sz w:val="24"/>
          <w:szCs w:val="24"/>
          <w:lang w:val="pt-BR"/>
        </w:rPr>
        <w:t>O Capítulo IV inicia-se com um conjunto de disposições gerais (artigos 381.º a 387.º) que constituem o arcabouço jurídico de todos os procedimentos cautelares.</w:t>
      </w:r>
    </w:p>
    <w:p xmlns:wp14="http://schemas.microsoft.com/office/word/2010/wordml" w:rsidP="3465A9C1" wp14:paraId="69E0538B" wp14:textId="5F956513">
      <w:pPr>
        <w:pStyle w:val="Heading2"/>
        <w:rPr>
          <w:noProof w:val="0"/>
          <w:lang w:val="pt-BR"/>
        </w:rPr>
      </w:pPr>
      <w:bookmarkStart w:name="_Toc1004849123" w:id="87272531"/>
      <w:r w:rsidRPr="3465A9C1" w:rsidR="79FE4865">
        <w:rPr>
          <w:noProof w:val="0"/>
          <w:lang w:val="pt-BR"/>
        </w:rPr>
        <w:t>3.1. Aplicação Subsidiária das Regras dos Incidentes (Art. 381.º)</w:t>
      </w:r>
      <w:bookmarkEnd w:id="87272531"/>
    </w:p>
    <w:p xmlns:wp14="http://schemas.microsoft.com/office/word/2010/wordml" w:rsidP="3465A9C1" wp14:paraId="53250ACC" wp14:textId="48EB29AF">
      <w:pPr>
        <w:spacing w:before="240" w:beforeAutospacing="off" w:after="240" w:afterAutospacing="off"/>
        <w:jc w:val="both"/>
      </w:pPr>
      <w:r w:rsidRPr="3465A9C1" w:rsidR="79FE4865">
        <w:rPr>
          <w:rFonts w:ascii="Times New Roman" w:hAnsi="Times New Roman" w:eastAsia="Times New Roman" w:cs="Times New Roman"/>
          <w:noProof w:val="0"/>
          <w:sz w:val="24"/>
          <w:szCs w:val="24"/>
          <w:lang w:val="pt-BR"/>
        </w:rPr>
        <w:t>O artigo 381.º estabelece que são aplicáveis aos procedimentos cautelares as disposições relativas aos incidentes da instância, em particular as que regulam a oferta imediata de provas (art. 302.º), o prazo para a oposição (art. 303.º) e o limite do número de testemunhas (art. 304.º). Esta remissão sublinha a natureza acessória e incidental destes procedimentos, bem como a exigência de celeridade, que é uma das suas marcas distintivas. A imediação na oferta de provas visa permitir ao juiz uma decisão célere, baseada nos elementos de convicção disponíveis no momento da apreciação sumária.</w:t>
      </w:r>
    </w:p>
    <w:p xmlns:wp14="http://schemas.microsoft.com/office/word/2010/wordml" w:rsidP="3465A9C1" wp14:paraId="3AFA1A5B" wp14:textId="446A9821">
      <w:pPr>
        <w:pStyle w:val="Heading2"/>
        <w:rPr>
          <w:noProof w:val="0"/>
          <w:lang w:val="pt-BR"/>
        </w:rPr>
      </w:pPr>
      <w:bookmarkStart w:name="_Toc950444317" w:id="1842972329"/>
      <w:r w:rsidRPr="3465A9C1" w:rsidR="79FE4865">
        <w:rPr>
          <w:noProof w:val="0"/>
          <w:lang w:val="pt-BR"/>
        </w:rPr>
        <w:t>3.2. Caducidade da Providência (Art. 382.º)</w:t>
      </w:r>
      <w:bookmarkEnd w:id="1842972329"/>
    </w:p>
    <w:p xmlns:wp14="http://schemas.microsoft.com/office/word/2010/wordml" w:rsidP="3465A9C1" wp14:paraId="56EDC45B" wp14:textId="14889BFE">
      <w:pPr>
        <w:spacing w:before="240" w:beforeAutospacing="off" w:after="240" w:afterAutospacing="off"/>
        <w:jc w:val="both"/>
      </w:pPr>
      <w:r w:rsidRPr="3465A9C1" w:rsidR="79FE4865">
        <w:rPr>
          <w:rFonts w:ascii="Times New Roman" w:hAnsi="Times New Roman" w:eastAsia="Times New Roman" w:cs="Times New Roman"/>
          <w:noProof w:val="0"/>
          <w:sz w:val="24"/>
          <w:szCs w:val="24"/>
          <w:lang w:val="pt-BR"/>
        </w:rPr>
        <w:t xml:space="preserve">O artigo 382.º elenca as causas de caducidade das providências cautelares, estabelecendo uma ligação indissociável entre a medida provisória e a </w:t>
      </w:r>
      <w:r w:rsidRPr="3465A9C1" w:rsidR="79FE4865">
        <w:rPr>
          <w:rFonts w:ascii="Times New Roman" w:hAnsi="Times New Roman" w:eastAsia="Times New Roman" w:cs="Times New Roman"/>
          <w:noProof w:val="0"/>
          <w:sz w:val="24"/>
          <w:szCs w:val="24"/>
          <w:lang w:val="pt-BR"/>
        </w:rPr>
        <w:t>acção</w:t>
      </w:r>
      <w:r w:rsidRPr="3465A9C1" w:rsidR="79FE4865">
        <w:rPr>
          <w:rFonts w:ascii="Times New Roman" w:hAnsi="Times New Roman" w:eastAsia="Times New Roman" w:cs="Times New Roman"/>
          <w:noProof w:val="0"/>
          <w:sz w:val="24"/>
          <w:szCs w:val="24"/>
          <w:lang w:val="pt-BR"/>
        </w:rPr>
        <w:t xml:space="preserve"> principal. A providência fica sem efeito se o requerente </w:t>
      </w:r>
      <w:r w:rsidRPr="3465A9C1" w:rsidR="79FE4865">
        <w:rPr>
          <w:rFonts w:ascii="Times New Roman" w:hAnsi="Times New Roman" w:eastAsia="Times New Roman" w:cs="Times New Roman"/>
          <w:b w:val="1"/>
          <w:bCs w:val="1"/>
          <w:noProof w:val="0"/>
          <w:sz w:val="24"/>
          <w:szCs w:val="24"/>
          <w:lang w:val="pt-BR"/>
        </w:rPr>
        <w:t xml:space="preserve">não </w:t>
      </w:r>
      <w:r w:rsidRPr="3465A9C1" w:rsidR="79FE4865">
        <w:rPr>
          <w:rFonts w:ascii="Times New Roman" w:hAnsi="Times New Roman" w:eastAsia="Times New Roman" w:cs="Times New Roman"/>
          <w:b w:val="1"/>
          <w:bCs w:val="1"/>
          <w:noProof w:val="0"/>
          <w:sz w:val="24"/>
          <w:szCs w:val="24"/>
          <w:lang w:val="pt-BR"/>
        </w:rPr>
        <w:t>propor</w:t>
      </w:r>
      <w:r w:rsidRPr="3465A9C1" w:rsidR="79FE4865">
        <w:rPr>
          <w:rFonts w:ascii="Times New Roman" w:hAnsi="Times New Roman" w:eastAsia="Times New Roman" w:cs="Times New Roman"/>
          <w:b w:val="1"/>
          <w:bCs w:val="1"/>
          <w:noProof w:val="0"/>
          <w:sz w:val="24"/>
          <w:szCs w:val="24"/>
          <w:lang w:val="pt-BR"/>
        </w:rPr>
        <w:t xml:space="preserve"> a </w:t>
      </w:r>
      <w:r w:rsidRPr="3465A9C1" w:rsidR="79FE4865">
        <w:rPr>
          <w:rFonts w:ascii="Times New Roman" w:hAnsi="Times New Roman" w:eastAsia="Times New Roman" w:cs="Times New Roman"/>
          <w:b w:val="1"/>
          <w:bCs w:val="1"/>
          <w:noProof w:val="0"/>
          <w:sz w:val="24"/>
          <w:szCs w:val="24"/>
          <w:lang w:val="pt-BR"/>
        </w:rPr>
        <w:t>acção</w:t>
      </w:r>
      <w:r w:rsidRPr="3465A9C1" w:rsidR="79FE4865">
        <w:rPr>
          <w:rFonts w:ascii="Times New Roman" w:hAnsi="Times New Roman" w:eastAsia="Times New Roman" w:cs="Times New Roman"/>
          <w:b w:val="1"/>
          <w:bCs w:val="1"/>
          <w:noProof w:val="0"/>
          <w:sz w:val="24"/>
          <w:szCs w:val="24"/>
          <w:lang w:val="pt-BR"/>
        </w:rPr>
        <w:t xml:space="preserve"> principal dentro de 30 dias</w:t>
      </w:r>
      <w:r w:rsidRPr="3465A9C1" w:rsidR="79FE4865">
        <w:rPr>
          <w:rFonts w:ascii="Times New Roman" w:hAnsi="Times New Roman" w:eastAsia="Times New Roman" w:cs="Times New Roman"/>
          <w:noProof w:val="0"/>
          <w:sz w:val="24"/>
          <w:szCs w:val="24"/>
          <w:lang w:val="pt-BR"/>
        </w:rPr>
        <w:t xml:space="preserve"> a contar da notificação da decisão que a ordenou. Este prazo, que se conta da notificação do despacho que ordena a providência, e não da decisão final de recurso (como ocorria no sistema anterior), visa precisamente evitar a utilização meramente dilatória da medida.</w:t>
      </w:r>
    </w:p>
    <w:p xmlns:wp14="http://schemas.microsoft.com/office/word/2010/wordml" w:rsidP="3465A9C1" wp14:paraId="55AD9579" wp14:textId="1FDD7398">
      <w:pPr>
        <w:spacing w:before="240" w:beforeAutospacing="off" w:after="240" w:afterAutospacing="off"/>
        <w:jc w:val="both"/>
      </w:pPr>
      <w:r w:rsidRPr="3465A9C1" w:rsidR="79FE4865">
        <w:rPr>
          <w:rFonts w:ascii="Times New Roman" w:hAnsi="Times New Roman" w:eastAsia="Times New Roman" w:cs="Times New Roman"/>
          <w:noProof w:val="0"/>
          <w:sz w:val="24"/>
          <w:szCs w:val="24"/>
          <w:lang w:val="pt-BR"/>
        </w:rPr>
        <w:t xml:space="preserve">Adicionalmente, a providência caduca se, estando a acção proposta, esta ou os seus incidentes ficarem parados por mais de 30 dias por negligência do requerente, ou se a acção for julgada improcedente. No caso específico do arresto requerido como dependência de uma acção condenatória, a caducidade opera se, obtida sentença favorável, o exequente não promover a execução no prazo de seis meses. Este conjunto de normas demonstra o princípio da </w:t>
      </w:r>
      <w:r w:rsidRPr="3465A9C1" w:rsidR="79FE4865">
        <w:rPr>
          <w:rFonts w:ascii="Times New Roman" w:hAnsi="Times New Roman" w:eastAsia="Times New Roman" w:cs="Times New Roman"/>
          <w:b w:val="1"/>
          <w:bCs w:val="1"/>
          <w:noProof w:val="0"/>
          <w:sz w:val="24"/>
          <w:szCs w:val="24"/>
          <w:lang w:val="pt-BR"/>
        </w:rPr>
        <w:t>instrumentalidade</w:t>
      </w:r>
      <w:r w:rsidRPr="3465A9C1" w:rsidR="79FE4865">
        <w:rPr>
          <w:rFonts w:ascii="Times New Roman" w:hAnsi="Times New Roman" w:eastAsia="Times New Roman" w:cs="Times New Roman"/>
          <w:noProof w:val="0"/>
          <w:sz w:val="24"/>
          <w:szCs w:val="24"/>
          <w:lang w:val="pt-BR"/>
        </w:rPr>
        <w:t xml:space="preserve"> e da </w:t>
      </w:r>
      <w:r w:rsidRPr="3465A9C1" w:rsidR="79FE4865">
        <w:rPr>
          <w:rFonts w:ascii="Times New Roman" w:hAnsi="Times New Roman" w:eastAsia="Times New Roman" w:cs="Times New Roman"/>
          <w:b w:val="1"/>
          <w:bCs w:val="1"/>
          <w:noProof w:val="0"/>
          <w:sz w:val="24"/>
          <w:szCs w:val="24"/>
          <w:lang w:val="pt-BR"/>
        </w:rPr>
        <w:t>provisoriedade</w:t>
      </w:r>
      <w:r w:rsidRPr="3465A9C1" w:rsidR="79FE4865">
        <w:rPr>
          <w:rFonts w:ascii="Times New Roman" w:hAnsi="Times New Roman" w:eastAsia="Times New Roman" w:cs="Times New Roman"/>
          <w:noProof w:val="0"/>
          <w:sz w:val="24"/>
          <w:szCs w:val="24"/>
          <w:lang w:val="pt-BR"/>
        </w:rPr>
        <w:t xml:space="preserve"> das providências cautelares.</w:t>
      </w:r>
    </w:p>
    <w:p xmlns:wp14="http://schemas.microsoft.com/office/word/2010/wordml" w:rsidP="3465A9C1" wp14:paraId="46473DB1" wp14:textId="34D3D38D">
      <w:pPr>
        <w:pStyle w:val="Heading2"/>
        <w:rPr>
          <w:noProof w:val="0"/>
          <w:lang w:val="pt-BR"/>
        </w:rPr>
      </w:pPr>
      <w:bookmarkStart w:name="_Toc959341560" w:id="337370006"/>
      <w:r w:rsidRPr="3465A9C1" w:rsidR="79FE4865">
        <w:rPr>
          <w:noProof w:val="0"/>
          <w:lang w:val="pt-BR"/>
        </w:rPr>
        <w:t>3.3. Levantamento e Substituição da Providência (Arts. 383.º e 387.º)</w:t>
      </w:r>
      <w:bookmarkEnd w:id="337370006"/>
    </w:p>
    <w:p xmlns:wp14="http://schemas.microsoft.com/office/word/2010/wordml" w:rsidP="3465A9C1" wp14:paraId="205473B0" wp14:textId="42B49338">
      <w:pPr>
        <w:spacing w:before="240" w:beforeAutospacing="off" w:after="240" w:afterAutospacing="off"/>
        <w:jc w:val="both"/>
      </w:pPr>
      <w:r w:rsidRPr="3465A9C1" w:rsidR="79FE4865">
        <w:rPr>
          <w:rFonts w:ascii="Times New Roman" w:hAnsi="Times New Roman" w:eastAsia="Times New Roman" w:cs="Times New Roman"/>
          <w:noProof w:val="0"/>
          <w:sz w:val="24"/>
          <w:szCs w:val="24"/>
          <w:lang w:val="pt-BR"/>
        </w:rPr>
        <w:t>O levantamento da providência pode ocorrer por decisão judicial, sendo que, no caso de extinção do direito acautelado, o juiz pode determinar o levantamento "sem audiência do autor" (art. 383.º), garantindo uma proteção efetiva do requerido quando o fundamento da medida deixa de existir.</w:t>
      </w:r>
    </w:p>
    <w:p xmlns:wp14="http://schemas.microsoft.com/office/word/2010/wordml" w:rsidP="3465A9C1" wp14:paraId="6AF4D159" wp14:textId="708E3E7D">
      <w:pPr>
        <w:spacing w:before="240" w:beforeAutospacing="off" w:after="240" w:afterAutospacing="off"/>
        <w:jc w:val="both"/>
      </w:pPr>
      <w:r w:rsidRPr="3465A9C1" w:rsidR="79FE4865">
        <w:rPr>
          <w:rFonts w:ascii="Times New Roman" w:hAnsi="Times New Roman" w:eastAsia="Times New Roman" w:cs="Times New Roman"/>
          <w:noProof w:val="0"/>
          <w:sz w:val="24"/>
          <w:szCs w:val="24"/>
          <w:lang w:val="pt-BR"/>
        </w:rPr>
        <w:t>Por outro lado, o artigo 387.º, n.º 3, faculta ao juiz a possibilidade de fazer depender a providência da prestação de caução por parte do requerente. Esta caução visa indemnizar o requerido pelos prejuízos que a providência injustificada lhe possa causar, funcionando como um mecanismo de equilíbrio e de responsabilização. O valor e a idoneidade da caução são arbitrados sem audiência do requerido, para não comprometer a eficácia da providência.</w:t>
      </w:r>
    </w:p>
    <w:p xmlns:wp14="http://schemas.microsoft.com/office/word/2010/wordml" w:rsidP="3465A9C1" wp14:paraId="3AD366C0" wp14:textId="099771E3">
      <w:pPr>
        <w:pStyle w:val="Heading2"/>
        <w:rPr>
          <w:noProof w:val="0"/>
          <w:lang w:val="pt-BR"/>
        </w:rPr>
      </w:pPr>
      <w:bookmarkStart w:name="_Toc2023825851" w:id="1975733220"/>
      <w:r w:rsidRPr="3465A9C1" w:rsidR="79FE4865">
        <w:rPr>
          <w:noProof w:val="0"/>
          <w:lang w:val="pt-BR"/>
        </w:rPr>
        <w:t>3.4. Dependência e Apensação (Art. 384.º)</w:t>
      </w:r>
      <w:bookmarkEnd w:id="1975733220"/>
    </w:p>
    <w:p xmlns:wp14="http://schemas.microsoft.com/office/word/2010/wordml" w:rsidP="3465A9C1" wp14:paraId="1342A9D6" wp14:textId="47320BD6">
      <w:pPr>
        <w:spacing w:before="240" w:beforeAutospacing="off" w:after="240" w:afterAutospacing="off"/>
        <w:jc w:val="both"/>
      </w:pPr>
      <w:r w:rsidRPr="3465A9C1" w:rsidR="79FE4865">
        <w:rPr>
          <w:rFonts w:ascii="Times New Roman" w:hAnsi="Times New Roman" w:eastAsia="Times New Roman" w:cs="Times New Roman"/>
          <w:noProof w:val="0"/>
          <w:sz w:val="24"/>
          <w:szCs w:val="24"/>
          <w:lang w:val="pt-BR"/>
        </w:rPr>
        <w:t xml:space="preserve">O princípio da dependência é consagrado no artigo 384.º, ao estabelecer que o procedimento cautelar é sempre uma dependência da acção principal. Pode ser instaurado como </w:t>
      </w:r>
      <w:r w:rsidRPr="3465A9C1" w:rsidR="79FE4865">
        <w:rPr>
          <w:rFonts w:ascii="Times New Roman" w:hAnsi="Times New Roman" w:eastAsia="Times New Roman" w:cs="Times New Roman"/>
          <w:b w:val="1"/>
          <w:bCs w:val="1"/>
          <w:noProof w:val="0"/>
          <w:sz w:val="24"/>
          <w:szCs w:val="24"/>
          <w:lang w:val="pt-BR"/>
        </w:rPr>
        <w:t>preliminar</w:t>
      </w:r>
      <w:r w:rsidRPr="3465A9C1" w:rsidR="79FE4865">
        <w:rPr>
          <w:rFonts w:ascii="Times New Roman" w:hAnsi="Times New Roman" w:eastAsia="Times New Roman" w:cs="Times New Roman"/>
          <w:noProof w:val="0"/>
          <w:sz w:val="24"/>
          <w:szCs w:val="24"/>
          <w:lang w:val="pt-BR"/>
        </w:rPr>
        <w:t xml:space="preserve"> (antes da acção) ou como </w:t>
      </w:r>
      <w:r w:rsidRPr="3465A9C1" w:rsidR="79FE4865">
        <w:rPr>
          <w:rFonts w:ascii="Times New Roman" w:hAnsi="Times New Roman" w:eastAsia="Times New Roman" w:cs="Times New Roman"/>
          <w:b w:val="1"/>
          <w:bCs w:val="1"/>
          <w:noProof w:val="0"/>
          <w:sz w:val="24"/>
          <w:szCs w:val="24"/>
          <w:lang w:val="pt-BR"/>
        </w:rPr>
        <w:t>incidente</w:t>
      </w:r>
      <w:r w:rsidRPr="3465A9C1" w:rsidR="79FE4865">
        <w:rPr>
          <w:rFonts w:ascii="Times New Roman" w:hAnsi="Times New Roman" w:eastAsia="Times New Roman" w:cs="Times New Roman"/>
          <w:noProof w:val="0"/>
          <w:sz w:val="24"/>
          <w:szCs w:val="24"/>
          <w:lang w:val="pt-BR"/>
        </w:rPr>
        <w:t xml:space="preserve"> (durante a acção). Se for instaurado antes, deve ser apensado ao processo da acção principal assim que esta for intentada, concentrando a competência decisória no juiz da causa.</w:t>
      </w:r>
    </w:p>
    <w:p xmlns:wp14="http://schemas.microsoft.com/office/word/2010/wordml" w:rsidP="3465A9C1" wp14:paraId="39BCFC48" wp14:textId="0D95417D">
      <w:pPr>
        <w:pStyle w:val="Heading2"/>
        <w:rPr>
          <w:noProof w:val="0"/>
          <w:lang w:val="pt-BR"/>
        </w:rPr>
      </w:pPr>
      <w:bookmarkStart w:name="_Toc360266440" w:id="2031161543"/>
      <w:r w:rsidRPr="3465A9C1" w:rsidR="79FE4865">
        <w:rPr>
          <w:noProof w:val="0"/>
          <w:lang w:val="pt-BR"/>
        </w:rPr>
        <w:t>3.5. Audiência do Requerido e Contraditório (Art. 385.º)</w:t>
      </w:r>
      <w:bookmarkEnd w:id="2031161543"/>
    </w:p>
    <w:p xmlns:wp14="http://schemas.microsoft.com/office/word/2010/wordml" w:rsidP="3465A9C1" wp14:paraId="31CBB72D" wp14:textId="41DD0CD7">
      <w:pPr>
        <w:spacing w:before="240" w:beforeAutospacing="off" w:after="240" w:afterAutospacing="off"/>
        <w:jc w:val="both"/>
      </w:pPr>
      <w:r w:rsidRPr="3465A9C1" w:rsidR="79FE4865">
        <w:rPr>
          <w:rFonts w:ascii="Times New Roman" w:hAnsi="Times New Roman" w:eastAsia="Times New Roman" w:cs="Times New Roman"/>
          <w:noProof w:val="0"/>
          <w:sz w:val="24"/>
          <w:szCs w:val="24"/>
          <w:lang w:val="pt-BR"/>
        </w:rPr>
        <w:t xml:space="preserve">O princípio do contraditório, embora mitigado pela urgência, é uma pedra angular do procedimento. O artigo 385.º prevê que, sempre que a providência não exija uma decisão imediata, o requerido é chamado (por citação ou notificação) para se pronunciar. Nos casos em que a providência é decretada </w:t>
      </w:r>
      <w:r w:rsidRPr="3465A9C1" w:rsidR="79FE4865">
        <w:rPr>
          <w:rFonts w:ascii="Times New Roman" w:hAnsi="Times New Roman" w:eastAsia="Times New Roman" w:cs="Times New Roman"/>
          <w:i w:val="1"/>
          <w:iCs w:val="1"/>
          <w:noProof w:val="0"/>
          <w:sz w:val="24"/>
          <w:szCs w:val="24"/>
          <w:lang w:val="pt-BR"/>
        </w:rPr>
        <w:t>inaudita altera parte</w:t>
      </w:r>
      <w:r w:rsidRPr="3465A9C1" w:rsidR="79FE4865">
        <w:rPr>
          <w:rFonts w:ascii="Times New Roman" w:hAnsi="Times New Roman" w:eastAsia="Times New Roman" w:cs="Times New Roman"/>
          <w:noProof w:val="0"/>
          <w:sz w:val="24"/>
          <w:szCs w:val="24"/>
          <w:lang w:val="pt-BR"/>
        </w:rPr>
        <w:t>, a lei confere ao requerido o direito de, posteriormente, deduzir embargos, garantindo a sua defesa e o reexame da decisão.</w:t>
      </w:r>
    </w:p>
    <w:p xmlns:wp14="http://schemas.microsoft.com/office/word/2010/wordml" w:rsidP="3465A9C1" wp14:paraId="321AAFB2" wp14:textId="45AF3923">
      <w:pPr>
        <w:pStyle w:val="Heading1"/>
        <w:rPr>
          <w:noProof w:val="0"/>
          <w:lang w:val="pt-BR"/>
        </w:rPr>
      </w:pPr>
      <w:bookmarkStart w:name="_Toc1611297307" w:id="453643160"/>
      <w:r w:rsidRPr="3465A9C1" w:rsidR="79FE4865">
        <w:rPr>
          <w:noProof w:val="0"/>
          <w:lang w:val="pt-BR"/>
        </w:rPr>
        <w:t>4. ESPÉCIES DE PROCEDIMENTOS CAUTELARES</w:t>
      </w:r>
      <w:bookmarkEnd w:id="453643160"/>
    </w:p>
    <w:p xmlns:wp14="http://schemas.microsoft.com/office/word/2010/wordml" w:rsidP="3465A9C1" wp14:paraId="57A31560" wp14:textId="60AAD792">
      <w:pPr>
        <w:spacing w:before="240" w:beforeAutospacing="off" w:after="240" w:afterAutospacing="off"/>
        <w:jc w:val="both"/>
      </w:pPr>
      <w:r w:rsidRPr="3465A9C1" w:rsidR="79FE4865">
        <w:rPr>
          <w:rFonts w:ascii="Times New Roman" w:hAnsi="Times New Roman" w:eastAsia="Times New Roman" w:cs="Times New Roman"/>
          <w:noProof w:val="0"/>
          <w:sz w:val="24"/>
          <w:szCs w:val="24"/>
          <w:lang w:val="pt-BR"/>
        </w:rPr>
        <w:t>O Código regula um elenco de providências cautelares específicas, cada uma com a sua finalidade e procedimento próprios.</w:t>
      </w:r>
    </w:p>
    <w:p xmlns:wp14="http://schemas.microsoft.com/office/word/2010/wordml" w:rsidP="3465A9C1" wp14:paraId="792CA4D9" wp14:textId="744AAF7E">
      <w:pPr>
        <w:pStyle w:val="Heading2"/>
        <w:rPr>
          <w:noProof w:val="0"/>
          <w:lang w:val="pt-BR"/>
        </w:rPr>
      </w:pPr>
      <w:bookmarkStart w:name="_Toc1368419819" w:id="601611747"/>
      <w:r w:rsidRPr="3465A9C1" w:rsidR="79FE4865">
        <w:rPr>
          <w:noProof w:val="0"/>
          <w:lang w:val="pt-BR"/>
        </w:rPr>
        <w:t>4.1. Alimentos Provisórios (Arts. 388.º a 392.º)</w:t>
      </w:r>
      <w:bookmarkEnd w:id="601611747"/>
    </w:p>
    <w:p xmlns:wp14="http://schemas.microsoft.com/office/word/2010/wordml" w:rsidP="3465A9C1" wp14:paraId="15EA8E20" wp14:textId="304AE05D">
      <w:pPr>
        <w:spacing w:before="240" w:beforeAutospacing="off" w:after="240" w:afterAutospacing="off"/>
        <w:jc w:val="both"/>
      </w:pPr>
      <w:r w:rsidRPr="3465A9C1" w:rsidR="79FE4865">
        <w:rPr>
          <w:rFonts w:ascii="Times New Roman" w:hAnsi="Times New Roman" w:eastAsia="Times New Roman" w:cs="Times New Roman"/>
          <w:noProof w:val="0"/>
          <w:sz w:val="24"/>
          <w:szCs w:val="24"/>
          <w:lang w:val="pt-BR"/>
        </w:rPr>
        <w:t>Este procedimento visa assegurar a fixação de uma prestação alimentícia provisória a favor do autor, enquanto se aguarda a decisão final da acção de alimentos.</w:t>
      </w:r>
    </w:p>
    <w:p xmlns:wp14="http://schemas.microsoft.com/office/word/2010/wordml" w:rsidP="3465A9C1" wp14:paraId="4BAB34FF" wp14:textId="07B4733B">
      <w:pPr>
        <w:spacing w:before="240" w:beforeAutospacing="off" w:after="240" w:afterAutospacing="off"/>
        <w:jc w:val="both"/>
      </w:pPr>
      <w:r w:rsidRPr="3465A9C1" w:rsidR="79FE4865">
        <w:rPr>
          <w:rFonts w:ascii="Times New Roman" w:hAnsi="Times New Roman" w:eastAsia="Times New Roman" w:cs="Times New Roman"/>
          <w:noProof w:val="0"/>
          <w:sz w:val="24"/>
          <w:szCs w:val="24"/>
          <w:lang w:val="pt-BR"/>
        </w:rPr>
        <w:t>O seu processo é célere e simplificado. O requerente deduz o pedido, e o réu é citado para comparecer pessoalmente numa audiência, podendo ser advertido das consequências da sua falta (art. 389.º). A contestação é oral e o juiz, após tentativa de conciliação, ordena a produção da prova (essencialmente documental e testemunhal) e decide com base na sua convicção, fixando a prestação. A celeridade e a natureza da decisão são justificadas pela necessidade de garantir a subsistência do alimentando, que é um direito fundamental.</w:t>
      </w:r>
    </w:p>
    <w:p xmlns:wp14="http://schemas.microsoft.com/office/word/2010/wordml" w:rsidP="3465A9C1" wp14:paraId="2481D199" wp14:textId="4E872F55">
      <w:pPr>
        <w:pStyle w:val="Heading2"/>
        <w:rPr>
          <w:noProof w:val="0"/>
          <w:lang w:val="pt-BR"/>
        </w:rPr>
      </w:pPr>
      <w:bookmarkStart w:name="_Toc651389383" w:id="1116560260"/>
      <w:r w:rsidRPr="3465A9C1" w:rsidR="79FE4865">
        <w:rPr>
          <w:noProof w:val="0"/>
          <w:lang w:val="pt-BR"/>
        </w:rPr>
        <w:t>4.2. Restituição Provisória de Posse (Arts. 393.º a 395.º)</w:t>
      </w:r>
      <w:bookmarkEnd w:id="1116560260"/>
    </w:p>
    <w:p xmlns:wp14="http://schemas.microsoft.com/office/word/2010/wordml" w:rsidP="3465A9C1" wp14:paraId="32AB502B" wp14:textId="6ABD542D">
      <w:pPr>
        <w:spacing w:before="240" w:beforeAutospacing="off" w:after="240" w:afterAutospacing="off"/>
        <w:jc w:val="both"/>
      </w:pPr>
      <w:r w:rsidRPr="3465A9C1" w:rsidR="79FE4865">
        <w:rPr>
          <w:rFonts w:ascii="Times New Roman" w:hAnsi="Times New Roman" w:eastAsia="Times New Roman" w:cs="Times New Roman"/>
          <w:noProof w:val="0"/>
          <w:sz w:val="24"/>
          <w:szCs w:val="24"/>
          <w:lang w:val="pt-BR"/>
        </w:rPr>
        <w:t>No caso de esbulho violento, o possuidor pode pedir a restituição provisória da posse, mesmo antes da propositura da acção possessória. O juiz, examinando sumariamente a prova produzida, pode ordenar a restituição sem sequer ouvir o esbulhador, tal é a gravidade da ofensa à posse e a necessidade de uma resposta imediata do Estado de Direito. A lei admite, porém, que o requerido, após ser citado para a acção, agrave do despacho que ordenou a restituição.</w:t>
      </w:r>
    </w:p>
    <w:p xmlns:wp14="http://schemas.microsoft.com/office/word/2010/wordml" w:rsidP="3465A9C1" wp14:paraId="24EB9913" wp14:textId="03252BBB">
      <w:pPr>
        <w:pStyle w:val="Heading2"/>
        <w:rPr>
          <w:noProof w:val="0"/>
          <w:lang w:val="pt-BR"/>
        </w:rPr>
      </w:pPr>
      <w:bookmarkStart w:name="_Toc1248544353" w:id="1354706326"/>
      <w:r w:rsidRPr="3465A9C1" w:rsidR="79FE4865">
        <w:rPr>
          <w:noProof w:val="0"/>
          <w:lang w:val="pt-BR"/>
        </w:rPr>
        <w:t>4.3. Suspensão de Deliberações Sociais (Arts. 396.º a 398.º)</w:t>
      </w:r>
      <w:bookmarkEnd w:id="1354706326"/>
    </w:p>
    <w:p xmlns:wp14="http://schemas.microsoft.com/office/word/2010/wordml" w:rsidP="3465A9C1" wp14:paraId="2498A92F" wp14:textId="42DDF178">
      <w:pPr>
        <w:spacing w:before="240" w:beforeAutospacing="off" w:after="240" w:afterAutospacing="off"/>
        <w:jc w:val="both"/>
      </w:pPr>
      <w:r w:rsidRPr="3465A9C1" w:rsidR="79FE4865">
        <w:rPr>
          <w:rFonts w:ascii="Times New Roman" w:hAnsi="Times New Roman" w:eastAsia="Times New Roman" w:cs="Times New Roman"/>
          <w:noProof w:val="0"/>
          <w:sz w:val="24"/>
          <w:szCs w:val="24"/>
          <w:lang w:val="pt-BR"/>
        </w:rPr>
        <w:t>Os artigos 396.º a 398.º disciplinam a suspensão de deliberações de associações, sociedades ou de condóminos. Qualquer sócio ou condómino pode requerer a suspensão, no prazo de cinco dias, caso a deliberação seja contrária à lei ou aos estatutos e possa causar dano apreciável. Este procedimento, uma vez mais, visa garantir a tutela dos direitos dos associados ou condóminos que se sintam lesados por uma decisão da maioria.</w:t>
      </w:r>
    </w:p>
    <w:p xmlns:wp14="http://schemas.microsoft.com/office/word/2010/wordml" w:rsidP="3465A9C1" wp14:paraId="0BFF2179" wp14:textId="13EC6A1C">
      <w:pPr>
        <w:pStyle w:val="Heading2"/>
        <w:rPr>
          <w:noProof w:val="0"/>
          <w:lang w:val="pt-BR"/>
        </w:rPr>
      </w:pPr>
      <w:bookmarkStart w:name="_Toc2011876577" w:id="386942689"/>
      <w:r w:rsidRPr="3465A9C1" w:rsidR="79FE4865">
        <w:rPr>
          <w:noProof w:val="0"/>
          <w:lang w:val="pt-BR"/>
        </w:rPr>
        <w:t>4.4. Providências Cautelares Não Especificadas (Arts. 399.º a 401.º)</w:t>
      </w:r>
      <w:bookmarkEnd w:id="386942689"/>
    </w:p>
    <w:p xmlns:wp14="http://schemas.microsoft.com/office/word/2010/wordml" w:rsidP="3465A9C1" wp14:paraId="014ED014" wp14:textId="4EB6929B">
      <w:pPr>
        <w:spacing w:before="240" w:beforeAutospacing="off" w:after="240" w:afterAutospacing="off"/>
        <w:jc w:val="both"/>
      </w:pPr>
      <w:r w:rsidRPr="3465A9C1" w:rsidR="79FE4865">
        <w:rPr>
          <w:rFonts w:ascii="Times New Roman" w:hAnsi="Times New Roman" w:eastAsia="Times New Roman" w:cs="Times New Roman"/>
          <w:noProof w:val="0"/>
          <w:sz w:val="24"/>
          <w:szCs w:val="24"/>
          <w:lang w:val="pt-BR"/>
        </w:rPr>
        <w:t>Este é um dos institutos de maior relevo e flexibilidade. Atuando como uma "cláusula geral" de tutela cautelar, o artigo 399.º permite que se requeiram as providências adequadas à situação quando nenhum dos procedimentos específicos se convier.</w:t>
      </w:r>
    </w:p>
    <w:p xmlns:wp14="http://schemas.microsoft.com/office/word/2010/wordml" w:rsidP="3465A9C1" wp14:paraId="354EB05B" wp14:textId="4D0D7C60">
      <w:pPr>
        <w:spacing w:before="240" w:beforeAutospacing="off" w:after="240" w:afterAutospacing="off"/>
        <w:jc w:val="both"/>
      </w:pPr>
      <w:r w:rsidRPr="3465A9C1" w:rsidR="79FE4865">
        <w:rPr>
          <w:rFonts w:ascii="Times New Roman" w:hAnsi="Times New Roman" w:eastAsia="Times New Roman" w:cs="Times New Roman"/>
          <w:noProof w:val="0"/>
          <w:sz w:val="24"/>
          <w:szCs w:val="24"/>
          <w:lang w:val="pt-BR"/>
        </w:rPr>
        <w:t xml:space="preserve">A sua utilidade reside em colmatar lacunas, protegendo direitos que, de outra forma, ficariam desprotegidos. A sua concessão depende da verificação de </w:t>
      </w:r>
      <w:r w:rsidRPr="3465A9C1" w:rsidR="79FE4865">
        <w:rPr>
          <w:rFonts w:ascii="Times New Roman" w:hAnsi="Times New Roman" w:eastAsia="Times New Roman" w:cs="Times New Roman"/>
          <w:b w:val="1"/>
          <w:bCs w:val="1"/>
          <w:noProof w:val="0"/>
          <w:sz w:val="24"/>
          <w:szCs w:val="24"/>
          <w:lang w:val="pt-BR"/>
        </w:rPr>
        <w:t>dois requisitos cumulativos</w:t>
      </w:r>
      <w:r w:rsidRPr="3465A9C1" w:rsidR="79FE4865">
        <w:rPr>
          <w:rFonts w:ascii="Times New Roman" w:hAnsi="Times New Roman" w:eastAsia="Times New Roman" w:cs="Times New Roman"/>
          <w:noProof w:val="0"/>
          <w:sz w:val="24"/>
          <w:szCs w:val="24"/>
          <w:lang w:val="pt-BR"/>
        </w:rPr>
        <w:t>:</w:t>
      </w:r>
    </w:p>
    <w:p xmlns:wp14="http://schemas.microsoft.com/office/word/2010/wordml" w:rsidP="3465A9C1" wp14:paraId="74AF54D0" wp14:textId="72B23CCA">
      <w:pPr>
        <w:pStyle w:val="ListParagraph"/>
        <w:numPr>
          <w:ilvl w:val="0"/>
          <w:numId w:val="1"/>
        </w:numPr>
        <w:spacing w:before="0" w:beforeAutospacing="off" w:after="0" w:afterAutospacing="off"/>
        <w:jc w:val="both"/>
        <w:rPr>
          <w:rFonts w:ascii="Times New Roman" w:hAnsi="Times New Roman" w:eastAsia="Times New Roman" w:cs="Times New Roman"/>
          <w:noProof w:val="0"/>
          <w:sz w:val="24"/>
          <w:szCs w:val="24"/>
          <w:lang w:val="pt-BR"/>
        </w:rPr>
      </w:pPr>
      <w:r w:rsidRPr="3465A9C1" w:rsidR="79FE4865">
        <w:rPr>
          <w:rFonts w:ascii="Times New Roman" w:hAnsi="Times New Roman" w:eastAsia="Times New Roman" w:cs="Times New Roman"/>
          <w:b w:val="1"/>
          <w:bCs w:val="1"/>
          <w:i w:val="1"/>
          <w:iCs w:val="1"/>
          <w:noProof w:val="0"/>
          <w:sz w:val="24"/>
          <w:szCs w:val="24"/>
          <w:lang w:val="pt-BR"/>
        </w:rPr>
        <w:t>Probabilidade séria da existência do direito</w:t>
      </w:r>
      <w:r w:rsidRPr="3465A9C1" w:rsidR="79FE4865">
        <w:rPr>
          <w:rFonts w:ascii="Times New Roman" w:hAnsi="Times New Roman" w:eastAsia="Times New Roman" w:cs="Times New Roman"/>
          <w:noProof w:val="0"/>
          <w:sz w:val="24"/>
          <w:szCs w:val="24"/>
          <w:lang w:val="pt-BR"/>
        </w:rPr>
        <w:t xml:space="preserve"> </w:t>
      </w:r>
      <w:r w:rsidRPr="3465A9C1" w:rsidR="79FE4865">
        <w:rPr>
          <w:rStyle w:val="SubtleReference"/>
          <w:noProof w:val="0"/>
          <w:lang w:val="pt-BR"/>
        </w:rPr>
        <w:t>(</w:t>
      </w:r>
      <w:r w:rsidRPr="3465A9C1" w:rsidR="79FE4865">
        <w:rPr>
          <w:rStyle w:val="SubtleReference"/>
          <w:noProof w:val="0"/>
          <w:lang w:val="pt-BR"/>
        </w:rPr>
        <w:t>fumus boni iuris</w:t>
      </w:r>
      <w:r w:rsidRPr="3465A9C1" w:rsidR="79FE4865">
        <w:rPr>
          <w:rStyle w:val="SubtleReference"/>
          <w:noProof w:val="0"/>
          <w:lang w:val="pt-BR"/>
        </w:rPr>
        <w:t>)</w:t>
      </w:r>
      <w:r w:rsidRPr="3465A9C1" w:rsidR="79FE4865">
        <w:rPr>
          <w:rFonts w:ascii="Times New Roman" w:hAnsi="Times New Roman" w:eastAsia="Times New Roman" w:cs="Times New Roman"/>
          <w:noProof w:val="0"/>
          <w:sz w:val="24"/>
          <w:szCs w:val="24"/>
          <w:lang w:val="pt-BR"/>
        </w:rPr>
        <w:t>.</w:t>
      </w:r>
    </w:p>
    <w:p xmlns:wp14="http://schemas.microsoft.com/office/word/2010/wordml" w:rsidP="3465A9C1" wp14:paraId="606AFE51" wp14:textId="3315BDD0">
      <w:pPr>
        <w:pStyle w:val="ListParagraph"/>
        <w:numPr>
          <w:ilvl w:val="0"/>
          <w:numId w:val="1"/>
        </w:numPr>
        <w:spacing w:before="0" w:beforeAutospacing="off" w:after="0" w:afterAutospacing="off"/>
        <w:jc w:val="both"/>
        <w:rPr>
          <w:rFonts w:ascii="Times New Roman" w:hAnsi="Times New Roman" w:eastAsia="Times New Roman" w:cs="Times New Roman"/>
          <w:noProof w:val="0"/>
          <w:sz w:val="24"/>
          <w:szCs w:val="24"/>
          <w:lang w:val="pt-BR"/>
        </w:rPr>
      </w:pPr>
      <w:r w:rsidRPr="3465A9C1" w:rsidR="79FE4865">
        <w:rPr>
          <w:rFonts w:ascii="Times New Roman" w:hAnsi="Times New Roman" w:eastAsia="Times New Roman" w:cs="Times New Roman"/>
          <w:b w:val="1"/>
          <w:bCs w:val="1"/>
          <w:i w:val="1"/>
          <w:iCs w:val="1"/>
          <w:noProof w:val="0"/>
          <w:sz w:val="24"/>
          <w:szCs w:val="24"/>
          <w:lang w:val="pt-BR"/>
        </w:rPr>
        <w:t>Fundado receio de lesão grave e dificilmente reparável</w:t>
      </w:r>
      <w:r w:rsidRPr="3465A9C1" w:rsidR="79FE4865">
        <w:rPr>
          <w:rFonts w:ascii="Times New Roman" w:hAnsi="Times New Roman" w:eastAsia="Times New Roman" w:cs="Times New Roman"/>
          <w:noProof w:val="0"/>
          <w:sz w:val="24"/>
          <w:szCs w:val="24"/>
          <w:lang w:val="pt-BR"/>
        </w:rPr>
        <w:t xml:space="preserve"> </w:t>
      </w:r>
      <w:r w:rsidRPr="3465A9C1" w:rsidR="79FE4865">
        <w:rPr>
          <w:rStyle w:val="SubtleReference"/>
          <w:noProof w:val="0"/>
          <w:lang w:val="pt-BR"/>
        </w:rPr>
        <w:t>(</w:t>
      </w:r>
      <w:r w:rsidRPr="3465A9C1" w:rsidR="79FE4865">
        <w:rPr>
          <w:rStyle w:val="SubtleReference"/>
          <w:noProof w:val="0"/>
          <w:lang w:val="pt-BR"/>
        </w:rPr>
        <w:t>periculum in mora</w:t>
      </w:r>
      <w:r w:rsidRPr="3465A9C1" w:rsidR="79FE4865">
        <w:rPr>
          <w:rStyle w:val="SubtleReference"/>
          <w:noProof w:val="0"/>
          <w:lang w:val="pt-BR"/>
        </w:rPr>
        <w:t>)</w:t>
      </w:r>
      <w:r w:rsidRPr="3465A9C1" w:rsidR="79FE4865">
        <w:rPr>
          <w:rFonts w:ascii="Times New Roman" w:hAnsi="Times New Roman" w:eastAsia="Times New Roman" w:cs="Times New Roman"/>
          <w:noProof w:val="0"/>
          <w:sz w:val="24"/>
          <w:szCs w:val="24"/>
          <w:lang w:val="pt-BR"/>
        </w:rPr>
        <w:t>.</w:t>
      </w:r>
    </w:p>
    <w:p xmlns:wp14="http://schemas.microsoft.com/office/word/2010/wordml" w:rsidP="3465A9C1" wp14:paraId="52C52D3E" wp14:textId="5E8AE02C">
      <w:pPr>
        <w:spacing w:before="240" w:beforeAutospacing="off" w:after="240" w:afterAutospacing="off"/>
        <w:jc w:val="both"/>
      </w:pPr>
      <w:r w:rsidRPr="3465A9C1" w:rsidR="79FE4865">
        <w:rPr>
          <w:rFonts w:ascii="Times New Roman" w:hAnsi="Times New Roman" w:eastAsia="Times New Roman" w:cs="Times New Roman"/>
          <w:noProof w:val="0"/>
          <w:sz w:val="24"/>
          <w:szCs w:val="24"/>
          <w:lang w:val="pt-BR"/>
        </w:rPr>
        <w:t>O juiz, ao decretar a providência, tem amplos poderes para moldar a medida à situação concreta, desde a intimação para abstenção de conduta até à entrega de bens a um depositário. Existe ainda a possibilidade de, a pedido do réu, a providência ser substituída por caução, desde que esta se mostre suficiente para prevenir a lesão.</w:t>
      </w:r>
    </w:p>
    <w:p xmlns:wp14="http://schemas.microsoft.com/office/word/2010/wordml" w:rsidP="3465A9C1" wp14:paraId="6C549D7B" wp14:textId="1D8B4C1D">
      <w:pPr>
        <w:pStyle w:val="Heading2"/>
        <w:rPr>
          <w:noProof w:val="0"/>
          <w:lang w:val="pt-BR"/>
        </w:rPr>
      </w:pPr>
      <w:bookmarkStart w:name="_Toc2081208506" w:id="1120209524"/>
      <w:r w:rsidRPr="3465A9C1" w:rsidR="79FE4865">
        <w:rPr>
          <w:noProof w:val="0"/>
          <w:lang w:val="pt-BR"/>
        </w:rPr>
        <w:t>4.5. Arresto (Arts. 402.º a 411.º)</w:t>
      </w:r>
      <w:bookmarkEnd w:id="1120209524"/>
    </w:p>
    <w:p xmlns:wp14="http://schemas.microsoft.com/office/word/2010/wordml" w:rsidP="3465A9C1" wp14:paraId="4BF171A9" wp14:textId="6E1AC0D9">
      <w:pPr>
        <w:spacing w:before="240" w:beforeAutospacing="off" w:after="240" w:afterAutospacing="off"/>
        <w:jc w:val="both"/>
      </w:pPr>
      <w:r w:rsidRPr="3465A9C1" w:rsidR="79FE4865">
        <w:rPr>
          <w:rFonts w:ascii="Times New Roman" w:hAnsi="Times New Roman" w:eastAsia="Times New Roman" w:cs="Times New Roman"/>
          <w:noProof w:val="0"/>
          <w:sz w:val="24"/>
          <w:szCs w:val="24"/>
          <w:lang w:val="pt-BR"/>
        </w:rPr>
        <w:t>O arresto é uma providência que consiste na apreensão judicial de bens, com o objetivo de garantir a futura execução de um crédito. O Código distingue duas modalidades principais:</w:t>
      </w:r>
    </w:p>
    <w:p xmlns:wp14="http://schemas.microsoft.com/office/word/2010/wordml" w:rsidP="3465A9C1" wp14:paraId="6318D5C2" wp14:textId="07522855">
      <w:pPr>
        <w:pStyle w:val="ListParagraph"/>
        <w:numPr>
          <w:ilvl w:val="0"/>
          <w:numId w:val="6"/>
        </w:numPr>
        <w:spacing w:before="0" w:beforeAutospacing="off" w:after="0" w:afterAutospacing="off"/>
        <w:jc w:val="both"/>
        <w:rPr>
          <w:rFonts w:ascii="Times New Roman" w:hAnsi="Times New Roman" w:eastAsia="Times New Roman" w:cs="Times New Roman"/>
          <w:noProof w:val="0"/>
          <w:sz w:val="24"/>
          <w:szCs w:val="24"/>
          <w:lang w:val="pt-BR"/>
        </w:rPr>
      </w:pPr>
      <w:r w:rsidRPr="3465A9C1" w:rsidR="79FE4865">
        <w:rPr>
          <w:rFonts w:ascii="Times New Roman" w:hAnsi="Times New Roman" w:eastAsia="Times New Roman" w:cs="Times New Roman"/>
          <w:b w:val="1"/>
          <w:bCs w:val="1"/>
          <w:noProof w:val="0"/>
          <w:sz w:val="24"/>
          <w:szCs w:val="24"/>
          <w:lang w:val="pt-BR"/>
        </w:rPr>
        <w:t>Arresto Preventivo (Art. 403.º):</w:t>
      </w:r>
      <w:r w:rsidRPr="3465A9C1" w:rsidR="79FE4865">
        <w:rPr>
          <w:rFonts w:ascii="Times New Roman" w:hAnsi="Times New Roman" w:eastAsia="Times New Roman" w:cs="Times New Roman"/>
          <w:noProof w:val="0"/>
          <w:sz w:val="24"/>
          <w:szCs w:val="24"/>
          <w:lang w:val="pt-BR"/>
        </w:rPr>
        <w:t xml:space="preserve"> Fundado no receio da perda da garantia patrimonial. O requerente deve provar a </w:t>
      </w:r>
      <w:r w:rsidRPr="3465A9C1" w:rsidR="028298A2">
        <w:rPr>
          <w:rFonts w:ascii="Times New Roman" w:hAnsi="Times New Roman" w:eastAsia="Times New Roman" w:cs="Times New Roman"/>
          <w:noProof w:val="0"/>
          <w:sz w:val="24"/>
          <w:szCs w:val="24"/>
          <w:lang w:val="pt-BR"/>
        </w:rPr>
        <w:t>verossimilhança</w:t>
      </w:r>
      <w:r w:rsidRPr="3465A9C1" w:rsidR="79FE4865">
        <w:rPr>
          <w:rFonts w:ascii="Times New Roman" w:hAnsi="Times New Roman" w:eastAsia="Times New Roman" w:cs="Times New Roman"/>
          <w:noProof w:val="0"/>
          <w:sz w:val="24"/>
          <w:szCs w:val="24"/>
          <w:lang w:val="pt-BR"/>
        </w:rPr>
        <w:t xml:space="preserve"> da dívida e o justo receio de insolvência ou ocultação de bens. Esta nova redacção, referida no preâmbulo, substitui a exigência anterior da "certeza da dívida", que era demasiado rígida, por uma prova de </w:t>
      </w:r>
      <w:r w:rsidRPr="3465A9C1" w:rsidR="6D267E8B">
        <w:rPr>
          <w:rFonts w:ascii="Times New Roman" w:hAnsi="Times New Roman" w:eastAsia="Times New Roman" w:cs="Times New Roman"/>
          <w:i w:val="1"/>
          <w:iCs w:val="1"/>
          <w:noProof w:val="0"/>
          <w:sz w:val="24"/>
          <w:szCs w:val="24"/>
          <w:lang w:val="pt-BR"/>
        </w:rPr>
        <w:t>verossimilhança</w:t>
      </w:r>
      <w:r w:rsidRPr="3465A9C1" w:rsidR="79FE4865">
        <w:rPr>
          <w:rFonts w:ascii="Times New Roman" w:hAnsi="Times New Roman" w:eastAsia="Times New Roman" w:cs="Times New Roman"/>
          <w:noProof w:val="0"/>
          <w:sz w:val="24"/>
          <w:szCs w:val="24"/>
          <w:lang w:val="pt-BR"/>
        </w:rPr>
        <w:t>, mais adequada à natureza sumária do procedimento.</w:t>
      </w:r>
    </w:p>
    <w:p xmlns:wp14="http://schemas.microsoft.com/office/word/2010/wordml" w:rsidP="3465A9C1" wp14:paraId="72253C6F" wp14:textId="1B82B4A6">
      <w:pPr>
        <w:pStyle w:val="ListParagraph"/>
        <w:numPr>
          <w:ilvl w:val="0"/>
          <w:numId w:val="6"/>
        </w:numPr>
        <w:spacing w:before="0" w:beforeAutospacing="off" w:after="0" w:afterAutospacing="off"/>
        <w:jc w:val="both"/>
        <w:rPr>
          <w:rFonts w:ascii="Times New Roman" w:hAnsi="Times New Roman" w:eastAsia="Times New Roman" w:cs="Times New Roman"/>
          <w:noProof w:val="0"/>
          <w:sz w:val="24"/>
          <w:szCs w:val="24"/>
          <w:lang w:val="pt-BR"/>
        </w:rPr>
      </w:pPr>
      <w:r w:rsidRPr="3465A9C1" w:rsidR="79FE4865">
        <w:rPr>
          <w:rFonts w:ascii="Times New Roman" w:hAnsi="Times New Roman" w:eastAsia="Times New Roman" w:cs="Times New Roman"/>
          <w:b w:val="1"/>
          <w:bCs w:val="1"/>
          <w:noProof w:val="0"/>
          <w:sz w:val="24"/>
          <w:szCs w:val="24"/>
          <w:lang w:val="pt-BR"/>
        </w:rPr>
        <w:t>Arresto Repressivo (Art. 407.º):</w:t>
      </w:r>
      <w:r w:rsidRPr="3465A9C1" w:rsidR="79FE4865">
        <w:rPr>
          <w:rFonts w:ascii="Times New Roman" w:hAnsi="Times New Roman" w:eastAsia="Times New Roman" w:cs="Times New Roman"/>
          <w:noProof w:val="0"/>
          <w:sz w:val="24"/>
          <w:szCs w:val="24"/>
          <w:lang w:val="pt-BR"/>
        </w:rPr>
        <w:t xml:space="preserve"> Tem como fundamento a contrafação ou uso ilegal de marcas industriais ou comerciais. O requerente limita-se a provar a sua propriedade industrial e o facto ofensivo.</w:t>
      </w:r>
    </w:p>
    <w:p xmlns:wp14="http://schemas.microsoft.com/office/word/2010/wordml" w:rsidP="3465A9C1" wp14:paraId="02112088" wp14:textId="61078270">
      <w:pPr>
        <w:spacing w:before="240" w:beforeAutospacing="off" w:after="240" w:afterAutospacing="off"/>
        <w:jc w:val="both"/>
      </w:pPr>
      <w:r w:rsidRPr="3465A9C1" w:rsidR="79FE4865">
        <w:rPr>
          <w:rFonts w:ascii="Times New Roman" w:hAnsi="Times New Roman" w:eastAsia="Times New Roman" w:cs="Times New Roman"/>
          <w:noProof w:val="0"/>
          <w:sz w:val="24"/>
          <w:szCs w:val="24"/>
          <w:lang w:val="pt-BR"/>
        </w:rPr>
        <w:t>O procedimento é igualmente célere. O arresto é decretado sem audiência da parte contrária, por despacho do juiz, após exame das provas. O artigo 405.º concede ao arrestado a possibilidade de reagir por dois meios concorrentes: o agravo e os embargos.</w:t>
      </w:r>
    </w:p>
    <w:p xmlns:wp14="http://schemas.microsoft.com/office/word/2010/wordml" w:rsidP="3465A9C1" wp14:paraId="133D4BCB" wp14:textId="6BA7458B">
      <w:pPr>
        <w:pStyle w:val="Heading2"/>
        <w:rPr>
          <w:noProof w:val="0"/>
          <w:lang w:val="pt-BR"/>
        </w:rPr>
      </w:pPr>
      <w:bookmarkStart w:name="_Toc960873761" w:id="1264052530"/>
      <w:r w:rsidRPr="3465A9C1" w:rsidR="79FE4865">
        <w:rPr>
          <w:noProof w:val="0"/>
          <w:lang w:val="pt-BR"/>
        </w:rPr>
        <w:t>4.6. Embargos de Obra Nova (Arts. 412.º a 420.º)</w:t>
      </w:r>
      <w:bookmarkEnd w:id="1264052530"/>
    </w:p>
    <w:p xmlns:wp14="http://schemas.microsoft.com/office/word/2010/wordml" w:rsidP="3465A9C1" wp14:paraId="0445133D" wp14:textId="47C50A3E">
      <w:pPr>
        <w:spacing w:before="240" w:beforeAutospacing="off" w:after="240" w:afterAutospacing="off"/>
        <w:jc w:val="both"/>
      </w:pPr>
      <w:r w:rsidRPr="3465A9C1" w:rsidR="79FE4865">
        <w:rPr>
          <w:rFonts w:ascii="Times New Roman" w:hAnsi="Times New Roman" w:eastAsia="Times New Roman" w:cs="Times New Roman"/>
          <w:noProof w:val="0"/>
          <w:sz w:val="24"/>
          <w:szCs w:val="24"/>
          <w:lang w:val="pt-BR"/>
        </w:rPr>
        <w:t>Este procedimento visa impedir a continuação de uma obra, trabalho ou serviço novo que cause ou ameace causar prejuízo a um direito real de gozo ou à posse. O interessado pode requerer a suspensão imediata da obra no prazo de 30 dias a contar do conhecimento do facto. É ainda possível o embargo extrajudicial, com a obrigação de ratificação judicial dentro de 3 dias. O processo é simples e visa, acima de tudo, a proteção do direito do embargante, podendo a continuação da obra ser autorizada desde que mediante caução.</w:t>
      </w:r>
    </w:p>
    <w:p xmlns:wp14="http://schemas.microsoft.com/office/word/2010/wordml" w:rsidP="3465A9C1" wp14:paraId="2090E7F8" wp14:textId="6A7845DD">
      <w:pPr>
        <w:pStyle w:val="Heading2"/>
        <w:rPr>
          <w:noProof w:val="0"/>
          <w:lang w:val="pt-BR"/>
        </w:rPr>
      </w:pPr>
      <w:bookmarkStart w:name="_Toc1214483284" w:id="1839607008"/>
      <w:r w:rsidRPr="3465A9C1" w:rsidR="79FE4865">
        <w:rPr>
          <w:noProof w:val="0"/>
          <w:lang w:val="pt-BR"/>
        </w:rPr>
        <w:t>4.7. Arrolamento (Arts. 421.º a 427.º)</w:t>
      </w:r>
      <w:bookmarkEnd w:id="1839607008"/>
    </w:p>
    <w:p xmlns:wp14="http://schemas.microsoft.com/office/word/2010/wordml" w:rsidP="3465A9C1" wp14:paraId="1F6487AF" wp14:textId="7A8F66A8">
      <w:pPr>
        <w:spacing w:before="240" w:beforeAutospacing="off" w:after="240" w:afterAutospacing="off"/>
        <w:jc w:val="both"/>
      </w:pPr>
      <w:r w:rsidRPr="3465A9C1" w:rsidR="79FE4865">
        <w:rPr>
          <w:rFonts w:ascii="Times New Roman" w:hAnsi="Times New Roman" w:eastAsia="Times New Roman" w:cs="Times New Roman"/>
          <w:noProof w:val="0"/>
          <w:sz w:val="24"/>
          <w:szCs w:val="24"/>
          <w:lang w:val="pt-BR"/>
        </w:rPr>
        <w:t>O arrolamento tem como finalidade a descrição, avaliação e depósito de bens, móveis ou imóveis, ou documentos, quando existe o justo receio do seu extravio ou dissipação. O arrolamento pode ser requerido por qualquer pessoa com interesse na conservação dos bens.</w:t>
      </w:r>
    </w:p>
    <w:p xmlns:wp14="http://schemas.microsoft.com/office/word/2010/wordml" w:rsidP="3465A9C1" wp14:paraId="57276110" wp14:textId="2EB29FCE">
      <w:pPr>
        <w:spacing w:before="240" w:beforeAutospacing="off" w:after="240" w:afterAutospacing="off"/>
        <w:jc w:val="both"/>
      </w:pPr>
      <w:r w:rsidRPr="3465A9C1" w:rsidR="79FE4865">
        <w:rPr>
          <w:rFonts w:ascii="Times New Roman" w:hAnsi="Times New Roman" w:eastAsia="Times New Roman" w:cs="Times New Roman"/>
          <w:noProof w:val="0"/>
          <w:sz w:val="24"/>
          <w:szCs w:val="24"/>
          <w:lang w:val="pt-BR"/>
        </w:rPr>
        <w:t>O procedimento é mais detalhado, envolvendo a lavratura de um auto com a descrição minuciosa dos bens e, frequentemente, a nomeação de um depositário (que, em regra, é o próprio possuidor ou detentor dos bens). Este procedimento serve frequentemente como a</w:t>
      </w:r>
      <w:r w:rsidRPr="3465A9C1" w:rsidR="5E45C874">
        <w:rPr>
          <w:rFonts w:ascii="Times New Roman" w:hAnsi="Times New Roman" w:eastAsia="Times New Roman" w:cs="Times New Roman"/>
          <w:noProof w:val="0"/>
          <w:sz w:val="24"/>
          <w:szCs w:val="24"/>
          <w:lang w:val="pt-BR"/>
        </w:rPr>
        <w:t>c</w:t>
      </w:r>
      <w:r w:rsidRPr="3465A9C1" w:rsidR="79FE4865">
        <w:rPr>
          <w:rFonts w:ascii="Times New Roman" w:hAnsi="Times New Roman" w:eastAsia="Times New Roman" w:cs="Times New Roman"/>
          <w:noProof w:val="0"/>
          <w:sz w:val="24"/>
          <w:szCs w:val="24"/>
          <w:lang w:val="pt-BR"/>
        </w:rPr>
        <w:t>to preparatório para um inventário ou para a salvaguarda de bens em situações de litígio.</w:t>
      </w:r>
    </w:p>
    <w:p xmlns:wp14="http://schemas.microsoft.com/office/word/2010/wordml" w:rsidP="3465A9C1" wp14:paraId="23722C44" wp14:textId="7FAEFC08">
      <w:pPr>
        <w:pStyle w:val="Heading1"/>
        <w:rPr>
          <w:noProof w:val="0"/>
          <w:lang w:val="pt-BR"/>
        </w:rPr>
      </w:pPr>
      <w:bookmarkStart w:name="_Toc886225055" w:id="1057626064"/>
      <w:r w:rsidRPr="3465A9C1" w:rsidR="79FE4865">
        <w:rPr>
          <w:noProof w:val="0"/>
          <w:lang w:val="pt-BR"/>
        </w:rPr>
        <w:t>5. ARTIGOS ÚTEIS EXTRACAPÍTULO: UMA INTERPRETAÇÃO SISTEMÁTICA</w:t>
      </w:r>
      <w:bookmarkEnd w:id="1057626064"/>
    </w:p>
    <w:p xmlns:wp14="http://schemas.microsoft.com/office/word/2010/wordml" w:rsidP="3465A9C1" wp14:paraId="46DD2ADD" wp14:textId="4A841B65">
      <w:pPr>
        <w:spacing w:before="240" w:beforeAutospacing="off" w:after="240" w:afterAutospacing="off"/>
        <w:jc w:val="both"/>
      </w:pPr>
      <w:r w:rsidRPr="3465A9C1" w:rsidR="79FE4865">
        <w:rPr>
          <w:rFonts w:ascii="Times New Roman" w:hAnsi="Times New Roman" w:eastAsia="Times New Roman" w:cs="Times New Roman"/>
          <w:noProof w:val="0"/>
          <w:sz w:val="24"/>
          <w:szCs w:val="24"/>
          <w:lang w:val="pt-BR"/>
        </w:rPr>
        <w:t>A compreensão do Capítulo IV não se esgota nos seus artigos. A sua aplicação prática exige o recurso a outras disposições do Código, que, embora não pertençam formalmente ao capítulo, com ele estabelecem uma relação de complementaridade e coerência sistemática.</w:t>
      </w:r>
    </w:p>
    <w:p xmlns:wp14="http://schemas.microsoft.com/office/word/2010/wordml" w:rsidP="3465A9C1" wp14:paraId="4D964B11" wp14:textId="1CD81ECF">
      <w:pPr>
        <w:pStyle w:val="ListParagraph"/>
        <w:numPr>
          <w:ilvl w:val="0"/>
          <w:numId w:val="5"/>
        </w:numPr>
        <w:spacing w:before="240" w:beforeAutospacing="off" w:after="240" w:afterAutospacing="off"/>
        <w:jc w:val="both"/>
        <w:rPr>
          <w:rFonts w:ascii="Times New Roman" w:hAnsi="Times New Roman" w:eastAsia="Times New Roman" w:cs="Times New Roman"/>
          <w:noProof w:val="0"/>
          <w:sz w:val="24"/>
          <w:szCs w:val="24"/>
          <w:lang w:val="pt-BR"/>
        </w:rPr>
      </w:pPr>
      <w:r w:rsidRPr="3465A9C1" w:rsidR="79FE4865">
        <w:rPr>
          <w:rFonts w:ascii="Times New Roman" w:hAnsi="Times New Roman" w:eastAsia="Times New Roman" w:cs="Times New Roman"/>
          <w:b w:val="1"/>
          <w:bCs w:val="1"/>
          <w:noProof w:val="0"/>
          <w:sz w:val="24"/>
          <w:szCs w:val="24"/>
          <w:lang w:val="pt-BR"/>
        </w:rPr>
        <w:t>Artigos 228.º, 233.º, 234.º e 235.º (Citação e Notificação):</w:t>
      </w:r>
      <w:r w:rsidRPr="3465A9C1" w:rsidR="79FE4865">
        <w:rPr>
          <w:rFonts w:ascii="Times New Roman" w:hAnsi="Times New Roman" w:eastAsia="Times New Roman" w:cs="Times New Roman"/>
          <w:noProof w:val="0"/>
          <w:sz w:val="24"/>
          <w:szCs w:val="24"/>
          <w:lang w:val="pt-BR"/>
        </w:rPr>
        <w:t xml:space="preserve"> Estes artigos, que regulam os a</w:t>
      </w:r>
      <w:r w:rsidRPr="3465A9C1" w:rsidR="05CEB4A7">
        <w:rPr>
          <w:rFonts w:ascii="Times New Roman" w:hAnsi="Times New Roman" w:eastAsia="Times New Roman" w:cs="Times New Roman"/>
          <w:noProof w:val="0"/>
          <w:sz w:val="24"/>
          <w:szCs w:val="24"/>
          <w:lang w:val="pt-BR"/>
        </w:rPr>
        <w:t>c</w:t>
      </w:r>
      <w:r w:rsidRPr="3465A9C1" w:rsidR="79FE4865">
        <w:rPr>
          <w:rFonts w:ascii="Times New Roman" w:hAnsi="Times New Roman" w:eastAsia="Times New Roman" w:cs="Times New Roman"/>
          <w:noProof w:val="0"/>
          <w:sz w:val="24"/>
          <w:szCs w:val="24"/>
          <w:lang w:val="pt-BR"/>
        </w:rPr>
        <w:t xml:space="preserve">tos de comunicação processual, são de aplicação subsidiária aos procedimentos cautelares. A citação do requerido (ou a sua ausência, quando a providência é decretada </w:t>
      </w:r>
      <w:r w:rsidRPr="3465A9C1" w:rsidR="79FE4865">
        <w:rPr>
          <w:rFonts w:ascii="Times New Roman" w:hAnsi="Times New Roman" w:eastAsia="Times New Roman" w:cs="Times New Roman"/>
          <w:i w:val="1"/>
          <w:iCs w:val="1"/>
          <w:noProof w:val="0"/>
          <w:sz w:val="24"/>
          <w:szCs w:val="24"/>
          <w:lang w:val="pt-BR"/>
        </w:rPr>
        <w:t>inaudita altera parte</w:t>
      </w:r>
      <w:r w:rsidRPr="3465A9C1" w:rsidR="79FE4865">
        <w:rPr>
          <w:rFonts w:ascii="Times New Roman" w:hAnsi="Times New Roman" w:eastAsia="Times New Roman" w:cs="Times New Roman"/>
          <w:noProof w:val="0"/>
          <w:sz w:val="24"/>
          <w:szCs w:val="24"/>
          <w:lang w:val="pt-BR"/>
        </w:rPr>
        <w:t xml:space="preserve">) e a notificação da decisão são </w:t>
      </w:r>
      <w:r w:rsidRPr="3465A9C1" w:rsidR="79FE4865">
        <w:rPr>
          <w:rFonts w:ascii="Times New Roman" w:hAnsi="Times New Roman" w:eastAsia="Times New Roman" w:cs="Times New Roman"/>
          <w:noProof w:val="0"/>
          <w:sz w:val="24"/>
          <w:szCs w:val="24"/>
          <w:lang w:val="pt-BR"/>
        </w:rPr>
        <w:t>a</w:t>
      </w:r>
      <w:r w:rsidRPr="3465A9C1" w:rsidR="6BB1E441">
        <w:rPr>
          <w:rFonts w:ascii="Times New Roman" w:hAnsi="Times New Roman" w:eastAsia="Times New Roman" w:cs="Times New Roman"/>
          <w:noProof w:val="0"/>
          <w:sz w:val="24"/>
          <w:szCs w:val="24"/>
          <w:lang w:val="pt-BR"/>
        </w:rPr>
        <w:t>c</w:t>
      </w:r>
      <w:r w:rsidRPr="3465A9C1" w:rsidR="79FE4865">
        <w:rPr>
          <w:rFonts w:ascii="Times New Roman" w:hAnsi="Times New Roman" w:eastAsia="Times New Roman" w:cs="Times New Roman"/>
          <w:noProof w:val="0"/>
          <w:sz w:val="24"/>
          <w:szCs w:val="24"/>
          <w:lang w:val="pt-BR"/>
        </w:rPr>
        <w:t>tos</w:t>
      </w:r>
      <w:r w:rsidRPr="3465A9C1" w:rsidR="79FE4865">
        <w:rPr>
          <w:rFonts w:ascii="Times New Roman" w:hAnsi="Times New Roman" w:eastAsia="Times New Roman" w:cs="Times New Roman"/>
          <w:noProof w:val="0"/>
          <w:sz w:val="24"/>
          <w:szCs w:val="24"/>
          <w:lang w:val="pt-BR"/>
        </w:rPr>
        <w:t xml:space="preserve"> essenciais que garantem o contraditório e a ciência do requerido sobre </w:t>
      </w:r>
      <w:r w:rsidRPr="3465A9C1" w:rsidR="79FE4865">
        <w:rPr>
          <w:rFonts w:ascii="Times New Roman" w:hAnsi="Times New Roman" w:eastAsia="Times New Roman" w:cs="Times New Roman"/>
          <w:noProof w:val="0"/>
          <w:sz w:val="24"/>
          <w:szCs w:val="24"/>
          <w:lang w:val="pt-BR"/>
        </w:rPr>
        <w:t>a</w:t>
      </w:r>
      <w:r w:rsidRPr="3465A9C1" w:rsidR="79FE4865">
        <w:rPr>
          <w:rFonts w:ascii="Times New Roman" w:hAnsi="Times New Roman" w:eastAsia="Times New Roman" w:cs="Times New Roman"/>
          <w:noProof w:val="0"/>
          <w:sz w:val="24"/>
          <w:szCs w:val="24"/>
          <w:lang w:val="pt-BR"/>
        </w:rPr>
        <w:t xml:space="preserve"> medida que lhe afe</w:t>
      </w:r>
      <w:r w:rsidRPr="3465A9C1" w:rsidR="4C52C753">
        <w:rPr>
          <w:rFonts w:ascii="Times New Roman" w:hAnsi="Times New Roman" w:eastAsia="Times New Roman" w:cs="Times New Roman"/>
          <w:noProof w:val="0"/>
          <w:sz w:val="24"/>
          <w:szCs w:val="24"/>
          <w:lang w:val="pt-BR"/>
        </w:rPr>
        <w:t>c</w:t>
      </w:r>
      <w:r w:rsidRPr="3465A9C1" w:rsidR="79FE4865">
        <w:rPr>
          <w:rFonts w:ascii="Times New Roman" w:hAnsi="Times New Roman" w:eastAsia="Times New Roman" w:cs="Times New Roman"/>
          <w:noProof w:val="0"/>
          <w:sz w:val="24"/>
          <w:szCs w:val="24"/>
          <w:lang w:val="pt-BR"/>
        </w:rPr>
        <w:t>ta, bem como os prazos para a sua contestação ou recurso.</w:t>
      </w:r>
    </w:p>
    <w:p xmlns:wp14="http://schemas.microsoft.com/office/word/2010/wordml" w:rsidP="3465A9C1" wp14:paraId="7ED096F5" wp14:textId="652D7837">
      <w:pPr>
        <w:pStyle w:val="ListParagraph"/>
        <w:numPr>
          <w:ilvl w:val="0"/>
          <w:numId w:val="5"/>
        </w:numPr>
        <w:spacing w:before="240" w:beforeAutospacing="off" w:after="240" w:afterAutospacing="off"/>
        <w:jc w:val="both"/>
        <w:rPr>
          <w:rFonts w:ascii="Times New Roman" w:hAnsi="Times New Roman" w:eastAsia="Times New Roman" w:cs="Times New Roman"/>
          <w:noProof w:val="0"/>
          <w:sz w:val="24"/>
          <w:szCs w:val="24"/>
          <w:lang w:val="pt-BR"/>
        </w:rPr>
      </w:pPr>
      <w:r w:rsidRPr="3465A9C1" w:rsidR="79FE4865">
        <w:rPr>
          <w:rFonts w:ascii="Times New Roman" w:hAnsi="Times New Roman" w:eastAsia="Times New Roman" w:cs="Times New Roman"/>
          <w:b w:val="1"/>
          <w:bCs w:val="1"/>
          <w:noProof w:val="0"/>
          <w:sz w:val="24"/>
          <w:szCs w:val="24"/>
          <w:lang w:val="pt-BR"/>
        </w:rPr>
        <w:t>Artigos 26.º, 83.º e 73.º (Competência):</w:t>
      </w:r>
      <w:r w:rsidRPr="3465A9C1" w:rsidR="79FE4865">
        <w:rPr>
          <w:rFonts w:ascii="Times New Roman" w:hAnsi="Times New Roman" w:eastAsia="Times New Roman" w:cs="Times New Roman"/>
          <w:noProof w:val="0"/>
          <w:sz w:val="24"/>
          <w:szCs w:val="24"/>
          <w:lang w:val="pt-BR"/>
        </w:rPr>
        <w:t xml:space="preserve"> A competência para conhecer dos procedimentos cautelares é determinada por estas normas. O artigo 83.º estabelece regras específicas, definindo, por exemplo, que o arresto e o arrolamento devem ser requeridos no tribunal do lugar onde os bens se encontram, ou onde a acção deva ser proposta. A competência territorial é, portanto, um elemento crucial para a eficácia da providência, aproximando o juiz dos bens a apreender ou da pessoa a notificar.</w:t>
      </w:r>
    </w:p>
    <w:p xmlns:wp14="http://schemas.microsoft.com/office/word/2010/wordml" w:rsidP="3465A9C1" wp14:paraId="38E4A3B1" wp14:textId="63CB04AF">
      <w:pPr>
        <w:pStyle w:val="ListParagraph"/>
        <w:numPr>
          <w:ilvl w:val="0"/>
          <w:numId w:val="5"/>
        </w:numPr>
        <w:spacing w:before="240" w:beforeAutospacing="off" w:after="240" w:afterAutospacing="off"/>
        <w:jc w:val="both"/>
        <w:rPr>
          <w:rFonts w:ascii="Times New Roman" w:hAnsi="Times New Roman" w:eastAsia="Times New Roman" w:cs="Times New Roman"/>
          <w:noProof w:val="0"/>
          <w:sz w:val="24"/>
          <w:szCs w:val="24"/>
          <w:lang w:val="pt-BR"/>
        </w:rPr>
      </w:pPr>
      <w:r w:rsidRPr="3465A9C1" w:rsidR="79FE4865">
        <w:rPr>
          <w:rFonts w:ascii="Times New Roman" w:hAnsi="Times New Roman" w:eastAsia="Times New Roman" w:cs="Times New Roman"/>
          <w:b w:val="1"/>
          <w:bCs w:val="1"/>
          <w:noProof w:val="0"/>
          <w:sz w:val="24"/>
          <w:szCs w:val="24"/>
          <w:lang w:val="pt-BR"/>
        </w:rPr>
        <w:t>Artigos 821.º, 822.º e 823.º (Impenhorabilidade):</w:t>
      </w:r>
      <w:r w:rsidRPr="3465A9C1" w:rsidR="79FE4865">
        <w:rPr>
          <w:rFonts w:ascii="Times New Roman" w:hAnsi="Times New Roman" w:eastAsia="Times New Roman" w:cs="Times New Roman"/>
          <w:noProof w:val="0"/>
          <w:sz w:val="24"/>
          <w:szCs w:val="24"/>
          <w:lang w:val="pt-BR"/>
        </w:rPr>
        <w:t xml:space="preserve"> Embora o arresto não seja uma penhora, a ele são aplicáveis, por remissão do artigo 402.º, as disposições relativas à penhora. Assim, os bens absolutamente impenhoráveis (como os indispensáveis a uma economia doméstica ou os destinados ao culto) também estão isentos de arresto. O artigo 846.º, que trata da conversão do arresto em penhora, evidencia ainda mais esta conexão, demonstrando que o arresto é um passo preliminar para uma futura execução.</w:t>
      </w:r>
    </w:p>
    <w:p xmlns:wp14="http://schemas.microsoft.com/office/word/2010/wordml" w:rsidP="3465A9C1" wp14:paraId="78FE740B" wp14:textId="3BA96C96">
      <w:pPr>
        <w:pStyle w:val="ListParagraph"/>
        <w:numPr>
          <w:ilvl w:val="0"/>
          <w:numId w:val="5"/>
        </w:numPr>
        <w:spacing w:before="240" w:beforeAutospacing="off" w:after="240" w:afterAutospacing="off"/>
        <w:jc w:val="both"/>
        <w:rPr>
          <w:rFonts w:ascii="Times New Roman" w:hAnsi="Times New Roman" w:eastAsia="Times New Roman" w:cs="Times New Roman"/>
          <w:noProof w:val="0"/>
          <w:sz w:val="24"/>
          <w:szCs w:val="24"/>
          <w:lang w:val="pt-BR"/>
        </w:rPr>
      </w:pPr>
      <w:r w:rsidRPr="3465A9C1" w:rsidR="79FE4865">
        <w:rPr>
          <w:rFonts w:ascii="Times New Roman" w:hAnsi="Times New Roman" w:eastAsia="Times New Roman" w:cs="Times New Roman"/>
          <w:b w:val="1"/>
          <w:bCs w:val="1"/>
          <w:noProof w:val="0"/>
          <w:sz w:val="24"/>
          <w:szCs w:val="24"/>
          <w:lang w:val="pt-BR"/>
        </w:rPr>
        <w:t>Artigos 20.º e 305.º (Valor da Causa):</w:t>
      </w:r>
      <w:r w:rsidRPr="3465A9C1" w:rsidR="79FE4865">
        <w:rPr>
          <w:rFonts w:ascii="Times New Roman" w:hAnsi="Times New Roman" w:eastAsia="Times New Roman" w:cs="Times New Roman"/>
          <w:noProof w:val="0"/>
          <w:sz w:val="24"/>
          <w:szCs w:val="24"/>
          <w:lang w:val="pt-BR"/>
        </w:rPr>
        <w:t xml:space="preserve"> O valor da causa, para efeitos de custas e, por vezes, de competência, é determinado, no caso do arresto, pelo montante do crédito que se pretende garantir, e no caso do arrolamento, pelo valor dos bens arrolados. A definição deste valor é crucial para a determinação do alcance da providência e para a fixação dos limites da caução, se aplicável.</w:t>
      </w:r>
    </w:p>
    <w:p xmlns:wp14="http://schemas.microsoft.com/office/word/2010/wordml" w:rsidP="3465A9C1" wp14:paraId="7E76626C" wp14:textId="28C4A3FC">
      <w:pPr>
        <w:pStyle w:val="ListParagraph"/>
        <w:numPr>
          <w:ilvl w:val="0"/>
          <w:numId w:val="5"/>
        </w:numPr>
        <w:spacing w:before="240" w:beforeAutospacing="off" w:after="240" w:afterAutospacing="off"/>
        <w:jc w:val="both"/>
        <w:rPr>
          <w:rFonts w:ascii="Times New Roman" w:hAnsi="Times New Roman" w:eastAsia="Times New Roman" w:cs="Times New Roman"/>
          <w:noProof w:val="0"/>
          <w:sz w:val="24"/>
          <w:szCs w:val="24"/>
          <w:lang w:val="pt-BR"/>
        </w:rPr>
      </w:pPr>
      <w:r w:rsidRPr="3465A9C1" w:rsidR="79FE4865">
        <w:rPr>
          <w:rFonts w:ascii="Times New Roman" w:hAnsi="Times New Roman" w:eastAsia="Times New Roman" w:cs="Times New Roman"/>
          <w:b w:val="1"/>
          <w:bCs w:val="1"/>
          <w:noProof w:val="0"/>
          <w:sz w:val="24"/>
          <w:szCs w:val="24"/>
          <w:lang w:val="pt-BR"/>
        </w:rPr>
        <w:t>Artigos 678.º e 733.º (Recursos):</w:t>
      </w:r>
      <w:r w:rsidRPr="3465A9C1" w:rsidR="79FE4865">
        <w:rPr>
          <w:rFonts w:ascii="Times New Roman" w:hAnsi="Times New Roman" w:eastAsia="Times New Roman" w:cs="Times New Roman"/>
          <w:noProof w:val="0"/>
          <w:sz w:val="24"/>
          <w:szCs w:val="24"/>
          <w:lang w:val="pt-BR"/>
        </w:rPr>
        <w:t xml:space="preserve"> Como se verá de seguida, a impugnação das decisões proferidas em procedimentos cautelares é feita por recurso de agravo (art. 733.º). Este recurso é, em regra, de efeito devolutivo, salvo nos casos expressamente previstos, e as suas condições de admissibilidade estão sujeitas ao disposto no artigo 678.º.</w:t>
      </w:r>
    </w:p>
    <w:p xmlns:wp14="http://schemas.microsoft.com/office/word/2010/wordml" w:rsidP="3465A9C1" wp14:paraId="1362D7AB" wp14:textId="3F8F1108">
      <w:pPr>
        <w:pStyle w:val="Heading1"/>
        <w:rPr>
          <w:noProof w:val="0"/>
          <w:lang w:val="pt-BR"/>
        </w:rPr>
      </w:pPr>
      <w:bookmarkStart w:name="_Toc577262513" w:id="588137601"/>
      <w:r w:rsidRPr="3465A9C1" w:rsidR="79FE4865">
        <w:rPr>
          <w:noProof w:val="0"/>
          <w:lang w:val="pt-BR"/>
        </w:rPr>
        <w:t>6. IMPUGNAÇÃO DAS PROVIDÊNCIAS CAUTELARES E RECURSOS</w:t>
      </w:r>
      <w:bookmarkEnd w:id="588137601"/>
    </w:p>
    <w:p xmlns:wp14="http://schemas.microsoft.com/office/word/2010/wordml" w:rsidP="3465A9C1" wp14:paraId="679C7DD4" wp14:textId="7324C0DA">
      <w:pPr>
        <w:spacing w:before="240" w:beforeAutospacing="off" w:after="240" w:afterAutospacing="off"/>
        <w:jc w:val="both"/>
      </w:pPr>
      <w:r w:rsidRPr="3465A9C1" w:rsidR="79FE4865">
        <w:rPr>
          <w:rFonts w:ascii="Times New Roman" w:hAnsi="Times New Roman" w:eastAsia="Times New Roman" w:cs="Times New Roman"/>
          <w:noProof w:val="0"/>
          <w:sz w:val="24"/>
          <w:szCs w:val="24"/>
          <w:lang w:val="pt-BR"/>
        </w:rPr>
        <w:t>As decisões proferidas em sede de procedimentos cautelares, quer sejam favoráveis ou desfavoráveis ao requerente, não ficam imunes a controlo. O sistema prevê um duplo mecanismo de reação, que confere ao requerido a possibilidade de defender os seus direitos.</w:t>
      </w:r>
    </w:p>
    <w:p xmlns:wp14="http://schemas.microsoft.com/office/word/2010/wordml" w:rsidP="3465A9C1" wp14:paraId="251EB497" wp14:textId="5E793B3E">
      <w:pPr>
        <w:pStyle w:val="ListParagraph"/>
        <w:numPr>
          <w:ilvl w:val="0"/>
          <w:numId w:val="4"/>
        </w:numPr>
        <w:spacing w:before="240" w:beforeAutospacing="off" w:after="240" w:afterAutospacing="off"/>
        <w:jc w:val="both"/>
        <w:rPr>
          <w:rFonts w:ascii="Times New Roman" w:hAnsi="Times New Roman" w:eastAsia="Times New Roman" w:cs="Times New Roman"/>
          <w:noProof w:val="0"/>
          <w:sz w:val="24"/>
          <w:szCs w:val="24"/>
          <w:lang w:val="pt-BR"/>
        </w:rPr>
      </w:pPr>
      <w:r w:rsidRPr="3465A9C1" w:rsidR="79FE4865">
        <w:rPr>
          <w:rFonts w:ascii="Times New Roman" w:hAnsi="Times New Roman" w:eastAsia="Times New Roman" w:cs="Times New Roman"/>
          <w:b w:val="1"/>
          <w:bCs w:val="1"/>
          <w:noProof w:val="0"/>
          <w:sz w:val="24"/>
          <w:szCs w:val="24"/>
          <w:lang w:val="pt-BR"/>
        </w:rPr>
        <w:t>Agravo (Art. 733.º e ss.):</w:t>
      </w:r>
      <w:r w:rsidRPr="3465A9C1" w:rsidR="79FE4865">
        <w:rPr>
          <w:rFonts w:ascii="Times New Roman" w:hAnsi="Times New Roman" w:eastAsia="Times New Roman" w:cs="Times New Roman"/>
          <w:noProof w:val="0"/>
          <w:sz w:val="24"/>
          <w:szCs w:val="24"/>
          <w:lang w:val="pt-BR"/>
        </w:rPr>
        <w:t xml:space="preserve"> O agravo é o recurso próprio para impugnar decisões de que não caiba apelação, incluindo os despachos que ordenem ou indefiram providências cautelares. O artigo 738.º estabelece o regime específico para os agravos nestes procedimentos, determinando, por exemplo, que o agravo do despacho que indefira a providência sobe imediatamente nos próprios autos, enquanto o agravo do despacho que ordene a providência sobe imediatamente, mas em separado. Este regime visa conciliar a necessidade de celeridade na apreciação da providência com o direito de defesa do requerido.</w:t>
      </w:r>
    </w:p>
    <w:p xmlns:wp14="http://schemas.microsoft.com/office/word/2010/wordml" w:rsidP="3465A9C1" wp14:paraId="7B817A13" wp14:textId="24EDE87D">
      <w:pPr>
        <w:pStyle w:val="ListParagraph"/>
        <w:numPr>
          <w:ilvl w:val="0"/>
          <w:numId w:val="4"/>
        </w:numPr>
        <w:spacing w:before="240" w:beforeAutospacing="off" w:after="240" w:afterAutospacing="off"/>
        <w:jc w:val="both"/>
        <w:rPr>
          <w:rFonts w:ascii="Times New Roman" w:hAnsi="Times New Roman" w:eastAsia="Times New Roman" w:cs="Times New Roman"/>
          <w:noProof w:val="0"/>
          <w:sz w:val="24"/>
          <w:szCs w:val="24"/>
          <w:lang w:val="pt-BR"/>
        </w:rPr>
      </w:pPr>
      <w:r w:rsidRPr="3465A9C1" w:rsidR="79FE4865">
        <w:rPr>
          <w:rFonts w:ascii="Times New Roman" w:hAnsi="Times New Roman" w:eastAsia="Times New Roman" w:cs="Times New Roman"/>
          <w:b w:val="1"/>
          <w:bCs w:val="1"/>
          <w:noProof w:val="0"/>
          <w:sz w:val="24"/>
          <w:szCs w:val="24"/>
          <w:lang w:val="pt-BR"/>
        </w:rPr>
        <w:t>Embargos (Art. 406.º e ss.):</w:t>
      </w:r>
      <w:r w:rsidRPr="3465A9C1" w:rsidR="79FE4865">
        <w:rPr>
          <w:rFonts w:ascii="Times New Roman" w:hAnsi="Times New Roman" w:eastAsia="Times New Roman" w:cs="Times New Roman"/>
          <w:noProof w:val="0"/>
          <w:sz w:val="24"/>
          <w:szCs w:val="24"/>
          <w:lang w:val="pt-BR"/>
        </w:rPr>
        <w:t xml:space="preserve"> Em muitos dos procedimentos (em particular no arresto, no arrolamento e no embargo de obra nova), o requerido pode deduzir embargos contra a providência já decretada. Os embargos são um verdadeiro incidente processual, autuado por apenso, onde se discute a procedência ou não da medida. Os fundamentos dos embargos variam conforme o procedimento, mas visam sempre alegar factos que afastem os seus fundamentos, como a inexistência do crédito, a falta de requisitos legais ou a excessividade da medida. Nos embargos ao arresto, por exemplo, o artigo 406.º, n.º 4, permite ao embargante alegar má-fé do arrestante e das testemunhas, pedindo indemnização.</w:t>
      </w:r>
    </w:p>
    <w:p xmlns:wp14="http://schemas.microsoft.com/office/word/2010/wordml" w:rsidP="3465A9C1" wp14:paraId="39AB461B" wp14:textId="1AD73B90">
      <w:pPr>
        <w:pStyle w:val="Heading1"/>
        <w:rPr>
          <w:noProof w:val="0"/>
          <w:lang w:val="pt-BR"/>
        </w:rPr>
      </w:pPr>
    </w:p>
    <w:p xmlns:wp14="http://schemas.microsoft.com/office/word/2010/wordml" wp14:paraId="1DD72389" wp14:textId="27022593">
      <w:r>
        <w:br w:type="page"/>
      </w:r>
    </w:p>
    <w:p xmlns:wp14="http://schemas.microsoft.com/office/word/2010/wordml" w:rsidP="3465A9C1" wp14:paraId="428C6E79" wp14:textId="66B787F0">
      <w:pPr>
        <w:pStyle w:val="Heading1"/>
        <w:rPr>
          <w:noProof w:val="0"/>
          <w:lang w:val="pt-BR"/>
        </w:rPr>
      </w:pPr>
      <w:bookmarkStart w:name="_Toc1187749375" w:id="1301804244"/>
      <w:r w:rsidRPr="3465A9C1" w:rsidR="79FE4865">
        <w:rPr>
          <w:noProof w:val="0"/>
          <w:lang w:val="pt-BR"/>
        </w:rPr>
        <w:t>7. SÍNTESE DOS REQUISITOS E PRINCÍPIOS DOS PROCEDIMENTOS CAUTELARES</w:t>
      </w:r>
      <w:bookmarkEnd w:id="1301804244"/>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710"/>
        <w:gridCol w:w="1372"/>
        <w:gridCol w:w="1636"/>
        <w:gridCol w:w="1831"/>
        <w:gridCol w:w="2466"/>
      </w:tblGrid>
      <w:tr w:rsidR="3465A9C1" w:rsidTr="3465A9C1" w14:paraId="5D826922">
        <w:trPr>
          <w:trHeight w:val="300"/>
        </w:trPr>
        <w:tc>
          <w:tcPr>
            <w:tcW w:w="17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465A9C1" w:rsidP="3465A9C1" w:rsidRDefault="3465A9C1" w14:paraId="0307F069" w14:textId="6372FE61">
            <w:pPr>
              <w:spacing w:before="0" w:beforeAutospacing="off" w:after="0" w:afterAutospacing="off"/>
              <w:jc w:val="both"/>
            </w:pPr>
            <w:r w:rsidRPr="3465A9C1" w:rsidR="3465A9C1">
              <w:rPr>
                <w:b w:val="1"/>
                <w:bCs w:val="1"/>
              </w:rPr>
              <w:t>Procedimento Cautelar</w:t>
            </w:r>
          </w:p>
        </w:tc>
        <w:tc>
          <w:tcPr>
            <w:tcW w:w="13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465A9C1" w:rsidP="3465A9C1" w:rsidRDefault="3465A9C1" w14:paraId="5DDFB453" w14:textId="2820E322">
            <w:pPr>
              <w:spacing w:before="0" w:beforeAutospacing="off" w:after="0" w:afterAutospacing="off"/>
              <w:jc w:val="both"/>
            </w:pPr>
            <w:r w:rsidRPr="3465A9C1" w:rsidR="3465A9C1">
              <w:rPr>
                <w:b w:val="1"/>
                <w:bCs w:val="1"/>
              </w:rPr>
              <w:t>Finalidade</w:t>
            </w:r>
          </w:p>
        </w:tc>
        <w:tc>
          <w:tcPr>
            <w:tcW w:w="163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465A9C1" w:rsidP="3465A9C1" w:rsidRDefault="3465A9C1" w14:paraId="7A86969A" w14:textId="538484A7">
            <w:pPr>
              <w:spacing w:before="0" w:beforeAutospacing="off" w:after="0" w:afterAutospacing="off"/>
              <w:jc w:val="both"/>
            </w:pPr>
            <w:r w:rsidRPr="3465A9C1" w:rsidR="3465A9C1">
              <w:rPr>
                <w:b w:val="1"/>
                <w:bCs w:val="1"/>
              </w:rPr>
              <w:t>Pressupostos Específicos</w:t>
            </w:r>
          </w:p>
        </w:tc>
        <w:tc>
          <w:tcPr>
            <w:tcW w:w="18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465A9C1" w:rsidP="3465A9C1" w:rsidRDefault="3465A9C1" w14:paraId="5B682BC0" w14:textId="15E02E1E">
            <w:pPr>
              <w:spacing w:before="0" w:beforeAutospacing="off" w:after="0" w:afterAutospacing="off"/>
              <w:jc w:val="both"/>
            </w:pPr>
            <w:r w:rsidRPr="3465A9C1" w:rsidR="3465A9C1">
              <w:rPr>
                <w:b w:val="1"/>
                <w:bCs w:val="1"/>
              </w:rPr>
              <w:t>Processo</w:t>
            </w:r>
          </w:p>
        </w:tc>
        <w:tc>
          <w:tcPr>
            <w:tcW w:w="246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465A9C1" w:rsidP="3465A9C1" w:rsidRDefault="3465A9C1" w14:paraId="61209496" w14:textId="651A5DFB">
            <w:pPr>
              <w:spacing w:before="0" w:beforeAutospacing="off" w:after="0" w:afterAutospacing="off"/>
              <w:jc w:val="both"/>
            </w:pPr>
            <w:r w:rsidRPr="3465A9C1" w:rsidR="3465A9C1">
              <w:rPr>
                <w:b w:val="1"/>
                <w:bCs w:val="1"/>
              </w:rPr>
              <w:t>Reação do Requerido</w:t>
            </w:r>
          </w:p>
        </w:tc>
      </w:tr>
      <w:tr w:rsidR="3465A9C1" w:rsidTr="3465A9C1" w14:paraId="79640773">
        <w:trPr>
          <w:trHeight w:val="300"/>
        </w:trPr>
        <w:tc>
          <w:tcPr>
            <w:tcW w:w="17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465A9C1" w:rsidP="3465A9C1" w:rsidRDefault="3465A9C1" w14:paraId="5B944705" w14:textId="605DE375">
            <w:pPr>
              <w:spacing w:before="0" w:beforeAutospacing="off" w:after="0" w:afterAutospacing="off"/>
              <w:jc w:val="both"/>
            </w:pPr>
            <w:r w:rsidRPr="3465A9C1" w:rsidR="3465A9C1">
              <w:rPr>
                <w:b w:val="1"/>
                <w:bCs w:val="1"/>
              </w:rPr>
              <w:t>Alimentos Provisórios</w:t>
            </w:r>
          </w:p>
        </w:tc>
        <w:tc>
          <w:tcPr>
            <w:tcW w:w="13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465A9C1" w:rsidP="3465A9C1" w:rsidRDefault="3465A9C1" w14:paraId="307EC896" w14:textId="6BBC7240">
            <w:pPr>
              <w:spacing w:before="0" w:beforeAutospacing="off" w:after="0" w:afterAutospacing="off"/>
              <w:jc w:val="both"/>
            </w:pPr>
            <w:r w:rsidR="3465A9C1">
              <w:rPr/>
              <w:t>Assegurar prestação alimentícia provisória.</w:t>
            </w:r>
          </w:p>
        </w:tc>
        <w:tc>
          <w:tcPr>
            <w:tcW w:w="163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465A9C1" w:rsidP="3465A9C1" w:rsidRDefault="3465A9C1" w14:paraId="16A4423C" w14:textId="249E9658">
            <w:pPr>
              <w:spacing w:before="0" w:beforeAutospacing="off" w:after="0" w:afterAutospacing="off"/>
              <w:jc w:val="both"/>
            </w:pPr>
            <w:r w:rsidR="3465A9C1">
              <w:rPr/>
              <w:t>Necessidade urgente de alimentos.</w:t>
            </w:r>
          </w:p>
        </w:tc>
        <w:tc>
          <w:tcPr>
            <w:tcW w:w="18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465A9C1" w:rsidP="3465A9C1" w:rsidRDefault="3465A9C1" w14:paraId="2D5EEE0C" w14:textId="5E759F5D">
            <w:pPr>
              <w:spacing w:before="0" w:beforeAutospacing="off" w:after="0" w:afterAutospacing="off"/>
              <w:jc w:val="both"/>
            </w:pPr>
            <w:r w:rsidR="3465A9C1">
              <w:rPr/>
              <w:t>Citação para audiência, produção de prova sumária, decisão oral.</w:t>
            </w:r>
          </w:p>
        </w:tc>
        <w:tc>
          <w:tcPr>
            <w:tcW w:w="246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465A9C1" w:rsidP="3465A9C1" w:rsidRDefault="3465A9C1" w14:paraId="690D25EE" w14:textId="3C97FA25">
            <w:pPr>
              <w:spacing w:before="0" w:beforeAutospacing="off" w:after="0" w:afterAutospacing="off"/>
              <w:jc w:val="both"/>
            </w:pPr>
            <w:r w:rsidR="3465A9C1">
              <w:rPr/>
              <w:t>Não há previsão específica de embargos; a decisão é impugnável no recurso da acção principal.</w:t>
            </w:r>
          </w:p>
        </w:tc>
      </w:tr>
      <w:tr w:rsidR="3465A9C1" w:rsidTr="3465A9C1" w14:paraId="6319A529">
        <w:trPr>
          <w:trHeight w:val="300"/>
        </w:trPr>
        <w:tc>
          <w:tcPr>
            <w:tcW w:w="17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465A9C1" w:rsidP="3465A9C1" w:rsidRDefault="3465A9C1" w14:paraId="7ECBF2A8" w14:textId="2F482BFD">
            <w:pPr>
              <w:spacing w:before="0" w:beforeAutospacing="off" w:after="0" w:afterAutospacing="off"/>
              <w:jc w:val="both"/>
            </w:pPr>
            <w:r w:rsidRPr="3465A9C1" w:rsidR="3465A9C1">
              <w:rPr>
                <w:b w:val="1"/>
                <w:bCs w:val="1"/>
              </w:rPr>
              <w:t>Restituição Provisória de Posse</w:t>
            </w:r>
          </w:p>
        </w:tc>
        <w:tc>
          <w:tcPr>
            <w:tcW w:w="13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465A9C1" w:rsidP="3465A9C1" w:rsidRDefault="3465A9C1" w14:paraId="444E292F" w14:textId="4DB91E78">
            <w:pPr>
              <w:spacing w:before="0" w:beforeAutospacing="off" w:after="0" w:afterAutospacing="off"/>
              <w:jc w:val="both"/>
            </w:pPr>
            <w:r w:rsidR="3465A9C1">
              <w:rPr/>
              <w:t>Repor a posse em caso de esbulho violento.</w:t>
            </w:r>
          </w:p>
        </w:tc>
        <w:tc>
          <w:tcPr>
            <w:tcW w:w="163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465A9C1" w:rsidP="3465A9C1" w:rsidRDefault="3465A9C1" w14:paraId="29E34A68" w14:textId="764C18E9">
            <w:pPr>
              <w:spacing w:before="0" w:beforeAutospacing="off" w:after="0" w:afterAutospacing="off"/>
              <w:jc w:val="both"/>
            </w:pPr>
            <w:r w:rsidR="3465A9C1">
              <w:rPr/>
              <w:t>Prova da posse, do esbulho e da violência.</w:t>
            </w:r>
          </w:p>
        </w:tc>
        <w:tc>
          <w:tcPr>
            <w:tcW w:w="18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465A9C1" w:rsidP="3465A9C1" w:rsidRDefault="3465A9C1" w14:paraId="2E7617B2" w14:textId="042B644B">
            <w:pPr>
              <w:spacing w:before="0" w:beforeAutospacing="off" w:after="0" w:afterAutospacing="off"/>
              <w:jc w:val="both"/>
            </w:pPr>
            <w:r w:rsidR="3465A9C1">
              <w:rPr/>
              <w:t xml:space="preserve">Despacho </w:t>
            </w:r>
            <w:r w:rsidRPr="3465A9C1" w:rsidR="3465A9C1">
              <w:rPr>
                <w:i w:val="1"/>
                <w:iCs w:val="1"/>
              </w:rPr>
              <w:t>inaudita altera parte</w:t>
            </w:r>
            <w:r w:rsidR="3465A9C1">
              <w:rPr/>
              <w:t>.</w:t>
            </w:r>
          </w:p>
        </w:tc>
        <w:tc>
          <w:tcPr>
            <w:tcW w:w="246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465A9C1" w:rsidP="3465A9C1" w:rsidRDefault="3465A9C1" w14:paraId="78E371D7" w14:textId="26567DFA">
            <w:pPr>
              <w:spacing w:before="0" w:beforeAutospacing="off" w:after="0" w:afterAutospacing="off"/>
              <w:jc w:val="both"/>
            </w:pPr>
            <w:r w:rsidR="3465A9C1">
              <w:rPr/>
              <w:t>Agravo do despacho que ordenou a restituição.</w:t>
            </w:r>
          </w:p>
        </w:tc>
      </w:tr>
      <w:tr w:rsidR="3465A9C1" w:rsidTr="3465A9C1" w14:paraId="4316F3D5">
        <w:trPr>
          <w:trHeight w:val="300"/>
        </w:trPr>
        <w:tc>
          <w:tcPr>
            <w:tcW w:w="17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465A9C1" w:rsidP="3465A9C1" w:rsidRDefault="3465A9C1" w14:paraId="1E7FFF5A" w14:textId="447C8374">
            <w:pPr>
              <w:spacing w:before="0" w:beforeAutospacing="off" w:after="0" w:afterAutospacing="off"/>
              <w:jc w:val="both"/>
            </w:pPr>
            <w:r w:rsidRPr="3465A9C1" w:rsidR="3465A9C1">
              <w:rPr>
                <w:b w:val="1"/>
                <w:bCs w:val="1"/>
              </w:rPr>
              <w:t>Suspensão de Deliberações Sociais</w:t>
            </w:r>
          </w:p>
        </w:tc>
        <w:tc>
          <w:tcPr>
            <w:tcW w:w="13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465A9C1" w:rsidP="3465A9C1" w:rsidRDefault="3465A9C1" w14:paraId="165CADF0" w14:textId="13E43E87">
            <w:pPr>
              <w:spacing w:before="0" w:beforeAutospacing="off" w:after="0" w:afterAutospacing="off"/>
              <w:jc w:val="both"/>
            </w:pPr>
            <w:r w:rsidR="3465A9C1">
              <w:rPr/>
              <w:t>Suspender execução de deliberação ilegal ou danosa.</w:t>
            </w:r>
          </w:p>
        </w:tc>
        <w:tc>
          <w:tcPr>
            <w:tcW w:w="163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465A9C1" w:rsidP="3465A9C1" w:rsidRDefault="3465A9C1" w14:paraId="0675100C" w14:textId="52ED0A14">
            <w:pPr>
              <w:spacing w:before="0" w:beforeAutospacing="off" w:after="0" w:afterAutospacing="off"/>
              <w:jc w:val="both"/>
            </w:pPr>
            <w:r w:rsidR="3465A9C1">
              <w:rPr/>
              <w:t>Qualidade de sócio, deliberação ilegal, dano apreciável.</w:t>
            </w:r>
          </w:p>
        </w:tc>
        <w:tc>
          <w:tcPr>
            <w:tcW w:w="18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465A9C1" w:rsidP="3465A9C1" w:rsidRDefault="3465A9C1" w14:paraId="36BC4CB7" w14:textId="3D89846D">
            <w:pPr>
              <w:spacing w:before="0" w:beforeAutospacing="off" w:after="0" w:afterAutospacing="off"/>
              <w:jc w:val="both"/>
            </w:pPr>
            <w:r w:rsidR="3465A9C1">
              <w:rPr/>
              <w:t>Citação da sociedade para contestar, produção de provas, decisão.</w:t>
            </w:r>
          </w:p>
        </w:tc>
        <w:tc>
          <w:tcPr>
            <w:tcW w:w="246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465A9C1" w:rsidP="3465A9C1" w:rsidRDefault="3465A9C1" w14:paraId="15130AD2" w14:textId="7549FD72">
            <w:pPr>
              <w:spacing w:before="0" w:beforeAutospacing="off" w:after="0" w:afterAutospacing="off"/>
              <w:jc w:val="both"/>
            </w:pPr>
            <w:r w:rsidR="3465A9C1">
              <w:rPr/>
              <w:t>Contestação.</w:t>
            </w:r>
          </w:p>
        </w:tc>
      </w:tr>
      <w:tr w:rsidR="3465A9C1" w:rsidTr="3465A9C1" w14:paraId="2BB8D569">
        <w:trPr>
          <w:trHeight w:val="300"/>
        </w:trPr>
        <w:tc>
          <w:tcPr>
            <w:tcW w:w="17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465A9C1" w:rsidP="3465A9C1" w:rsidRDefault="3465A9C1" w14:paraId="414EBF34" w14:textId="38718146">
            <w:pPr>
              <w:spacing w:before="0" w:beforeAutospacing="off" w:after="0" w:afterAutospacing="off"/>
              <w:jc w:val="both"/>
            </w:pPr>
            <w:r w:rsidRPr="3465A9C1" w:rsidR="3465A9C1">
              <w:rPr>
                <w:b w:val="1"/>
                <w:bCs w:val="1"/>
              </w:rPr>
              <w:t>Providências Cautelares Não Especificadas</w:t>
            </w:r>
          </w:p>
        </w:tc>
        <w:tc>
          <w:tcPr>
            <w:tcW w:w="13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465A9C1" w:rsidP="3465A9C1" w:rsidRDefault="3465A9C1" w14:paraId="450C2F23" w14:textId="532CCDB6">
            <w:pPr>
              <w:spacing w:before="0" w:beforeAutospacing="off" w:after="0" w:afterAutospacing="off"/>
              <w:jc w:val="both"/>
            </w:pPr>
            <w:r w:rsidR="3465A9C1">
              <w:rPr/>
              <w:t>Tutela de situações não abrangidas por outras providências.</w:t>
            </w:r>
          </w:p>
        </w:tc>
        <w:tc>
          <w:tcPr>
            <w:tcW w:w="163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465A9C1" w:rsidP="3465A9C1" w:rsidRDefault="3465A9C1" w14:paraId="27E39099" w14:textId="1577E7CC">
            <w:pPr>
              <w:spacing w:before="0" w:beforeAutospacing="off" w:after="0" w:afterAutospacing="off"/>
              <w:jc w:val="both"/>
            </w:pPr>
            <w:r w:rsidRPr="3465A9C1" w:rsidR="3465A9C1">
              <w:rPr>
                <w:i w:val="1"/>
                <w:iCs w:val="1"/>
              </w:rPr>
              <w:t>Fumus boni iuris</w:t>
            </w:r>
            <w:r w:rsidR="3465A9C1">
              <w:rPr/>
              <w:t xml:space="preserve"> e </w:t>
            </w:r>
            <w:r w:rsidRPr="3465A9C1" w:rsidR="3465A9C1">
              <w:rPr>
                <w:i w:val="1"/>
                <w:iCs w:val="1"/>
              </w:rPr>
              <w:t>periculum in mora</w:t>
            </w:r>
            <w:r w:rsidR="3465A9C1">
              <w:rPr/>
              <w:t>.</w:t>
            </w:r>
          </w:p>
        </w:tc>
        <w:tc>
          <w:tcPr>
            <w:tcW w:w="18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465A9C1" w:rsidP="3465A9C1" w:rsidRDefault="3465A9C1" w14:paraId="35AD9057" w14:textId="7490844D">
            <w:pPr>
              <w:spacing w:before="0" w:beforeAutospacing="off" w:after="0" w:afterAutospacing="off"/>
              <w:jc w:val="both"/>
            </w:pPr>
            <w:r w:rsidR="3465A9C1">
              <w:rPr/>
              <w:t>Audiência do réu (se possível), produção de provas.</w:t>
            </w:r>
          </w:p>
        </w:tc>
        <w:tc>
          <w:tcPr>
            <w:tcW w:w="246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465A9C1" w:rsidP="3465A9C1" w:rsidRDefault="3465A9C1" w14:paraId="0DBD2B20" w14:textId="553970B1">
            <w:pPr>
              <w:spacing w:before="0" w:beforeAutospacing="off" w:after="0" w:afterAutospacing="off"/>
              <w:jc w:val="both"/>
            </w:pPr>
            <w:r w:rsidR="3465A9C1">
              <w:rPr/>
              <w:t>Agravo ou embargos (conforme aplicação subsidiária).</w:t>
            </w:r>
          </w:p>
        </w:tc>
      </w:tr>
      <w:tr w:rsidR="3465A9C1" w:rsidTr="3465A9C1" w14:paraId="37466B93">
        <w:trPr>
          <w:trHeight w:val="300"/>
        </w:trPr>
        <w:tc>
          <w:tcPr>
            <w:tcW w:w="17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465A9C1" w:rsidP="3465A9C1" w:rsidRDefault="3465A9C1" w14:paraId="406D28E6" w14:textId="4DC8CB0A">
            <w:pPr>
              <w:spacing w:before="0" w:beforeAutospacing="off" w:after="0" w:afterAutospacing="off"/>
              <w:jc w:val="both"/>
            </w:pPr>
            <w:r w:rsidRPr="3465A9C1" w:rsidR="3465A9C1">
              <w:rPr>
                <w:b w:val="1"/>
                <w:bCs w:val="1"/>
              </w:rPr>
              <w:t>Arresto</w:t>
            </w:r>
          </w:p>
        </w:tc>
        <w:tc>
          <w:tcPr>
            <w:tcW w:w="13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465A9C1" w:rsidP="3465A9C1" w:rsidRDefault="3465A9C1" w14:paraId="0401F9A6" w14:textId="62C6B28A">
            <w:pPr>
              <w:spacing w:before="0" w:beforeAutospacing="off" w:after="0" w:afterAutospacing="off"/>
              <w:jc w:val="both"/>
            </w:pPr>
            <w:r w:rsidR="3465A9C1">
              <w:rPr/>
              <w:t>Apreensão de bens para garantir execução de crédito.</w:t>
            </w:r>
          </w:p>
        </w:tc>
        <w:tc>
          <w:tcPr>
            <w:tcW w:w="163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465A9C1" w:rsidP="3465A9C1" w:rsidRDefault="3465A9C1" w14:paraId="0803ACCB" w14:textId="19DC1F53">
            <w:pPr>
              <w:spacing w:before="0" w:beforeAutospacing="off" w:after="0" w:afterAutospacing="off"/>
              <w:jc w:val="both"/>
            </w:pPr>
            <w:r w:rsidR="3465A9C1">
              <w:rPr/>
              <w:t>Verosimilhança da dívida e justo receio de insolvência.</w:t>
            </w:r>
          </w:p>
        </w:tc>
        <w:tc>
          <w:tcPr>
            <w:tcW w:w="18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465A9C1" w:rsidP="3465A9C1" w:rsidRDefault="3465A9C1" w14:paraId="669C67C4" w14:textId="2C6A6948">
            <w:pPr>
              <w:spacing w:before="0" w:beforeAutospacing="off" w:after="0" w:afterAutospacing="off"/>
              <w:jc w:val="both"/>
            </w:pPr>
            <w:r w:rsidR="3465A9C1">
              <w:rPr/>
              <w:t xml:space="preserve">Despacho </w:t>
            </w:r>
            <w:r w:rsidRPr="3465A9C1" w:rsidR="3465A9C1">
              <w:rPr>
                <w:i w:val="1"/>
                <w:iCs w:val="1"/>
              </w:rPr>
              <w:t>inaudita altera parte</w:t>
            </w:r>
            <w:r w:rsidR="3465A9C1">
              <w:rPr/>
              <w:t>, com base em prova sumária.</w:t>
            </w:r>
          </w:p>
        </w:tc>
        <w:tc>
          <w:tcPr>
            <w:tcW w:w="246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465A9C1" w:rsidP="3465A9C1" w:rsidRDefault="3465A9C1" w14:paraId="7543EAE8" w14:textId="227FCBE1">
            <w:pPr>
              <w:spacing w:before="0" w:beforeAutospacing="off" w:after="0" w:afterAutospacing="off"/>
              <w:jc w:val="both"/>
            </w:pPr>
            <w:r w:rsidR="3465A9C1">
              <w:rPr/>
              <w:t>Agravo e/ou Embargos.</w:t>
            </w:r>
          </w:p>
        </w:tc>
      </w:tr>
      <w:tr w:rsidR="3465A9C1" w:rsidTr="3465A9C1" w14:paraId="276A66A8">
        <w:trPr>
          <w:trHeight w:val="300"/>
        </w:trPr>
        <w:tc>
          <w:tcPr>
            <w:tcW w:w="17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465A9C1" w:rsidP="3465A9C1" w:rsidRDefault="3465A9C1" w14:paraId="034CB7FD" w14:textId="34603C4E">
            <w:pPr>
              <w:spacing w:before="0" w:beforeAutospacing="off" w:after="0" w:afterAutospacing="off"/>
              <w:jc w:val="both"/>
            </w:pPr>
            <w:r w:rsidRPr="3465A9C1" w:rsidR="3465A9C1">
              <w:rPr>
                <w:b w:val="1"/>
                <w:bCs w:val="1"/>
              </w:rPr>
              <w:t>Embargos de Obra Nova</w:t>
            </w:r>
          </w:p>
        </w:tc>
        <w:tc>
          <w:tcPr>
            <w:tcW w:w="13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465A9C1" w:rsidP="3465A9C1" w:rsidRDefault="3465A9C1" w14:paraId="3AFE9645" w14:textId="2D64C433">
            <w:pPr>
              <w:spacing w:before="0" w:beforeAutospacing="off" w:after="0" w:afterAutospacing="off"/>
              <w:jc w:val="both"/>
            </w:pPr>
            <w:r w:rsidR="3465A9C1">
              <w:rPr/>
              <w:t>Suspensão de obra que cause prejuízo.</w:t>
            </w:r>
          </w:p>
        </w:tc>
        <w:tc>
          <w:tcPr>
            <w:tcW w:w="163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465A9C1" w:rsidP="3465A9C1" w:rsidRDefault="3465A9C1" w14:paraId="244DE2AC" w14:textId="5B10E85A">
            <w:pPr>
              <w:spacing w:before="0" w:beforeAutospacing="off" w:after="0" w:afterAutospacing="off"/>
              <w:jc w:val="both"/>
            </w:pPr>
            <w:r w:rsidR="3465A9C1">
              <w:rPr/>
              <w:t>Direito de propriedade, posse ou outro direito real.</w:t>
            </w:r>
          </w:p>
        </w:tc>
        <w:tc>
          <w:tcPr>
            <w:tcW w:w="18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465A9C1" w:rsidP="3465A9C1" w:rsidRDefault="3465A9C1" w14:paraId="6FFC99B4" w14:textId="51B251E6">
            <w:pPr>
              <w:spacing w:before="0" w:beforeAutospacing="off" w:after="0" w:afterAutospacing="off"/>
              <w:jc w:val="both"/>
            </w:pPr>
            <w:r w:rsidR="3465A9C1">
              <w:rPr/>
              <w:t>Requerimento com prova sumária, podendo ouvir o dono da obra.</w:t>
            </w:r>
          </w:p>
        </w:tc>
        <w:tc>
          <w:tcPr>
            <w:tcW w:w="246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465A9C1" w:rsidP="3465A9C1" w:rsidRDefault="3465A9C1" w14:paraId="3A8F8B0A" w14:textId="0EFF43B8">
            <w:pPr>
              <w:spacing w:before="0" w:beforeAutospacing="off" w:after="0" w:afterAutospacing="off"/>
              <w:jc w:val="both"/>
            </w:pPr>
            <w:r w:rsidR="3465A9C1">
              <w:rPr/>
              <w:t>Agravo e/ou Embargos.</w:t>
            </w:r>
          </w:p>
        </w:tc>
      </w:tr>
      <w:tr w:rsidR="3465A9C1" w:rsidTr="3465A9C1" w14:paraId="60B4C760">
        <w:trPr>
          <w:trHeight w:val="300"/>
        </w:trPr>
        <w:tc>
          <w:tcPr>
            <w:tcW w:w="17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465A9C1" w:rsidP="3465A9C1" w:rsidRDefault="3465A9C1" w14:paraId="55EBBFAF" w14:textId="0164C3F6">
            <w:pPr>
              <w:spacing w:before="0" w:beforeAutospacing="off" w:after="0" w:afterAutospacing="off"/>
              <w:jc w:val="both"/>
            </w:pPr>
            <w:r w:rsidRPr="3465A9C1" w:rsidR="3465A9C1">
              <w:rPr>
                <w:b w:val="1"/>
                <w:bCs w:val="1"/>
              </w:rPr>
              <w:t>Arrolamento</w:t>
            </w:r>
          </w:p>
        </w:tc>
        <w:tc>
          <w:tcPr>
            <w:tcW w:w="13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465A9C1" w:rsidP="3465A9C1" w:rsidRDefault="3465A9C1" w14:paraId="012CDFE7" w14:textId="7D74A076">
            <w:pPr>
              <w:spacing w:before="0" w:beforeAutospacing="off" w:after="0" w:afterAutospacing="off"/>
              <w:jc w:val="both"/>
            </w:pPr>
            <w:r w:rsidR="3465A9C1">
              <w:rPr/>
              <w:t>Descrição, avaliação e depósito de bens para evitar extravio.</w:t>
            </w:r>
          </w:p>
        </w:tc>
        <w:tc>
          <w:tcPr>
            <w:tcW w:w="163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465A9C1" w:rsidP="3465A9C1" w:rsidRDefault="3465A9C1" w14:paraId="19763E94" w14:textId="242FC29C">
            <w:pPr>
              <w:spacing w:before="0" w:beforeAutospacing="off" w:after="0" w:afterAutospacing="off"/>
              <w:jc w:val="both"/>
            </w:pPr>
            <w:r w:rsidR="3465A9C1">
              <w:rPr/>
              <w:t>Justo receio de extravio ou dissipação de bens.</w:t>
            </w:r>
          </w:p>
        </w:tc>
        <w:tc>
          <w:tcPr>
            <w:tcW w:w="18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465A9C1" w:rsidP="3465A9C1" w:rsidRDefault="3465A9C1" w14:paraId="5E469232" w14:textId="199655C4">
            <w:pPr>
              <w:spacing w:before="0" w:beforeAutospacing="off" w:after="0" w:afterAutospacing="off"/>
              <w:jc w:val="both"/>
            </w:pPr>
            <w:r w:rsidR="3465A9C1">
              <w:rPr/>
              <w:t xml:space="preserve">Prova sumária e, se necessário, despacho </w:t>
            </w:r>
            <w:r w:rsidRPr="3465A9C1" w:rsidR="3465A9C1">
              <w:rPr>
                <w:i w:val="1"/>
                <w:iCs w:val="1"/>
              </w:rPr>
              <w:t>inaudita altera parte</w:t>
            </w:r>
            <w:r w:rsidR="3465A9C1">
              <w:rPr/>
              <w:t>.</w:t>
            </w:r>
          </w:p>
        </w:tc>
        <w:tc>
          <w:tcPr>
            <w:tcW w:w="246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465A9C1" w:rsidP="3465A9C1" w:rsidRDefault="3465A9C1" w14:paraId="3284D741" w14:textId="51E3898F">
            <w:pPr>
              <w:spacing w:before="0" w:beforeAutospacing="off" w:after="0" w:afterAutospacing="off"/>
              <w:jc w:val="both"/>
            </w:pPr>
            <w:r w:rsidR="3465A9C1">
              <w:rPr/>
              <w:t>Agravo ou Embargos (após notificação).</w:t>
            </w:r>
          </w:p>
        </w:tc>
      </w:tr>
    </w:tbl>
    <w:p xmlns:wp14="http://schemas.microsoft.com/office/word/2010/wordml" w:rsidP="3465A9C1" wp14:paraId="4FB69410" wp14:textId="1C6142F4">
      <w:pPr>
        <w:pStyle w:val="Heading1"/>
        <w:bidi w:val="0"/>
        <w:rPr>
          <w:noProof w:val="0"/>
          <w:lang w:val="pt-BR"/>
        </w:rPr>
      </w:pPr>
      <w:bookmarkStart w:name="_Toc824068453" w:id="532551097"/>
      <w:r w:rsidRPr="3465A9C1" w:rsidR="79FE4865">
        <w:rPr>
          <w:noProof w:val="0"/>
          <w:lang w:val="pt-BR"/>
        </w:rPr>
        <w:t>8. CONCLUSÃO</w:t>
      </w:r>
      <w:bookmarkEnd w:id="532551097"/>
    </w:p>
    <w:p xmlns:wp14="http://schemas.microsoft.com/office/word/2010/wordml" w:rsidP="3465A9C1" wp14:paraId="731F0816" wp14:textId="29DF4A29">
      <w:pPr>
        <w:bidi w:val="0"/>
        <w:spacing w:before="240" w:beforeAutospacing="off" w:after="240" w:afterAutospacing="off"/>
        <w:jc w:val="both"/>
      </w:pPr>
      <w:r w:rsidRPr="3465A9C1" w:rsidR="79FE4865">
        <w:rPr>
          <w:rFonts w:ascii="Times New Roman" w:hAnsi="Times New Roman" w:eastAsia="Times New Roman" w:cs="Times New Roman"/>
          <w:noProof w:val="0"/>
          <w:sz w:val="24"/>
          <w:szCs w:val="24"/>
          <w:lang w:val="pt-BR"/>
        </w:rPr>
        <w:t xml:space="preserve">O Capítulo IV do Código de Processo Civil angolano, ao regular os procedimentos cautelares, revela uma técnica legislativa apurada, que visa conciliar dois valores fundamentais: a </w:t>
      </w:r>
      <w:r w:rsidRPr="3465A9C1" w:rsidR="79FE4865">
        <w:rPr>
          <w:rFonts w:ascii="Times New Roman" w:hAnsi="Times New Roman" w:eastAsia="Times New Roman" w:cs="Times New Roman"/>
          <w:b w:val="1"/>
          <w:bCs w:val="1"/>
          <w:noProof w:val="0"/>
          <w:sz w:val="24"/>
          <w:szCs w:val="24"/>
          <w:lang w:val="pt-BR"/>
        </w:rPr>
        <w:t>celeridade</w:t>
      </w:r>
      <w:r w:rsidRPr="3465A9C1" w:rsidR="79FE4865">
        <w:rPr>
          <w:rFonts w:ascii="Times New Roman" w:hAnsi="Times New Roman" w:eastAsia="Times New Roman" w:cs="Times New Roman"/>
          <w:noProof w:val="0"/>
          <w:sz w:val="24"/>
          <w:szCs w:val="24"/>
          <w:lang w:val="pt-BR"/>
        </w:rPr>
        <w:t xml:space="preserve"> e a </w:t>
      </w:r>
      <w:r w:rsidRPr="3465A9C1" w:rsidR="79FE4865">
        <w:rPr>
          <w:rFonts w:ascii="Times New Roman" w:hAnsi="Times New Roman" w:eastAsia="Times New Roman" w:cs="Times New Roman"/>
          <w:b w:val="1"/>
          <w:bCs w:val="1"/>
          <w:noProof w:val="0"/>
          <w:sz w:val="24"/>
          <w:szCs w:val="24"/>
          <w:lang w:val="pt-BR"/>
        </w:rPr>
        <w:t>eficácia</w:t>
      </w:r>
      <w:r w:rsidRPr="3465A9C1" w:rsidR="79FE4865">
        <w:rPr>
          <w:rFonts w:ascii="Times New Roman" w:hAnsi="Times New Roman" w:eastAsia="Times New Roman" w:cs="Times New Roman"/>
          <w:noProof w:val="0"/>
          <w:sz w:val="24"/>
          <w:szCs w:val="24"/>
          <w:lang w:val="pt-BR"/>
        </w:rPr>
        <w:t xml:space="preserve"> da tutela jurisdicional, por um lado, e a </w:t>
      </w:r>
      <w:r w:rsidRPr="3465A9C1" w:rsidR="79FE4865">
        <w:rPr>
          <w:rFonts w:ascii="Times New Roman" w:hAnsi="Times New Roman" w:eastAsia="Times New Roman" w:cs="Times New Roman"/>
          <w:b w:val="1"/>
          <w:bCs w:val="1"/>
          <w:noProof w:val="0"/>
          <w:sz w:val="24"/>
          <w:szCs w:val="24"/>
          <w:lang w:val="pt-BR"/>
        </w:rPr>
        <w:t>segurança jurídica</w:t>
      </w:r>
      <w:r w:rsidRPr="3465A9C1" w:rsidR="79FE4865">
        <w:rPr>
          <w:rFonts w:ascii="Times New Roman" w:hAnsi="Times New Roman" w:eastAsia="Times New Roman" w:cs="Times New Roman"/>
          <w:noProof w:val="0"/>
          <w:sz w:val="24"/>
          <w:szCs w:val="24"/>
          <w:lang w:val="pt-BR"/>
        </w:rPr>
        <w:t xml:space="preserve"> e o </w:t>
      </w:r>
      <w:r w:rsidRPr="3465A9C1" w:rsidR="79FE4865">
        <w:rPr>
          <w:rFonts w:ascii="Times New Roman" w:hAnsi="Times New Roman" w:eastAsia="Times New Roman" w:cs="Times New Roman"/>
          <w:b w:val="1"/>
          <w:bCs w:val="1"/>
          <w:noProof w:val="0"/>
          <w:sz w:val="24"/>
          <w:szCs w:val="24"/>
          <w:lang w:val="pt-BR"/>
        </w:rPr>
        <w:t>direito de defesa</w:t>
      </w:r>
      <w:r w:rsidRPr="3465A9C1" w:rsidR="79FE4865">
        <w:rPr>
          <w:rFonts w:ascii="Times New Roman" w:hAnsi="Times New Roman" w:eastAsia="Times New Roman" w:cs="Times New Roman"/>
          <w:noProof w:val="0"/>
          <w:sz w:val="24"/>
          <w:szCs w:val="24"/>
          <w:lang w:val="pt-BR"/>
        </w:rPr>
        <w:t xml:space="preserve"> do requerido, por outro.</w:t>
      </w:r>
    </w:p>
    <w:p xmlns:wp14="http://schemas.microsoft.com/office/word/2010/wordml" w:rsidP="3465A9C1" wp14:paraId="45B157D6" wp14:textId="61A205CA">
      <w:pPr>
        <w:bidi w:val="0"/>
        <w:spacing w:before="240" w:beforeAutospacing="off" w:after="240" w:afterAutospacing="off"/>
        <w:jc w:val="both"/>
      </w:pPr>
      <w:r w:rsidRPr="3465A9C1" w:rsidR="79FE4865">
        <w:rPr>
          <w:rFonts w:ascii="Times New Roman" w:hAnsi="Times New Roman" w:eastAsia="Times New Roman" w:cs="Times New Roman"/>
          <w:noProof w:val="0"/>
          <w:sz w:val="24"/>
          <w:szCs w:val="24"/>
          <w:lang w:val="pt-BR"/>
        </w:rPr>
        <w:t>As disposições gerais estabelecem um regime comum, marcado pela instrumentalidade, provisoriedade e dependência da acção principal. As várias espécies de procedimentos (alimentos provisórios, restituição de posse, suspensão de deliberações, arresto, arrolamento, entre outros) oferecem um leque diversificado de soluções para situações de perigo, adaptando-se à especificidade de cada direito a proteger.</w:t>
      </w:r>
    </w:p>
    <w:p xmlns:wp14="http://schemas.microsoft.com/office/word/2010/wordml" w:rsidP="3465A9C1" wp14:paraId="1077E426" wp14:textId="361347E9">
      <w:pPr>
        <w:bidi w:val="0"/>
        <w:spacing w:before="240" w:beforeAutospacing="off" w:after="240" w:afterAutospacing="off"/>
        <w:jc w:val="both"/>
      </w:pPr>
      <w:r w:rsidRPr="3465A9C1" w:rsidR="79FE4865">
        <w:rPr>
          <w:rFonts w:ascii="Times New Roman" w:hAnsi="Times New Roman" w:eastAsia="Times New Roman" w:cs="Times New Roman"/>
          <w:noProof w:val="0"/>
          <w:sz w:val="24"/>
          <w:szCs w:val="24"/>
          <w:lang w:val="pt-BR"/>
        </w:rPr>
        <w:t>A figura das "providências cautelares não especificadas" representa o ponto culminante desta sistemática, ao conferir ao juiz um poder de adaptação e de criação de medidas à medida da situação concreta, num claro sinal de que o processo civil se coloca ao serviço da justiça material, e não o contrário.</w:t>
      </w:r>
    </w:p>
    <w:p xmlns:wp14="http://schemas.microsoft.com/office/word/2010/wordml" w:rsidP="3465A9C1" wp14:paraId="1E207724" wp14:textId="04459476">
      <w:pPr>
        <w:bidi w:val="0"/>
        <w:spacing w:before="240" w:beforeAutospacing="off" w:after="240" w:afterAutospacing="off"/>
        <w:jc w:val="both"/>
      </w:pPr>
      <w:r w:rsidRPr="3465A9C1" w:rsidR="79FE4865">
        <w:rPr>
          <w:rFonts w:ascii="Times New Roman" w:hAnsi="Times New Roman" w:eastAsia="Times New Roman" w:cs="Times New Roman"/>
          <w:noProof w:val="0"/>
          <w:sz w:val="24"/>
          <w:szCs w:val="24"/>
          <w:lang w:val="pt-BR"/>
        </w:rPr>
        <w:t xml:space="preserve">Por fim, a análise conjugada com outros artigos do Código permite uma visão integrada do sistema, onde a citação, a competência, os regimes de impenhorabilidade e os recursos se articulam para dar plena operatividade aos procedimentos cautelares, cumprindo a sua função primordial: </w:t>
      </w:r>
      <w:r w:rsidRPr="3465A9C1" w:rsidR="79FE4865">
        <w:rPr>
          <w:rFonts w:ascii="Times New Roman" w:hAnsi="Times New Roman" w:eastAsia="Times New Roman" w:cs="Times New Roman"/>
          <w:b w:val="1"/>
          <w:bCs w:val="1"/>
          <w:i w:val="1"/>
          <w:iCs w:val="1"/>
          <w:noProof w:val="0"/>
          <w:sz w:val="24"/>
          <w:szCs w:val="24"/>
          <w:lang w:val="pt-BR"/>
        </w:rPr>
        <w:t xml:space="preserve">acautelar o efeito útil da </w:t>
      </w:r>
      <w:r w:rsidRPr="3465A9C1" w:rsidR="79FE4865">
        <w:rPr>
          <w:rFonts w:ascii="Times New Roman" w:hAnsi="Times New Roman" w:eastAsia="Times New Roman" w:cs="Times New Roman"/>
          <w:b w:val="1"/>
          <w:bCs w:val="1"/>
          <w:i w:val="1"/>
          <w:iCs w:val="1"/>
          <w:noProof w:val="0"/>
          <w:sz w:val="24"/>
          <w:szCs w:val="24"/>
          <w:lang w:val="pt-BR"/>
        </w:rPr>
        <w:t>acção</w:t>
      </w:r>
      <w:r w:rsidRPr="3465A9C1" w:rsidR="79FE4865">
        <w:rPr>
          <w:rFonts w:ascii="Times New Roman" w:hAnsi="Times New Roman" w:eastAsia="Times New Roman" w:cs="Times New Roman"/>
          <w:noProof w:val="0"/>
          <w:sz w:val="24"/>
          <w:szCs w:val="24"/>
          <w:lang w:val="pt-BR"/>
        </w:rPr>
        <w:t xml:space="preserve"> e garantir que a justiça não chegue tarde e, por isso, injusta.</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6c0f487d"/>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8378f1c"/>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8fa675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01729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2945f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779a38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1B556A7"/>
    <w:rsid w:val="028298A2"/>
    <w:rsid w:val="05738B19"/>
    <w:rsid w:val="05CEB4A7"/>
    <w:rsid w:val="05D8FB7D"/>
    <w:rsid w:val="06676CE4"/>
    <w:rsid w:val="096BA69A"/>
    <w:rsid w:val="0EC20892"/>
    <w:rsid w:val="10C9981F"/>
    <w:rsid w:val="155E5270"/>
    <w:rsid w:val="19E2CACE"/>
    <w:rsid w:val="1A89E99F"/>
    <w:rsid w:val="1A89E99F"/>
    <w:rsid w:val="1B1459B4"/>
    <w:rsid w:val="1F631C53"/>
    <w:rsid w:val="1F631C53"/>
    <w:rsid w:val="1FDB5E12"/>
    <w:rsid w:val="2723F86E"/>
    <w:rsid w:val="31B556A7"/>
    <w:rsid w:val="3465A9C1"/>
    <w:rsid w:val="3C89FF2F"/>
    <w:rsid w:val="3C89FF2F"/>
    <w:rsid w:val="3DDA9A3A"/>
    <w:rsid w:val="40277107"/>
    <w:rsid w:val="40277107"/>
    <w:rsid w:val="464EEACB"/>
    <w:rsid w:val="4A855184"/>
    <w:rsid w:val="4C52C753"/>
    <w:rsid w:val="4FA25B60"/>
    <w:rsid w:val="54D15A44"/>
    <w:rsid w:val="55A1BCF4"/>
    <w:rsid w:val="56FAF16F"/>
    <w:rsid w:val="56FAF16F"/>
    <w:rsid w:val="5731D27C"/>
    <w:rsid w:val="5DE82B1B"/>
    <w:rsid w:val="5E45C874"/>
    <w:rsid w:val="645FF164"/>
    <w:rsid w:val="6BB1E441"/>
    <w:rsid w:val="6D267E8B"/>
    <w:rsid w:val="6E0083B5"/>
    <w:rsid w:val="6E0083B5"/>
    <w:rsid w:val="7800C014"/>
    <w:rsid w:val="79FE486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3746F"/>
  <w15:chartTrackingRefBased/>
  <w15:docId w15:val="{9FBFE84B-5006-43F0-83C2-3AEE52B61A4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3465A9C1"/>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3465A9C1"/>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3465A9C1"/>
    <w:pPr>
      <w:spacing/>
      <w:ind w:left="720"/>
      <w:contextualSpacing/>
    </w:pPr>
  </w:style>
  <w:style w:type="paragraph" w:styleId="Heading1">
    <w:uiPriority w:val="9"/>
    <w:name w:val="heading 1"/>
    <w:basedOn w:val="Normal"/>
    <w:next w:val="Normal"/>
    <w:qFormat/>
    <w:rsid w:val="3465A9C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SubtleReference">
    <w:uiPriority w:val="31"/>
    <w:name w:val="Subtle Reference"/>
    <w:basedOn w:val="DefaultParagraphFont"/>
    <w:qFormat/>
    <w:rsid w:val="3465A9C1"/>
    <w:rPr>
      <w:smallCaps w:val="1"/>
      <w:color w:val="5A5A5A"/>
    </w:rPr>
  </w:style>
  <w:style w:type="paragraph" w:styleId="Heading2">
    <w:uiPriority w:val="9"/>
    <w:name w:val="heading 2"/>
    <w:basedOn w:val="Normal"/>
    <w:next w:val="Normal"/>
    <w:unhideWhenUsed/>
    <w:qFormat/>
    <w:rsid w:val="3465A9C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3465A9C1"/>
    <w:rPr>
      <w:color w:val="467886"/>
      <w:u w:val="single"/>
    </w:rPr>
  </w:style>
  <w:style w:type="paragraph" w:styleId="TOC1">
    <w:uiPriority w:val="39"/>
    <w:name w:val="toc 1"/>
    <w:basedOn w:val="Normal"/>
    <w:next w:val="Normal"/>
    <w:unhideWhenUsed/>
    <w:rsid w:val="3465A9C1"/>
    <w:pPr>
      <w:spacing w:after="100"/>
    </w:pPr>
  </w:style>
  <w:style w:type="paragraph" w:styleId="TOC2">
    <w:uiPriority w:val="39"/>
    <w:name w:val="toc 2"/>
    <w:basedOn w:val="Normal"/>
    <w:next w:val="Normal"/>
    <w:unhideWhenUsed/>
    <w:rsid w:val="3465A9C1"/>
    <w:pPr>
      <w:spacing w:after="100"/>
      <w:ind w:left="22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9eb3527ed5f43d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2026-07-06T16:36:16.8376357Z</dcterms:created>
  <dcterms:modified xsi:type="dcterms:W3CDTF">2026-07-07T14:01:59.8093482Z</dcterms:modified>
  <dc:creator>Sandro Filipe</dc:creator>
  <lastModifiedBy>Sandro Filipe</lastModifiedBy>
</coreProperties>
</file>