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284839412"/>
        <w:docPartObj>
          <w:docPartGallery w:val="Table of Contents"/>
          <w:docPartUnique/>
        </w:docPartObj>
      </w:sdtPr>
      <w:sdtContent>
        <w:p w:rsidR="4FAAF389" w:rsidP="36C8A6EF" w:rsidRDefault="4FAAF389" w14:paraId="30A36DF1" w14:textId="49DAF2F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60239316">
            <w:r w:rsidRPr="7C1653F5" w:rsidR="7C1653F5">
              <w:rPr>
                <w:rStyle w:val="Hyperlink"/>
              </w:rPr>
              <w:t>1. Os Requisitos da Petição Inicial</w:t>
            </w:r>
            <w:r>
              <w:tab/>
            </w:r>
            <w:r>
              <w:fldChar w:fldCharType="begin"/>
            </w:r>
            <w:r>
              <w:instrText xml:space="preserve">PAGEREF _Toc1160239316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FAAF389" w:rsidP="36C8A6EF" w:rsidRDefault="4FAAF389" w14:paraId="2BBD0FD1" w14:textId="5BBE56A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9973656">
            <w:r w:rsidRPr="7C1653F5" w:rsidR="7C1653F5">
              <w:rPr>
                <w:rStyle w:val="Hyperlink"/>
              </w:rPr>
              <w:t>1.1. Designação do Tribunal e Identificação das Partes</w:t>
            </w:r>
            <w:r>
              <w:tab/>
            </w:r>
            <w:r>
              <w:fldChar w:fldCharType="begin"/>
            </w:r>
            <w:r>
              <w:instrText xml:space="preserve">PAGEREF _Toc1229973656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FAAF389" w:rsidP="36C8A6EF" w:rsidRDefault="4FAAF389" w14:paraId="661BCB9B" w14:textId="4FCDAAD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9912075">
            <w:r w:rsidRPr="7C1653F5" w:rsidR="7C1653F5">
              <w:rPr>
                <w:rStyle w:val="Hyperlink"/>
              </w:rPr>
              <w:t>1.2. Indicação da Forma do Processo</w:t>
            </w:r>
            <w:r>
              <w:tab/>
            </w:r>
            <w:r>
              <w:fldChar w:fldCharType="begin"/>
            </w:r>
            <w:r>
              <w:instrText xml:space="preserve">PAGEREF _Toc1139912075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AAF389" w:rsidP="36C8A6EF" w:rsidRDefault="4FAAF389" w14:paraId="714AECDA" w14:textId="5BB7FDD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1495396">
            <w:r w:rsidRPr="7C1653F5" w:rsidR="7C1653F5">
              <w:rPr>
                <w:rStyle w:val="Hyperlink"/>
              </w:rPr>
              <w:t>1.3. Exposição dos Factos e Fundamentos de Direito</w:t>
            </w:r>
            <w:r>
              <w:tab/>
            </w:r>
            <w:r>
              <w:fldChar w:fldCharType="begin"/>
            </w:r>
            <w:r>
              <w:instrText xml:space="preserve">PAGEREF _Toc1471495396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AAF389" w:rsidP="36C8A6EF" w:rsidRDefault="4FAAF389" w14:paraId="5F74F487" w14:textId="7A58354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5230846">
            <w:r w:rsidRPr="7C1653F5" w:rsidR="7C1653F5">
              <w:rPr>
                <w:rStyle w:val="Hyperlink"/>
              </w:rPr>
              <w:t>1.4. Consequências da Inobservância dos Requisitos</w:t>
            </w:r>
            <w:r>
              <w:tab/>
            </w:r>
            <w:r>
              <w:fldChar w:fldCharType="begin"/>
            </w:r>
            <w:r>
              <w:instrText xml:space="preserve">PAGEREF _Toc1515230846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AAF389" w:rsidP="36C8A6EF" w:rsidRDefault="4FAAF389" w14:paraId="20EA93B1" w14:textId="2BEEA4D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0749613">
            <w:r w:rsidRPr="7C1653F5" w:rsidR="7C1653F5">
              <w:rPr>
                <w:rStyle w:val="Hyperlink"/>
              </w:rPr>
              <w:t>2. Estrutura Da Fundamentação</w:t>
            </w:r>
            <w:r>
              <w:tab/>
            </w:r>
            <w:r>
              <w:fldChar w:fldCharType="begin"/>
            </w:r>
            <w:r>
              <w:instrText xml:space="preserve">PAGEREF _Toc1470749613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AAF389" w:rsidP="36C8A6EF" w:rsidRDefault="4FAAF389" w14:paraId="0F1852AD" w14:textId="00FADF2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2136326">
            <w:r w:rsidRPr="7C1653F5" w:rsidR="7C1653F5">
              <w:rPr>
                <w:rStyle w:val="Hyperlink"/>
              </w:rPr>
              <w:t>2.1. Relação com o Artigo 467.º, n.º 1, alínea c)</w:t>
            </w:r>
            <w:r>
              <w:tab/>
            </w:r>
            <w:r>
              <w:fldChar w:fldCharType="begin"/>
            </w:r>
            <w:r>
              <w:instrText xml:space="preserve">PAGEREF _Toc642136326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AAF389" w:rsidP="36C8A6EF" w:rsidRDefault="4FAAF389" w14:paraId="175DB36E" w14:textId="544E0DA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466017">
            <w:r w:rsidRPr="7C1653F5" w:rsidR="7C1653F5">
              <w:rPr>
                <w:rStyle w:val="Hyperlink"/>
              </w:rPr>
              <w:t>2.2. Finalidades da Organização dos Factos por Artigos</w:t>
            </w:r>
            <w:r>
              <w:tab/>
            </w:r>
            <w:r>
              <w:fldChar w:fldCharType="begin"/>
            </w:r>
            <w:r>
              <w:instrText xml:space="preserve">PAGEREF _Toc56466017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36C8A6EF" w:rsidRDefault="4FAAF389" w14:paraId="3D9B41B2" w14:textId="1440DE4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7957740">
            <w:r w:rsidRPr="7C1653F5" w:rsidR="7C1653F5">
              <w:rPr>
                <w:rStyle w:val="Hyperlink"/>
              </w:rPr>
              <w:t>2.2.1. Garantia do Contraditório Efetivo</w:t>
            </w:r>
            <w:r>
              <w:tab/>
            </w:r>
            <w:r>
              <w:fldChar w:fldCharType="begin"/>
            </w:r>
            <w:r>
              <w:instrText xml:space="preserve">PAGEREF _Toc1447957740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4FAAF389" w:rsidRDefault="4FAAF389" w14:paraId="1047C9EC" w14:textId="5C676C2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2860129">
            <w:r w:rsidRPr="7C1653F5" w:rsidR="7C1653F5">
              <w:rPr>
                <w:rStyle w:val="Hyperlink"/>
              </w:rPr>
              <w:t>2.2.2. Delimitação Precisa do Objeto do Litígio</w:t>
            </w:r>
            <w:r>
              <w:tab/>
            </w:r>
            <w:r>
              <w:fldChar w:fldCharType="begin"/>
            </w:r>
            <w:r>
              <w:instrText xml:space="preserve">PAGEREF _Toc542860129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4FAAF389" w:rsidRDefault="4FAAF389" w14:paraId="0FD44D65" w14:textId="0727331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8986428">
            <w:r w:rsidRPr="7C1653F5" w:rsidR="7C1653F5">
              <w:rPr>
                <w:rStyle w:val="Hyperlink"/>
              </w:rPr>
              <w:t>2.2.3. Facilitação da Instrução e Julgamento</w:t>
            </w:r>
            <w:r>
              <w:tab/>
            </w:r>
            <w:r>
              <w:fldChar w:fldCharType="begin"/>
            </w:r>
            <w:r>
              <w:instrText xml:space="preserve">PAGEREF _Toc648986428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36C8A6EF" w:rsidRDefault="4FAAF389" w14:paraId="5C9407C3" w14:textId="15E7C15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9532097">
            <w:r w:rsidRPr="7C1653F5" w:rsidR="7C1653F5">
              <w:rPr>
                <w:rStyle w:val="Hyperlink"/>
              </w:rPr>
              <w:t>2.3. Técnica de Redação dos Artigos Factuais</w:t>
            </w:r>
            <w:r>
              <w:tab/>
            </w:r>
            <w:r>
              <w:fldChar w:fldCharType="begin"/>
            </w:r>
            <w:r>
              <w:instrText xml:space="preserve">PAGEREF _Toc1429532097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36C8A6EF" w:rsidRDefault="4FAAF389" w14:paraId="3E508E3E" w14:textId="6645C91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1937423">
            <w:r w:rsidRPr="7C1653F5" w:rsidR="7C1653F5">
              <w:rPr>
                <w:rStyle w:val="Hyperlink"/>
              </w:rPr>
              <w:t>2.3.1. Unidade de Facto por Artigo</w:t>
            </w:r>
            <w:r>
              <w:tab/>
            </w:r>
            <w:r>
              <w:fldChar w:fldCharType="begin"/>
            </w:r>
            <w:r>
              <w:instrText xml:space="preserve">PAGEREF _Toc411937423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AAF389" w:rsidP="4FAAF389" w:rsidRDefault="4FAAF389" w14:paraId="0E8455F2" w14:textId="102C930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7239303">
            <w:r w:rsidRPr="7C1653F5" w:rsidR="7C1653F5">
              <w:rPr>
                <w:rStyle w:val="Hyperlink"/>
              </w:rPr>
              <w:t>2.3.2. Ordem Lógica e Cronológica</w:t>
            </w:r>
            <w:r>
              <w:tab/>
            </w:r>
            <w:r>
              <w:fldChar w:fldCharType="begin"/>
            </w:r>
            <w:r>
              <w:instrText xml:space="preserve">PAGEREF _Toc287239303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FAAF389" w:rsidP="36C8A6EF" w:rsidRDefault="4FAAF389" w14:paraId="3C516C7E" w14:textId="54423F2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37816298">
            <w:r w:rsidRPr="7C1653F5" w:rsidR="7C1653F5">
              <w:rPr>
                <w:rStyle w:val="Hyperlink"/>
              </w:rPr>
              <w:t>2.4. Consequências da Inobservância da Obrigação de Articulação</w:t>
            </w:r>
            <w:r>
              <w:tab/>
            </w:r>
            <w:r>
              <w:fldChar w:fldCharType="begin"/>
            </w:r>
            <w:r>
              <w:instrText xml:space="preserve">PAGEREF _Toc937816298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FAAF389" w:rsidP="36C8A6EF" w:rsidRDefault="4FAAF389" w14:paraId="00BED099" w14:textId="6378034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2556836">
            <w:r w:rsidRPr="7C1653F5" w:rsidR="7C1653F5">
              <w:rPr>
                <w:rStyle w:val="Hyperlink"/>
              </w:rPr>
              <w:t>2.4.1. Distinção entre Articulação de Factos e Articulação de Direito</w:t>
            </w:r>
            <w:r>
              <w:tab/>
            </w:r>
            <w:r>
              <w:fldChar w:fldCharType="begin"/>
            </w:r>
            <w:r>
              <w:instrText xml:space="preserve">PAGEREF _Toc2112556836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FAAF389" w:rsidP="36C8A6EF" w:rsidRDefault="4FAAF389" w14:paraId="6DDC8403" w14:textId="697AFFA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2044299">
            <w:r w:rsidRPr="7C1653F5" w:rsidR="7C1653F5">
              <w:rPr>
                <w:rStyle w:val="Hyperlink"/>
              </w:rPr>
              <w:t>3. Formulação do Pedido</w:t>
            </w:r>
            <w:r>
              <w:tab/>
            </w:r>
            <w:r>
              <w:fldChar w:fldCharType="begin"/>
            </w:r>
            <w:r>
              <w:instrText xml:space="preserve">PAGEREF _Toc902044299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FAAF389" w:rsidP="4FAAF389" w:rsidRDefault="4FAAF389" w14:paraId="3A8727D6" w14:textId="4949621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32287480">
            <w:r w:rsidRPr="7C1653F5" w:rsidR="7C1653F5">
              <w:rPr>
                <w:rStyle w:val="Hyperlink"/>
              </w:rPr>
              <w:t>Resumo Prático para Petição Inicial</w:t>
            </w:r>
            <w:r>
              <w:tab/>
            </w:r>
            <w:r>
              <w:fldChar w:fldCharType="begin"/>
            </w:r>
            <w:r>
              <w:instrText xml:space="preserve">PAGEREF _Toc1732287480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FAAF389" w:rsidP="36C8A6EF" w:rsidRDefault="4FAAF389" w14:paraId="389D228F" w14:textId="6A224C8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9919226">
            <w:r w:rsidRPr="7C1653F5" w:rsidR="7C1653F5">
              <w:rPr>
                <w:rStyle w:val="Hyperlink"/>
              </w:rPr>
              <w:t>4. Declaração do Valor da Causa</w:t>
            </w:r>
            <w:r>
              <w:tab/>
            </w:r>
            <w:r>
              <w:fldChar w:fldCharType="begin"/>
            </w:r>
            <w:r>
              <w:instrText xml:space="preserve">PAGEREF _Toc1049919226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FAAF389" w:rsidP="36C8A6EF" w:rsidRDefault="4FAAF389" w14:paraId="61235884" w14:textId="1F05601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8722681">
            <w:r w:rsidRPr="7C1653F5" w:rsidR="7C1653F5">
              <w:rPr>
                <w:rStyle w:val="Hyperlink"/>
              </w:rPr>
              <w:t>5. Formalidades Externas e Documentais</w:t>
            </w:r>
            <w:r>
              <w:tab/>
            </w:r>
            <w:r>
              <w:fldChar w:fldCharType="begin"/>
            </w:r>
            <w:r>
              <w:instrText xml:space="preserve">PAGEREF _Toc1628722681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FAAF389" w:rsidP="36C8A6EF" w:rsidRDefault="4FAAF389" w14:paraId="1E78CAC4" w14:textId="118E350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6332979">
            <w:r w:rsidRPr="7C1653F5" w:rsidR="7C1653F5">
              <w:rPr>
                <w:rStyle w:val="Hyperlink"/>
              </w:rPr>
              <w:t>6. O Indeferimento da Petição Inicial por Ineptidão</w:t>
            </w:r>
            <w:r>
              <w:tab/>
            </w:r>
            <w:r>
              <w:fldChar w:fldCharType="begin"/>
            </w:r>
            <w:r>
              <w:instrText xml:space="preserve">PAGEREF _Toc1226332979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6C8A6EF" w:rsidP="7C1653F5" w:rsidRDefault="36C8A6EF" w14:paraId="1937C876" w14:textId="5F10675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2577490">
            <w:r w:rsidRPr="7C1653F5" w:rsidR="7C1653F5">
              <w:rPr>
                <w:rStyle w:val="Hyperlink"/>
              </w:rPr>
              <w:t>7. As Causas Gerais de Indeferimento Liminar</w:t>
            </w:r>
            <w:r>
              <w:tab/>
            </w:r>
            <w:r>
              <w:fldChar w:fldCharType="begin"/>
            </w:r>
            <w:r>
              <w:instrText xml:space="preserve">PAGEREF _Toc792577490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6C8A6EF" w:rsidP="7C1653F5" w:rsidRDefault="36C8A6EF" w14:paraId="6F9508AF" w14:textId="25CF68C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6111227">
            <w:r w:rsidRPr="7C1653F5" w:rsidR="7C1653F5">
              <w:rPr>
                <w:rStyle w:val="Hyperlink"/>
              </w:rPr>
              <w:t>8. A Reacção do Autor: Agravo e Renovação da Petição</w:t>
            </w:r>
            <w:r>
              <w:tab/>
            </w:r>
            <w:r>
              <w:fldChar w:fldCharType="begin"/>
            </w:r>
            <w:r>
              <w:instrText xml:space="preserve">PAGEREF _Toc1666111227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6C8A6EF" w:rsidP="7C1653F5" w:rsidRDefault="36C8A6EF" w14:paraId="7C7D0457" w14:textId="6AA3037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8656667">
            <w:r w:rsidRPr="7C1653F5" w:rsidR="7C1653F5">
              <w:rPr>
                <w:rStyle w:val="Hyperlink"/>
              </w:rPr>
              <w:t>8.1. O Agravo do Despacho de Indeferimento</w:t>
            </w:r>
            <w:r>
              <w:tab/>
            </w:r>
            <w:r>
              <w:fldChar w:fldCharType="begin"/>
            </w:r>
            <w:r>
              <w:instrText xml:space="preserve">PAGEREF _Toc318656667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6C8A6EF" w:rsidP="7C1653F5" w:rsidRDefault="36C8A6EF" w14:paraId="22A87BA3" w14:textId="63CFEB1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66693646">
            <w:r w:rsidRPr="7C1653F5" w:rsidR="7C1653F5">
              <w:rPr>
                <w:rStyle w:val="Hyperlink"/>
              </w:rPr>
              <w:t>8.2. O Benefício da Renovação da Petição</w:t>
            </w:r>
            <w:r>
              <w:tab/>
            </w:r>
            <w:r>
              <w:fldChar w:fldCharType="begin"/>
            </w:r>
            <w:r>
              <w:instrText xml:space="preserve">PAGEREF _Toc266693646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6C8A6EF" w:rsidP="7C1653F5" w:rsidRDefault="36C8A6EF" w14:paraId="0FFDA303" w14:textId="1F860D3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5328104">
            <w:r w:rsidRPr="7C1653F5" w:rsidR="7C1653F5">
              <w:rPr>
                <w:rStyle w:val="Hyperlink"/>
              </w:rPr>
              <w:t>9. Princípio do Saneamento</w:t>
            </w:r>
            <w:r>
              <w:tab/>
            </w:r>
            <w:r>
              <w:fldChar w:fldCharType="begin"/>
            </w:r>
            <w:r>
              <w:instrText xml:space="preserve">PAGEREF _Toc485328104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6C8A6EF" w:rsidP="7C1653F5" w:rsidRDefault="36C8A6EF" w14:paraId="2333F591" w14:textId="4B4BF7D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4970094">
            <w:r w:rsidRPr="7C1653F5" w:rsidR="7C1653F5">
              <w:rPr>
                <w:rStyle w:val="Hyperlink"/>
              </w:rPr>
              <w:t>10. O Indeferimento Liminar como Limite ao Aperfeiçoamento</w:t>
            </w:r>
            <w:r>
              <w:tab/>
            </w:r>
            <w:r>
              <w:fldChar w:fldCharType="begin"/>
            </w:r>
            <w:r>
              <w:instrText xml:space="preserve">PAGEREF _Toc304970094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6C8A6EF" w:rsidP="7C1653F5" w:rsidRDefault="36C8A6EF" w14:paraId="77518A0F" w14:textId="72F0A66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2023018">
            <w:r w:rsidRPr="7C1653F5" w:rsidR="7C1653F5">
              <w:rPr>
                <w:rStyle w:val="Hyperlink"/>
              </w:rPr>
              <w:t>11. Conteúdo e Alcance do Despacho de Aperfeiçoamento</w:t>
            </w:r>
            <w:r>
              <w:tab/>
            </w:r>
            <w:r>
              <w:fldChar w:fldCharType="begin"/>
            </w:r>
            <w:r>
              <w:instrText xml:space="preserve">PAGEREF _Toc822023018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6C8A6EF" w:rsidP="36C8A6EF" w:rsidRDefault="36C8A6EF" w14:paraId="7CD0BB76" w14:textId="5F59D87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3289770">
            <w:r w:rsidRPr="7C1653F5" w:rsidR="7C1653F5">
              <w:rPr>
                <w:rStyle w:val="Hyperlink"/>
              </w:rPr>
              <w:t>11.1. A Relação com a Citação e o Agravo</w:t>
            </w:r>
            <w:r>
              <w:tab/>
            </w:r>
            <w:r>
              <w:fldChar w:fldCharType="begin"/>
            </w:r>
            <w:r>
              <w:instrText xml:space="preserve">PAGEREF _Toc1173289770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7C1653F5" w:rsidP="7C1653F5" w:rsidRDefault="7C1653F5" w14:paraId="1AB3233F" w14:textId="2BCCECC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9303506">
            <w:r w:rsidRPr="7C1653F5" w:rsidR="7C1653F5">
              <w:rPr>
                <w:rStyle w:val="Hyperlink"/>
              </w:rPr>
              <w:t>12. Natureza Jurídica e Função do Instituto</w:t>
            </w:r>
            <w:r>
              <w:tab/>
            </w:r>
            <w:r>
              <w:fldChar w:fldCharType="begin"/>
            </w:r>
            <w:r>
              <w:instrText xml:space="preserve">PAGEREF _Toc499303506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7C1653F5" w:rsidP="7C1653F5" w:rsidRDefault="7C1653F5" w14:paraId="1364C13D" w14:textId="0A06A33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0316260">
            <w:r w:rsidRPr="7C1653F5" w:rsidR="7C1653F5">
              <w:rPr>
                <w:rStyle w:val="Hyperlink"/>
              </w:rPr>
              <w:t>13. Considerações Finais</w:t>
            </w:r>
            <w:r>
              <w:tab/>
            </w:r>
            <w:r>
              <w:fldChar w:fldCharType="begin"/>
            </w:r>
            <w:r>
              <w:instrText xml:space="preserve">PAGEREF _Toc2100316260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7C1653F5" w:rsidP="7C1653F5" w:rsidRDefault="7C1653F5" w14:paraId="41CAD1ED" w14:textId="17F15BD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3435817">
            <w:r w:rsidRPr="7C1653F5" w:rsidR="7C1653F5">
              <w:rPr>
                <w:rStyle w:val="Hyperlink"/>
              </w:rPr>
              <w:t>Referências Bibliográficas</w:t>
            </w:r>
            <w:r>
              <w:tab/>
            </w:r>
            <w:r>
              <w:fldChar w:fldCharType="begin"/>
            </w:r>
            <w:r>
              <w:instrText xml:space="preserve">PAGEREF _Toc213435817 \h</w:instrText>
            </w:r>
            <w:r>
              <w:fldChar w:fldCharType="separate"/>
            </w:r>
            <w:r w:rsidRPr="7C1653F5" w:rsidR="7C1653F5">
              <w:rPr>
                <w:rStyle w:val="Hyperlink"/>
              </w:rPr>
              <w:t>21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FAAF389" w:rsidP="36C8A6EF" w:rsidRDefault="4FAAF389" w14:paraId="28DF3164" w14:textId="62D0C556">
      <w:pPr>
        <w:pStyle w:val="Title"/>
        <w:keepNext w:val="0"/>
        <w:keepLines w:val="0"/>
        <w:spacing w:line="360" w:lineRule="auto"/>
        <w:ind w:firstLine="1008"/>
        <w:contextualSpacing w:val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t-BR"/>
        </w:rPr>
      </w:pPr>
    </w:p>
    <w:p w:rsidR="4FAAF389" w:rsidP="36C8A6EF" w:rsidRDefault="4FAAF389" w14:paraId="077011A4" w14:textId="2F8720B5">
      <w:pPr>
        <w:keepNext w:val="0"/>
        <w:keepLines w:val="0"/>
        <w:spacing w:line="360" w:lineRule="auto"/>
        <w:ind w:firstLine="1008"/>
        <w:jc w:val="both"/>
      </w:pPr>
      <w:r>
        <w:br w:type="page"/>
      </w:r>
    </w:p>
    <w:p w:rsidR="3D88396D" w:rsidP="36C8A6EF" w:rsidRDefault="3D88396D" w14:paraId="3AEA115B" w14:textId="45752CFF">
      <w:pPr>
        <w:pStyle w:val="Title"/>
        <w:keepNext w:val="0"/>
        <w:keepLines w:val="0"/>
        <w:spacing w:line="360" w:lineRule="auto"/>
        <w:ind w:firstLine="1008"/>
        <w:contextualSpacing w:val="0"/>
        <w:jc w:val="both"/>
      </w:pPr>
      <w:r w:rsidRPr="36C8A6EF" w:rsidR="75FC9801">
        <w:rPr>
          <w:rStyle w:val="BookTitle"/>
          <w:noProof w:val="0"/>
          <w:lang w:val="pt-BR"/>
        </w:rPr>
        <w:t>PETIÇÃO INICIAL</w:t>
      </w:r>
    </w:p>
    <w:p w:rsidR="3164AF47" w:rsidP="36C8A6EF" w:rsidRDefault="3164AF47" w14:paraId="39EB6F23" w14:textId="7C526712">
      <w:pPr>
        <w:pStyle w:val="Title"/>
        <w:keepNext w:val="0"/>
        <w:keepLines w:val="0"/>
        <w:ind w:firstLine="1008"/>
        <w:jc w:val="both"/>
      </w:pPr>
      <w:r w:rsidRPr="36C8A6EF" w:rsidR="3164AF47">
        <w:rPr>
          <w:i w:val="1"/>
          <w:iCs w:val="1"/>
          <w:noProof w:val="0"/>
          <w:lang w:val="pt-BR"/>
        </w:rPr>
        <w:t>PARTE I</w:t>
      </w:r>
    </w:p>
    <w:p w:rsidR="3164AF47" w:rsidP="36C8A6EF" w:rsidRDefault="3164AF47" w14:paraId="5750326B" w14:textId="6185C6C9">
      <w:pPr>
        <w:pStyle w:val="Subtitle"/>
        <w:keepNext w:val="0"/>
        <w:keepLines w:val="0"/>
        <w:rPr>
          <w:i w:val="1"/>
          <w:iCs w:val="1"/>
          <w:noProof w:val="0"/>
          <w:lang w:val="pt-BR"/>
        </w:rPr>
      </w:pPr>
      <w:r w:rsidRPr="36C8A6EF" w:rsidR="3164AF47">
        <w:rPr>
          <w:noProof w:val="0"/>
          <w:lang w:val="pt-BR"/>
        </w:rPr>
        <w:t>INTRODUÇÃO</w:t>
      </w:r>
    </w:p>
    <w:p xmlns:wp14="http://schemas.microsoft.com/office/word/2010/wordml" w:rsidP="36C8A6EF" wp14:paraId="7738C0E8" wp14:textId="5B0935B4">
      <w:pPr>
        <w:keepNext w:val="0"/>
        <w:keepLines w:val="0"/>
        <w:spacing w:before="0" w:beforeAutospacing="off" w:after="240" w:afterAutospacing="off" w:line="360" w:lineRule="auto"/>
        <w:ind w:firstLine="1008"/>
        <w:jc w:val="both"/>
      </w:pPr>
      <w:r w:rsidRPr="70EFA9EA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petição inicial constitui o ato processual inaugural</w:t>
      </w:r>
      <w:r w:rsidRPr="70EFA9EA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1169"/>
      </w:r>
      <w:r w:rsidRPr="70EFA9EA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por excelência, através do qual se dá início ao processo e se exerce o direito constitucionalmente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7840"/>
      </w:r>
      <w:r w:rsidRPr="70EFA9EA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garantido de ação. No sistema processual civil angolano, este instituto encontra-se regulado nos artigos </w:t>
      </w:r>
      <w:r w:rsidRPr="4FAAF389" w:rsidR="51C2EECF">
        <w:rPr>
          <w:rStyle w:val="SubtleReference"/>
          <w:noProof w:val="0"/>
          <w:lang w:val="pt-BR"/>
        </w:rPr>
        <w:t xml:space="preserve">467.º a 479.º do Código de Processo Civil (CPC)</w:t>
      </w:r>
      <w:r w:rsidRPr="70EFA9EA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aprovado pelo </w:t>
      </w:r>
      <w:r w:rsidRPr="4FAAF389" w:rsidR="51C2EECF">
        <w:rPr>
          <w:rStyle w:val="SubtleReference"/>
          <w:noProof w:val="0"/>
          <w:lang w:val="pt-BR"/>
        </w:rPr>
        <w:t xml:space="preserve">Decreto-Lei n.º 44 129, de 28 de </w:t>
      </w:r>
      <w:r w:rsidRPr="4FAAF389" w:rsidR="51C2EECF">
        <w:rPr>
          <w:rStyle w:val="SubtleReference"/>
          <w:noProof w:val="0"/>
          <w:lang w:val="pt-BR"/>
        </w:rPr>
        <w:t>Dezembro</w:t>
      </w:r>
      <w:r w:rsidRPr="4FAAF389" w:rsidR="51C2EECF">
        <w:rPr>
          <w:rStyle w:val="SubtleReference"/>
          <w:noProof w:val="0"/>
          <w:lang w:val="pt-BR"/>
        </w:rPr>
        <w:t xml:space="preserve"> de 1961</w:t>
      </w:r>
      <w:r w:rsidRPr="70EFA9EA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 ainda em vigor em Angola com as alterações introduzidas pelas sucessivas leis de revisão.</w:t>
      </w:r>
    </w:p>
    <w:p w:rsidR="009EA7B3" w:rsidP="36C8A6EF" w:rsidRDefault="009EA7B3" w14:paraId="60FCE914" w14:textId="503982F9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petição inicial representa a concretização do princípio dispositivo, segundo o qual cabe ao autor definir os contornos da lide, estabelecendo os limites objetivos e subjetivos da causa. Como refere Manuel de Andrade, citado por Antunes Varela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5732"/>
      </w:r>
      <w:r w:rsidRPr="4FAAF389" w:rsidR="245FE23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009EA7B3" w:rsidP="36C8A6EF" w:rsidRDefault="009EA7B3" w14:paraId="790249F2" w14:textId="4DD54D05">
      <w:pPr>
        <w:pStyle w:val="IntenseQuote"/>
        <w:keepNext w:val="0"/>
        <w:keepLines w:val="0"/>
        <w:ind w:firstLine="1008"/>
        <w:jc w:val="both"/>
      </w:pPr>
      <w:r w:rsidRPr="36C8A6EF" w:rsidR="51C2EECF">
        <w:rPr>
          <w:noProof w:val="0"/>
          <w:lang w:val="pt-BR"/>
        </w:rPr>
        <w:t>"a petição inicial é o documento fundamental do processo, porque é nela que o autor expõe os fundamentos da sua pretensão e formula o pedido correspondente"</w:t>
      </w:r>
    </w:p>
    <w:p xmlns:wp14="http://schemas.microsoft.com/office/word/2010/wordml" w:rsidP="36C8A6EF" wp14:paraId="41461BA0" wp14:textId="65E075E0">
      <w:pPr>
        <w:pStyle w:val="Heading1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160239316" w:id="1957248509"/>
      <w:r w:rsidRPr="7C1653F5" w:rsidR="0493CB66">
        <w:rPr>
          <w:noProof w:val="0"/>
          <w:lang w:val="pt-BR"/>
        </w:rPr>
        <w:t xml:space="preserve">1. </w:t>
      </w:r>
      <w:r w:rsidRPr="7C1653F5" w:rsidR="51C2EECF">
        <w:rPr>
          <w:noProof w:val="0"/>
          <w:lang w:val="pt-BR"/>
        </w:rPr>
        <w:t>Os Requisitos da Petição Inicial</w:t>
      </w:r>
      <w:bookmarkEnd w:id="1957248509"/>
    </w:p>
    <w:p xmlns:wp14="http://schemas.microsoft.com/office/word/2010/wordml" w:rsidP="36C8A6EF" wp14:paraId="6490A088" wp14:textId="14C7022E">
      <w:pPr>
        <w:pStyle w:val="Heading2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229973656" w:id="1494067208"/>
      <w:r w:rsidRPr="7C1653F5" w:rsidR="51C2EECF">
        <w:rPr>
          <w:noProof w:val="0"/>
          <w:lang w:val="pt-BR"/>
        </w:rPr>
        <w:t>1.</w:t>
      </w:r>
      <w:r w:rsidRPr="7C1653F5" w:rsidR="74B8B3D3">
        <w:rPr>
          <w:noProof w:val="0"/>
          <w:lang w:val="pt-BR"/>
        </w:rPr>
        <w:t>1.</w:t>
      </w:r>
      <w:r w:rsidRPr="7C1653F5" w:rsidR="51C2EECF">
        <w:rPr>
          <w:noProof w:val="0"/>
          <w:lang w:val="pt-BR"/>
        </w:rPr>
        <w:t xml:space="preserve"> Designação do Tribunal e Identificação das Partes</w:t>
      </w:r>
      <w:bookmarkEnd w:id="1494067208"/>
    </w:p>
    <w:p xmlns:wp14="http://schemas.microsoft.com/office/word/2010/wordml" w:rsidP="36C8A6EF" wp14:paraId="7B67FE92" wp14:textId="2F5B464C">
      <w:pPr>
        <w:pStyle w:val="Normal"/>
        <w:keepNext w:val="0"/>
        <w:keepLines w:val="0"/>
        <w:spacing w:line="360" w:lineRule="auto"/>
        <w:ind w:firstLine="1008"/>
        <w:jc w:val="both"/>
      </w:pPr>
      <w:r w:rsidRPr="36C8A6EF" w:rsidR="51C2EECF">
        <w:rPr>
          <w:noProof w:val="0"/>
          <w:lang w:val="pt-BR"/>
        </w:rPr>
        <w:t xml:space="preserve">O </w:t>
      </w:r>
      <w:r w:rsidRPr="36C8A6EF" w:rsidR="51C2EECF">
        <w:rPr>
          <w:rStyle w:val="SubtleReference"/>
          <w:noProof w:val="0"/>
          <w:lang w:val="pt-BR"/>
        </w:rPr>
        <w:t>artigo 467.º, n.º 1, alínea a) do CPC</w:t>
      </w:r>
      <w:r w:rsidRPr="36C8A6EF" w:rsidR="51C2EECF">
        <w:rPr>
          <w:noProof w:val="0"/>
          <w:lang w:val="pt-BR"/>
        </w:rPr>
        <w:t xml:space="preserve"> impõe que o autor </w:t>
      </w:r>
      <w:r w:rsidRPr="36C8A6EF" w:rsidR="51C2EECF">
        <w:rPr>
          <w:noProof w:val="0"/>
          <w:lang w:val="pt-BR"/>
        </w:rPr>
        <w:t xml:space="preserve">"designe o tribunal onde a </w:t>
      </w:r>
      <w:bookmarkStart w:name="_Int_thDgKaSY" w:id="250905236"/>
      <w:r w:rsidRPr="36C8A6EF" w:rsidR="51C2EECF">
        <w:rPr>
          <w:noProof w:val="0"/>
          <w:lang w:val="pt-BR"/>
        </w:rPr>
        <w:t>acção</w:t>
      </w:r>
      <w:bookmarkEnd w:id="250905236"/>
      <w:r w:rsidRPr="36C8A6EF" w:rsidR="51C2EECF">
        <w:rPr>
          <w:noProof w:val="0"/>
          <w:lang w:val="pt-BR"/>
        </w:rPr>
        <w:t xml:space="preserve"> é proposta e identifique as regras"</w:t>
      </w:r>
      <w:r w:rsidRPr="36C8A6EF" w:rsidR="51C2EECF">
        <w:rPr>
          <w:noProof w:val="0"/>
          <w:lang w:val="pt-BR"/>
        </w:rPr>
        <w:t>. Este requisito, aparentemente formal, reveste-se de importância capital, pois dele depende a fixação da competência internacional, material e territorial.</w:t>
      </w:r>
    </w:p>
    <w:p xmlns:wp14="http://schemas.microsoft.com/office/word/2010/wordml" w:rsidP="36C8A6EF" wp14:paraId="3B2B6AE3" wp14:textId="40714AB4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designação do tribunal deve observar as regras de competência estabelecidas nos artigos </w:t>
      </w:r>
      <w:r w:rsidRPr="36C8A6EF" w:rsidR="51C2EECF">
        <w:rPr>
          <w:rStyle w:val="SubtleReference"/>
          <w:noProof w:val="0"/>
          <w:lang w:val="pt-BR"/>
        </w:rPr>
        <w:t>61.º a 95.º do CPC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que determinam a distribuição do poder jurisdicional entre os diferentes tribunais. A </w:t>
      </w:r>
      <w:r w:rsidRPr="36C8A6EF" w:rsidR="0D74A68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indevida escolha do tribunal pode resultar em incompetências absolutas e eventual absolvição da instância.</w:t>
      </w:r>
    </w:p>
    <w:p w:rsidR="009EA7B3" w:rsidP="36C8A6EF" w:rsidRDefault="009EA7B3" w14:paraId="1F5D7F11" w14:textId="4C32045F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identificação das partes deve ser precisa e completa, permitindo a sua individualização inequívoca. Para as pessoas singulares, devem constar o nome completo, estado civil, profissão, residência e, quando aplicável, o número de identificação </w:t>
      </w:r>
      <w:r w:rsidRPr="36C8A6EF" w:rsidR="03354F6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</w:t>
      </w:r>
      <w:r w:rsidRPr="36C8A6EF" w:rsidR="03354F6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nif</w:t>
      </w:r>
      <w:r w:rsidRPr="36C8A6EF" w:rsidR="03354F6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 para as pessoas coletivas, a denominação social, sede e número de identificação fiscal.</w:t>
      </w:r>
    </w:p>
    <w:p w:rsidR="009EA7B3" w:rsidP="36C8A6EF" w:rsidRDefault="009EA7B3" w14:paraId="31226F4A" w14:textId="6C25E452">
      <w:pPr>
        <w:pStyle w:val="Quote"/>
        <w:keepNext w:val="0"/>
        <w:keepLines w:val="0"/>
        <w:spacing w:line="360" w:lineRule="auto"/>
        <w:ind w:firstLine="1008"/>
        <w:jc w:val="both"/>
      </w:pPr>
      <w:r w:rsidRPr="4FAAF389" w:rsidR="51C2EECF">
        <w:rPr>
          <w:noProof w:val="0"/>
          <w:lang w:val="pt-BR"/>
        </w:rPr>
        <w:t>Como salienta Lopes do Rego</w:t>
      </w:r>
      <w:r w:rsidRPr="4FAAF389" w:rsidR="43F82EF9">
        <w:rPr>
          <w:noProof w:val="0"/>
          <w:lang w:val="pt-BR"/>
        </w:rPr>
        <w:t xml:space="preserve">, </w:t>
      </w:r>
      <w:r w:rsidRPr="4FAAF389" w:rsidR="51C2EECF">
        <w:rPr>
          <w:noProof w:val="0"/>
          <w:lang w:val="pt-BR"/>
        </w:rPr>
        <w:t>"a correta identificação</w:t>
      </w:r>
      <w:r w:rsidRPr="4FAAF389">
        <w:rPr>
          <w:noProof w:val="0"/>
          <w:lang w:val="pt-BR"/>
        </w:rPr>
        <w:footnoteReference w:id="17513"/>
      </w:r>
      <w:r w:rsidRPr="4FAAF389" w:rsidR="51C2EECF">
        <w:rPr>
          <w:noProof w:val="0"/>
          <w:lang w:val="pt-BR"/>
        </w:rPr>
        <w:t xml:space="preserve"> das partes não é mero formalismo, mas condição essencial para a garantia do contraditório e da segurança na definição dos sujeitos processuais"</w:t>
      </w:r>
    </w:p>
    <w:p xmlns:wp14="http://schemas.microsoft.com/office/word/2010/wordml" w:rsidP="36C8A6EF" wp14:paraId="78305804" wp14:textId="68949771">
      <w:pPr>
        <w:pStyle w:val="Heading2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139912075" w:id="1581670730"/>
      <w:r w:rsidRPr="7C1653F5" w:rsidR="0EC36E13">
        <w:rPr>
          <w:noProof w:val="0"/>
          <w:lang w:val="pt-BR"/>
        </w:rPr>
        <w:t>1.</w:t>
      </w:r>
      <w:r w:rsidRPr="7C1653F5" w:rsidR="51C2EECF">
        <w:rPr>
          <w:noProof w:val="0"/>
          <w:lang w:val="pt-BR"/>
        </w:rPr>
        <w:t>2. Indicação da Forma do Processo</w:t>
      </w:r>
      <w:bookmarkEnd w:id="1581670730"/>
    </w:p>
    <w:p xmlns:wp14="http://schemas.microsoft.com/office/word/2010/wordml" w:rsidP="36C8A6EF" wp14:paraId="4435AACA" wp14:textId="20467C2D">
      <w:pPr>
        <w:pStyle w:val="Normal"/>
        <w:keepNext w:val="0"/>
        <w:keepLines w:val="0"/>
        <w:spacing w:line="360" w:lineRule="auto"/>
        <w:ind w:firstLine="1008"/>
        <w:jc w:val="both"/>
      </w:pPr>
      <w:r w:rsidRPr="36C8A6EF" w:rsidR="51C2EECF">
        <w:rPr>
          <w:noProof w:val="0"/>
          <w:lang w:val="pt-BR"/>
        </w:rPr>
        <w:t xml:space="preserve">A </w:t>
      </w:r>
      <w:r w:rsidRPr="36C8A6EF" w:rsidR="51C2EECF">
        <w:rPr>
          <w:rStyle w:val="SubtleReference"/>
          <w:noProof w:val="0"/>
          <w:lang w:val="pt-BR"/>
        </w:rPr>
        <w:t>alínea b) do n.º 1 do artigo 467.</w:t>
      </w:r>
      <w:r w:rsidRPr="36C8A6EF" w:rsidR="51C2EECF">
        <w:rPr>
          <w:noProof w:val="0"/>
          <w:lang w:val="pt-BR"/>
        </w:rPr>
        <w:t>º</w:t>
      </w:r>
      <w:r w:rsidRPr="36C8A6EF" w:rsidR="51C2EECF">
        <w:rPr>
          <w:noProof w:val="0"/>
          <w:lang w:val="pt-BR"/>
        </w:rPr>
        <w:t xml:space="preserve"> exige a indicação da forma do processo. O CPC angolano prevê </w:t>
      </w:r>
      <w:r w:rsidRPr="36C8A6EF" w:rsidR="01C690FC">
        <w:rPr>
          <w:noProof w:val="0"/>
          <w:lang w:val="pt-BR"/>
        </w:rPr>
        <w:t xml:space="preserve">duas formas de processo: </w:t>
      </w:r>
      <w:r w:rsidRPr="36C8A6EF" w:rsidR="01C690FC">
        <w:rPr>
          <w:noProof w:val="0"/>
          <w:lang w:val="pt-BR"/>
        </w:rPr>
        <w:t>Comum e especial</w:t>
      </w:r>
      <w:r w:rsidRPr="36C8A6EF" w:rsidR="01C690FC">
        <w:rPr>
          <w:noProof w:val="0"/>
          <w:lang w:val="pt-BR"/>
        </w:rPr>
        <w:t xml:space="preserve">. Há ainda </w:t>
      </w:r>
      <w:r w:rsidRPr="36C8A6EF" w:rsidR="51C2EECF">
        <w:rPr>
          <w:noProof w:val="0"/>
          <w:lang w:val="pt-BR"/>
        </w:rPr>
        <w:t xml:space="preserve">três formas de processo comum: </w:t>
      </w:r>
      <w:r w:rsidRPr="36C8A6EF" w:rsidR="51C2EECF">
        <w:rPr>
          <w:noProof w:val="0"/>
          <w:u w:val="single"/>
          <w:lang w:val="pt-BR"/>
        </w:rPr>
        <w:t>ordinário, sumário e sumaríssimo</w:t>
      </w:r>
      <w:r w:rsidRPr="36C8A6EF" w:rsidR="51C2EECF">
        <w:rPr>
          <w:noProof w:val="0"/>
          <w:lang w:val="pt-BR"/>
        </w:rPr>
        <w:t xml:space="preserve"> </w:t>
      </w:r>
      <w:r w:rsidRPr="36C8A6EF" w:rsidR="51C2EECF">
        <w:rPr>
          <w:rStyle w:val="SubtleReference"/>
          <w:noProof w:val="0"/>
          <w:lang w:val="pt-BR"/>
        </w:rPr>
        <w:t>(artigo 461.º)</w:t>
      </w:r>
      <w:r w:rsidRPr="36C8A6EF" w:rsidR="51C2EECF">
        <w:rPr>
          <w:noProof w:val="0"/>
          <w:lang w:val="pt-BR"/>
        </w:rPr>
        <w:t xml:space="preserve">, aplicáveis em função do valor da causa </w:t>
      </w:r>
      <w:r w:rsidRPr="36C8A6EF" w:rsidR="51C2EECF">
        <w:rPr>
          <w:rStyle w:val="SubtleReference"/>
          <w:noProof w:val="0"/>
          <w:lang w:val="pt-BR"/>
        </w:rPr>
        <w:t>(artigo 462.º)</w:t>
      </w:r>
      <w:r w:rsidRPr="36C8A6EF" w:rsidR="51C2EECF">
        <w:rPr>
          <w:noProof w:val="0"/>
          <w:lang w:val="pt-BR"/>
        </w:rPr>
        <w:t>.</w:t>
      </w:r>
    </w:p>
    <w:p xmlns:wp14="http://schemas.microsoft.com/office/word/2010/wordml" w:rsidP="36C8A6EF" wp14:paraId="41C0F68E" wp14:textId="1860E5DD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processo ordinário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aplica-se quando o valor da causa excede a alçada da Relação; o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processo sumário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quando o valor não excede a alçada da Relação; e o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processo sumaríssimo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quando o valor não ultrapassa a alçada do tribunal de comarca e a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destina ao cumprimento de obrigações pecuniárias, à indemnização por dano e à entrega de coisas móveis </w:t>
      </w:r>
      <w:r w:rsidRPr="36C8A6EF" w:rsidR="51C2EECF">
        <w:rPr>
          <w:rStyle w:val="SubtleReference"/>
          <w:noProof w:val="0"/>
          <w:lang w:val="pt-BR"/>
        </w:rPr>
        <w:t>(artigo 462.º, n.º 1)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36C8A6EF" wp14:paraId="46030F33" wp14:textId="12E398E3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erro na indicação da forma do processo, nos termos do </w:t>
      </w:r>
      <w:r w:rsidRPr="36C8A6EF" w:rsidR="51C2EECF">
        <w:rPr>
          <w:rStyle w:val="SubtleReference"/>
          <w:noProof w:val="0"/>
          <w:lang w:val="pt-BR"/>
        </w:rPr>
        <w:t>artigo 474.º, n.º 3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conduz à correção oficiosa pelo juiz, que mandará seguir a forma adequada, salvo se a petição não puder ser utilizada para essa forma, caso em que será indeferida.</w:t>
      </w:r>
    </w:p>
    <w:p xmlns:wp14="http://schemas.microsoft.com/office/word/2010/wordml" w:rsidP="36C8A6EF" wp14:paraId="68B8B834" wp14:textId="257B0520">
      <w:pPr>
        <w:pStyle w:val="Heading2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1471495396" w:id="619115384"/>
      <w:r w:rsidRPr="7C1653F5" w:rsidR="1C2DB837">
        <w:rPr>
          <w:noProof w:val="0"/>
          <w:lang w:val="pt-BR"/>
        </w:rPr>
        <w:t>1.</w:t>
      </w:r>
      <w:r w:rsidRPr="7C1653F5" w:rsidR="51C2EECF">
        <w:rPr>
          <w:noProof w:val="0"/>
          <w:lang w:val="pt-BR"/>
        </w:rPr>
        <w:t>3. Exposição dos Factos e Fundamentos de Direito</w:t>
      </w:r>
      <w:bookmarkEnd w:id="619115384"/>
    </w:p>
    <w:p xmlns:wp14="http://schemas.microsoft.com/office/word/2010/wordml" w:rsidP="36C8A6EF" wp14:paraId="3DD61366" wp14:textId="2A3CB44D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36C8A6EF" w:rsidR="51C2EECF">
        <w:rPr>
          <w:rStyle w:val="SubtleReference"/>
          <w:noProof w:val="0"/>
          <w:lang w:val="pt-BR"/>
        </w:rPr>
        <w:t xml:space="preserve">alínea c) do n.º 1 do artigo 467.º </w:t>
      </w:r>
      <w:r w:rsidRPr="36C8A6EF" w:rsidR="7DAFC511">
        <w:rPr>
          <w:rStyle w:val="SubtleReference"/>
          <w:noProof w:val="0"/>
          <w:lang w:val="pt-BR"/>
        </w:rPr>
        <w:t>do CPC</w:t>
      </w:r>
      <w:r w:rsidRPr="36C8A6EF" w:rsidR="7DAFC51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estabelece que o autor deve "expor os factos e as razões de direito que servem de fundamento à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". Este requisito corresponde ao princípio da substanciação, segundo o qual o autor tem o ônus de alegar os factos constitutivos do direito que pretende fazer valer.</w:t>
      </w:r>
    </w:p>
    <w:p xmlns:wp14="http://schemas.microsoft.com/office/word/2010/wordml" w:rsidP="36C8A6EF" wp14:paraId="3F98C613" wp14:textId="11B98D29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exposição dos factos deve ser clara, precisa e articulada, permitindo a identificação da causa de pedir.</w:t>
      </w:r>
    </w:p>
    <w:p xmlns:wp14="http://schemas.microsoft.com/office/word/2010/wordml" w:rsidP="36C8A6EF" wp14:paraId="35CA4F41" wp14:textId="1A3C27F1">
      <w:pPr>
        <w:pStyle w:val="Quote"/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5AACD1D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Como ensina José Lebre de Freitas, </w:t>
      </w:r>
      <w:r w:rsidRPr="4FAAF389" w:rsidR="51C2EECF">
        <w:rPr>
          <w:noProof w:val="0"/>
          <w:lang w:val="pt-BR"/>
        </w:rPr>
        <w:t>"</w:t>
      </w:r>
      <w:r w:rsidRPr="4FAAF389" w:rsidR="51C2EECF">
        <w:rPr>
          <w:noProof w:val="0"/>
          <w:lang w:val="pt-BR"/>
        </w:rPr>
        <w:t>a</w:t>
      </w:r>
      <w:r w:rsidRPr="4FAAF389" w:rsidR="51C2EECF">
        <w:rPr>
          <w:noProof w:val="0"/>
          <w:lang w:val="pt-BR"/>
        </w:rPr>
        <w:t xml:space="preserve"> causa de pedir</w:t>
      </w:r>
      <w:r w:rsidRPr="4FAAF389">
        <w:rPr>
          <w:noProof w:val="0"/>
          <w:lang w:val="pt-BR"/>
        </w:rPr>
        <w:footnoteReference w:id="30093"/>
      </w:r>
      <w:r w:rsidRPr="4FAAF389" w:rsidR="51C2EECF">
        <w:rPr>
          <w:noProof w:val="0"/>
          <w:lang w:val="pt-BR"/>
        </w:rPr>
        <w:t xml:space="preserve"> é o facto jurídico concreto de que o autor faz derivar o seu direito, constituindo o fundamento substantivo da pretensão"</w:t>
      </w:r>
      <w:r w:rsidRPr="4FAAF389" w:rsidR="51C2EECF">
        <w:rPr>
          <w:noProof w:val="0"/>
          <w:lang w:val="pt-BR"/>
        </w:rPr>
        <w:t xml:space="preserve"> </w:t>
      </w:r>
    </w:p>
    <w:p xmlns:wp14="http://schemas.microsoft.com/office/word/2010/wordml" w:rsidP="36C8A6EF" wp14:paraId="62424567" wp14:textId="4AB1BEF4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Quanto às razões de direito, embora o juiz não esteja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adstrito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à qualificação jurídica apresentada pelo autor (princípio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iura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novit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curia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), a sua indicação é relevante para delimitar o objeto do litígio e orientar a atividade jurisdicional.</w:t>
      </w:r>
    </w:p>
    <w:p xmlns:wp14="http://schemas.microsoft.com/office/word/2010/wordml" w:rsidP="36C8A6EF" wp14:paraId="5DB74B52" wp14:textId="7A0A984F">
      <w:pPr>
        <w:pStyle w:val="IntenseQuote"/>
        <w:keepNext w:val="0"/>
        <w:keepLines w:val="0"/>
        <w:spacing w:line="360" w:lineRule="auto"/>
        <w:ind w:firstLine="1008"/>
        <w:jc w:val="both"/>
      </w:pPr>
      <w:r w:rsidRPr="36C8A6EF" w:rsidR="2B8672FE">
        <w:rPr>
          <w:noProof w:val="0"/>
          <w:lang w:val="pt-BR"/>
        </w:rPr>
        <w:t>A doutrina sublinha que</w:t>
      </w:r>
      <w:r w:rsidRPr="36C8A6EF" w:rsidR="2B8672FE">
        <w:rPr>
          <w:noProof w:val="0"/>
          <w:lang w:val="pt-BR"/>
        </w:rPr>
        <w:t xml:space="preserve"> </w:t>
      </w:r>
      <w:r w:rsidRPr="36C8A6EF" w:rsidR="51C2EECF">
        <w:rPr>
          <w:noProof w:val="0"/>
          <w:lang w:val="pt-BR"/>
        </w:rPr>
        <w:t>"</w:t>
      </w:r>
      <w:r w:rsidRPr="36C8A6EF" w:rsidR="51C2EECF">
        <w:rPr>
          <w:noProof w:val="0"/>
          <w:lang w:val="pt-BR"/>
        </w:rPr>
        <w:t>a</w:t>
      </w:r>
      <w:r w:rsidRPr="36C8A6EF" w:rsidR="51C2EECF">
        <w:rPr>
          <w:noProof w:val="0"/>
          <w:lang w:val="pt-BR"/>
        </w:rPr>
        <w:t xml:space="preserve"> exposição</w:t>
      </w:r>
      <w:r w:rsidRPr="36C8A6EF" w:rsidR="51C2EECF">
        <w:rPr>
          <w:noProof w:val="0"/>
          <w:lang w:val="pt-BR"/>
        </w:rPr>
        <w:t xml:space="preserve"> dos factos deve ser suficiente para permitir a reconstituição da situação jurídica controvertida, devendo o autor articular todos os factos que integram a previsão da norma jurídica que invoca"</w:t>
      </w:r>
    </w:p>
    <w:p w:rsidR="643B7F2F" w:rsidP="36C8A6EF" w:rsidRDefault="643B7F2F" w14:paraId="68891124" w14:textId="269751A7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515230846" w:id="1888831225"/>
      <w:r w:rsidRPr="7C1653F5" w:rsidR="643B7F2F">
        <w:rPr>
          <w:noProof w:val="0"/>
          <w:lang w:val="pt-BR"/>
        </w:rPr>
        <w:t>1.4. Consequências da Inobservância dos Requisitos</w:t>
      </w:r>
      <w:bookmarkEnd w:id="1888831225"/>
    </w:p>
    <w:p w:rsidR="643B7F2F" w:rsidP="36C8A6EF" w:rsidRDefault="643B7F2F" w14:paraId="0F83E7EB" w14:textId="5A84581E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inobservância dos requisitos da petição inicial pode conduzir a diferentes consequências processuais:</w:t>
      </w:r>
    </w:p>
    <w:p w:rsidR="643B7F2F" w:rsidP="36C8A6EF" w:rsidRDefault="643B7F2F" w14:paraId="03D2F5E6" w14:textId="1EA28225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Indeferimento liminar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643B7F2F">
        <w:rPr>
          <w:rStyle w:val="SubtleReference"/>
          <w:noProof w:val="0"/>
          <w:lang w:val="pt-BR"/>
        </w:rPr>
        <w:t>(artigo 474.º, n.º 1)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643B7F2F" w:rsidP="36C8A6EF" w:rsidRDefault="643B7F2F" w14:paraId="0788D489" w14:textId="00DABBB9">
      <w:pPr>
        <w:pStyle w:val="ListParagraph"/>
        <w:keepNext w:val="0"/>
        <w:keepLines w:val="0"/>
        <w:numPr>
          <w:ilvl w:val="1"/>
          <w:numId w:val="4"/>
        </w:numPr>
        <w:spacing w:before="240" w:beforeAutospacing="off" w:after="240" w:afterAutospacing="off" w:line="360" w:lineRule="auto"/>
        <w:ind w:left="108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Quando se reconheça que é inepta;</w:t>
      </w:r>
    </w:p>
    <w:p w:rsidR="643B7F2F" w:rsidP="36C8A6EF" w:rsidRDefault="643B7F2F" w14:paraId="7BC46C39" w14:textId="5D89432A">
      <w:pPr>
        <w:pStyle w:val="ListParagraph"/>
        <w:keepNext w:val="0"/>
        <w:keepLines w:val="0"/>
        <w:numPr>
          <w:ilvl w:val="1"/>
          <w:numId w:val="4"/>
        </w:numPr>
        <w:spacing w:before="240" w:beforeAutospacing="off" w:after="240" w:afterAutospacing="off" w:line="360" w:lineRule="auto"/>
        <w:ind w:left="108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Quando seja manifesta a incompetência absoluta do tribunal, a falta de personalidade ou capacidade judiciária do autor ou do réu, ou a sua ilegitimidade;</w:t>
      </w:r>
    </w:p>
    <w:p w:rsidR="643B7F2F" w:rsidP="36C8A6EF" w:rsidRDefault="643B7F2F" w14:paraId="7D913A84" w14:textId="60AC327C">
      <w:pPr>
        <w:pStyle w:val="ListParagraph"/>
        <w:keepNext w:val="0"/>
        <w:keepLines w:val="0"/>
        <w:numPr>
          <w:ilvl w:val="1"/>
          <w:numId w:val="4"/>
        </w:numPr>
        <w:spacing w:before="240" w:beforeAutospacing="off" w:after="240" w:afterAutospacing="off" w:line="360" w:lineRule="auto"/>
        <w:ind w:left="108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Quando a ação for proposta fora de tempo, sendo a caducidade de conhecimento oficioso, ou quando for evidente que a pretensão do autor não pode proceder.</w:t>
      </w:r>
    </w:p>
    <w:p w:rsidR="643B7F2F" w:rsidP="36C8A6EF" w:rsidRDefault="643B7F2F" w14:paraId="1BE1D95C" w14:textId="748EC77B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Convite ao aperfeiçoamento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643B7F2F">
        <w:rPr>
          <w:rStyle w:val="SubtleReference"/>
          <w:noProof w:val="0"/>
          <w:lang w:val="pt-BR"/>
        </w:rPr>
        <w:t>(artigo 477.º)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Quando a petição não possa ser recebida por falta de requisitos legais ou por não vir acompanhada de determinados documentos, ou quando apresente irregularidades ou deficiências que sejam suscetíveis de comprometer o êxito da ação, pode o autor ser convidado a completá-la ou corrigi-la.</w:t>
      </w:r>
    </w:p>
    <w:p w:rsidR="643B7F2F" w:rsidP="36C8A6EF" w:rsidRDefault="643B7F2F" w14:paraId="4DCB9B54" w14:textId="70D37359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43B7F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Ineptidão da petição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643B7F2F">
        <w:rPr>
          <w:rStyle w:val="SubtleReference"/>
          <w:noProof w:val="0"/>
          <w:lang w:val="pt-BR"/>
        </w:rPr>
        <w:t>(artigo 193.º)</w:t>
      </w:r>
      <w:r w:rsidRPr="36C8A6EF" w:rsidR="643B7F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É nulo todo o processo quando for inepta a petição inicial, considerando-se inepta quando falte ou seja ininteligível a indicação do pedido ou da causa de pedir, quando o pedido esteja em contradição com a causa de pedir, ou quando se cumulem pedidos substancialmente incompatíveis.</w:t>
      </w:r>
    </w:p>
    <w:p w:rsidR="00DAF2E9" w:rsidP="36C8A6EF" w:rsidRDefault="00DAF2E9" w14:paraId="7BB849FB" w14:textId="4B01EE95">
      <w:pPr>
        <w:pStyle w:val="Heading1"/>
        <w:keepNext w:val="0"/>
        <w:keepLines w:val="0"/>
        <w:rPr>
          <w:noProof w:val="0"/>
          <w:lang w:val="pt-BR"/>
        </w:rPr>
      </w:pPr>
      <w:bookmarkStart w:name="_Toc1470749613" w:id="1739458270"/>
      <w:r w:rsidRPr="7C1653F5" w:rsidR="337CBF30">
        <w:rPr>
          <w:noProof w:val="0"/>
          <w:lang w:val="pt-BR"/>
        </w:rPr>
        <w:t xml:space="preserve">2. </w:t>
      </w:r>
      <w:r w:rsidRPr="7C1653F5" w:rsidR="541CDC79">
        <w:rPr>
          <w:noProof w:val="0"/>
          <w:lang w:val="pt-BR"/>
        </w:rPr>
        <w:t>Estrutura Da Fundame</w:t>
      </w:r>
      <w:r w:rsidRPr="7C1653F5" w:rsidR="04FEAECE">
        <w:rPr>
          <w:noProof w:val="0"/>
          <w:lang w:val="pt-BR"/>
        </w:rPr>
        <w:t>ntação</w:t>
      </w:r>
      <w:bookmarkEnd w:id="1739458270"/>
    </w:p>
    <w:p w:rsidR="7AA80D1B" w:rsidP="36C8A6EF" w:rsidRDefault="7AA80D1B" w14:paraId="21D95D83" w14:textId="39CFDA80">
      <w:pPr>
        <w:keepNext w:val="0"/>
        <w:keepLines w:val="0"/>
        <w:spacing w:before="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exigência de exposição dos factos por artigos na petição inicial constitui uma das formalidades essenciais do sistema processual civil angolano, encontrando o seu fundamento no princípio da estruturação lógica do processo e na necessidade de garantir a clareza, precisão e contraditório efetivo. O </w:t>
      </w:r>
      <w:r w:rsidRPr="36C8A6EF" w:rsidR="229FA5B8">
        <w:rPr>
          <w:rStyle w:val="SubtleReference"/>
          <w:noProof w:val="0"/>
          <w:lang w:val="pt-BR"/>
        </w:rPr>
        <w:t>artigo 467.º, n.º 1, alínea c) do Código de Processo Civil (CPC)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 que o autor deve "expor os factos e as razões de direito que servem de fundamento à 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", disposição que, conjugada com o </w:t>
      </w:r>
      <w:r w:rsidRPr="36C8A6EF" w:rsidR="229FA5B8">
        <w:rPr>
          <w:rStyle w:val="SubtleReference"/>
          <w:noProof w:val="0"/>
          <w:lang w:val="pt-BR"/>
        </w:rPr>
        <w:t>artigo 151.º, n.º 2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mesmo diploma, impõe a obrigatoriedade de "dedução por artigos dos factos susceptíveis de serem levados à especificação ou ao questionário".</w:t>
      </w:r>
    </w:p>
    <w:p w:rsidR="7AA80D1B" w:rsidP="36C8A6EF" w:rsidRDefault="7AA80D1B" w14:paraId="577C6F35" w14:textId="22AE85AF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exigência formal, longe de constituir um mero preciosismo técnico, representa uma garantia fundamental para a adequada delimitação do </w:t>
      </w:r>
      <w:r w:rsidRPr="36C8A6EF" w:rsidR="229FA5B8">
        <w:rPr>
          <w:rStyle w:val="SubtleReference"/>
          <w:noProof w:val="0"/>
          <w:lang w:val="pt-BR"/>
        </w:rPr>
        <w:t>thema</w:t>
      </w:r>
      <w:r w:rsidRPr="36C8A6EF" w:rsidR="229FA5B8">
        <w:rPr>
          <w:rStyle w:val="SubtleReference"/>
          <w:noProof w:val="0"/>
          <w:lang w:val="pt-BR"/>
        </w:rPr>
        <w:t xml:space="preserve"> </w:t>
      </w:r>
      <w:r w:rsidRPr="36C8A6EF" w:rsidR="229FA5B8">
        <w:rPr>
          <w:rStyle w:val="SubtleReference"/>
          <w:noProof w:val="0"/>
          <w:lang w:val="pt-BR"/>
        </w:rPr>
        <w:t>decidendum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para o exercício pleno do direito de defesa, constituindo um dos pilares da estruturação racional do processo civil de tradição romano-germânica.</w:t>
      </w:r>
    </w:p>
    <w:p w:rsidR="7AA80D1B" w:rsidP="36C8A6EF" w:rsidRDefault="7AA80D1B" w14:paraId="2F04B5B2" w14:textId="4051A985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36C8A6EF" w:rsidR="229FA5B8">
        <w:rPr>
          <w:rStyle w:val="SubtleReference"/>
          <w:noProof w:val="0"/>
          <w:lang w:val="pt-BR"/>
        </w:rPr>
        <w:t>artigo 151.º, n.º 2 do CPC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 de forma inequívoca que "quer nas 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acções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quer nos seus incidentes, quer nos procedimentos cautelares, é obrigatória a dedução por artigos dos factos susceptíveis de serem levados à especificação ou ao questionário". Esta disposição, inserida na </w:t>
      </w:r>
      <w:r w:rsidRPr="36C8A6EF" w:rsidR="229FA5B8">
        <w:rPr>
          <w:rStyle w:val="SubtleReference"/>
          <w:noProof w:val="0"/>
          <w:lang w:val="pt-BR"/>
        </w:rPr>
        <w:t>Subsecção II (</w:t>
      </w:r>
      <w:r w:rsidRPr="36C8A6EF" w:rsidR="229FA5B8">
        <w:rPr>
          <w:rStyle w:val="SubtleReference"/>
          <w:noProof w:val="0"/>
          <w:lang w:val="pt-BR"/>
        </w:rPr>
        <w:t>Actos</w:t>
      </w:r>
      <w:r w:rsidRPr="36C8A6EF" w:rsidR="229FA5B8">
        <w:rPr>
          <w:rStyle w:val="SubtleReference"/>
          <w:noProof w:val="0"/>
          <w:lang w:val="pt-BR"/>
        </w:rPr>
        <w:t xml:space="preserve"> das partes) do Capítulo I (</w:t>
      </w:r>
      <w:r w:rsidRPr="36C8A6EF" w:rsidR="229FA5B8">
        <w:rPr>
          <w:rStyle w:val="SubtleReference"/>
          <w:noProof w:val="0"/>
          <w:lang w:val="pt-BR"/>
        </w:rPr>
        <w:t>Actos</w:t>
      </w:r>
      <w:r w:rsidRPr="36C8A6EF" w:rsidR="229FA5B8">
        <w:rPr>
          <w:rStyle w:val="SubtleReference"/>
          <w:noProof w:val="0"/>
          <w:lang w:val="pt-BR"/>
        </w:rPr>
        <w:t xml:space="preserve"> processuais)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consagra o princípio da estruturação numerada dos factos alegados pelas partes.</w:t>
      </w:r>
    </w:p>
    <w:p w:rsidR="7AA80D1B" w:rsidP="36C8A6EF" w:rsidRDefault="7AA80D1B" w14:paraId="5A88AA88" w14:textId="7433B8C2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expressão "artigos" deve ser entendida como "cada uma das afirmações ou alegações de facto individualizadas, devidamente numeradas, que as partes apresentam nos seus articulados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7476"/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"</w:t>
      </w:r>
      <w:r w:rsidRPr="4FAAF389" w:rsidR="0F992CA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AA80D1B" w:rsidP="36C8A6EF" w:rsidRDefault="7AA80D1B" w14:paraId="1D99D32A" w14:textId="6B24695A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642136326" w:id="776901188"/>
      <w:r w:rsidRPr="7C1653F5" w:rsidR="229FA5B8">
        <w:rPr>
          <w:noProof w:val="0"/>
          <w:lang w:val="pt-BR"/>
        </w:rPr>
        <w:t>2.</w:t>
      </w:r>
      <w:r w:rsidRPr="7C1653F5" w:rsidR="337FA58B">
        <w:rPr>
          <w:noProof w:val="0"/>
          <w:lang w:val="pt-BR"/>
        </w:rPr>
        <w:t>1.</w:t>
      </w:r>
      <w:r w:rsidRPr="7C1653F5" w:rsidR="229FA5B8">
        <w:rPr>
          <w:noProof w:val="0"/>
          <w:lang w:val="pt-BR"/>
        </w:rPr>
        <w:t xml:space="preserve"> Relação com o Artigo 467.º, n.º 1, alínea c)</w:t>
      </w:r>
      <w:bookmarkEnd w:id="776901188"/>
    </w:p>
    <w:p w:rsidR="7AA80D1B" w:rsidP="36C8A6EF" w:rsidRDefault="7AA80D1B" w14:paraId="59D2F194" w14:textId="63BDB14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36C8A6EF" w:rsidR="229FA5B8">
        <w:rPr>
          <w:rStyle w:val="SubtleReference"/>
          <w:noProof w:val="0"/>
          <w:lang w:val="pt-BR"/>
        </w:rPr>
        <w:t>artigo 467.º, n.º 1, alínea c)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complementa esta exigência ao determinar que o autor deve "expor os factos", não se limitando a uma mera narrativa discursiva, mas impondo uma exposição estruturada e organizada logicamente. </w:t>
      </w:r>
      <w:r w:rsidRPr="36C8A6EF" w:rsidR="6ED745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exigência de exposição dos factos implica a sua individualização em artigos numerados, permitindo a clara identificação de cada alegação factual e a sua posterior apreciação pelo tribunal.</w:t>
      </w:r>
    </w:p>
    <w:p w:rsidR="7AA80D1B" w:rsidP="36C8A6EF" w:rsidRDefault="7AA80D1B" w14:paraId="0BA776BD" w14:textId="4EC7F1E8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56466017" w:id="715304896"/>
      <w:r w:rsidRPr="7C1653F5" w:rsidR="5D6097D8">
        <w:rPr>
          <w:noProof w:val="0"/>
          <w:lang w:val="pt-BR"/>
        </w:rPr>
        <w:t xml:space="preserve">2.2. </w:t>
      </w:r>
      <w:r w:rsidRPr="7C1653F5" w:rsidR="229FA5B8">
        <w:rPr>
          <w:noProof w:val="0"/>
          <w:lang w:val="pt-BR"/>
        </w:rPr>
        <w:t>Finalidades da Organização dos Factos por Artigos</w:t>
      </w:r>
      <w:bookmarkEnd w:id="715304896"/>
    </w:p>
    <w:p w:rsidR="7AA80D1B" w:rsidP="36C8A6EF" w:rsidRDefault="7AA80D1B" w14:paraId="1628FD69" w14:textId="7C3912EE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1447957740" w:id="200859131"/>
      <w:r w:rsidRPr="7C1653F5" w:rsidR="0C432C1E">
        <w:rPr>
          <w:noProof w:val="0"/>
          <w:lang w:val="pt-BR"/>
        </w:rPr>
        <w:t>2.2.</w:t>
      </w:r>
      <w:r w:rsidRPr="7C1653F5" w:rsidR="229FA5B8">
        <w:rPr>
          <w:noProof w:val="0"/>
          <w:lang w:val="pt-BR"/>
        </w:rPr>
        <w:t>1. Garantia do Contraditório Efetivo</w:t>
      </w:r>
      <w:bookmarkEnd w:id="200859131"/>
    </w:p>
    <w:p w:rsidR="7AA80D1B" w:rsidP="36C8A6EF" w:rsidRDefault="7AA80D1B" w14:paraId="2A8D4255" w14:textId="0979188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estruturação dos factos em artigos numerados permite ao réu exercer adequadamente o seu direito de defesa, especificamente o ónus de impugnação detalhada previsto no </w:t>
      </w:r>
      <w:r w:rsidRPr="4FAAF389" w:rsidR="229FA5B8">
        <w:rPr>
          <w:rStyle w:val="SubtleReference"/>
          <w:noProof w:val="0"/>
          <w:lang w:val="pt-BR"/>
        </w:rPr>
        <w:t>artigo 490.º, n.º 1 do CPC</w:t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segundo o qual "o réu deve tomar posição definitiva perante cada um dos factos articulados na petição". Como salienta Lebre de Freitas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966"/>
      </w:r>
      <w:r w:rsidRPr="4FAAF389" w:rsidR="4D6BFE9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7AA80D1B" w:rsidP="36C8A6EF" w:rsidRDefault="7AA80D1B" w14:paraId="5023D593" w14:textId="6899E5A7">
      <w:pPr>
        <w:pStyle w:val="IntenseQuote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noProof w:val="0"/>
          <w:lang w:val="pt-BR"/>
        </w:rPr>
        <w:t>"a numeração dos artigos permite a correlação direta entre cada facto alegado e a sua impugnação ou aceitação, evitando alegações genéricas ou evasivas</w:t>
      </w:r>
      <w:r w:rsidRPr="36C8A6EF" w:rsidR="229FA5B8">
        <w:rPr>
          <w:noProof w:val="0"/>
          <w:lang w:val="pt-BR"/>
        </w:rPr>
        <w:t>"</w:t>
      </w:r>
    </w:p>
    <w:p w:rsidR="7AA80D1B" w:rsidP="36C8A6EF" w:rsidRDefault="7AA80D1B" w14:paraId="1A6AAE7A" w14:textId="44DE3FEC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542860129" w:id="368629182"/>
      <w:r w:rsidRPr="7C1653F5" w:rsidR="229FA5B8">
        <w:rPr>
          <w:noProof w:val="0"/>
          <w:lang w:val="pt-BR"/>
        </w:rPr>
        <w:t>2.</w:t>
      </w:r>
      <w:r w:rsidRPr="7C1653F5" w:rsidR="779B6C82">
        <w:rPr>
          <w:noProof w:val="0"/>
          <w:lang w:val="pt-BR"/>
        </w:rPr>
        <w:t>2.2.</w:t>
      </w:r>
      <w:r w:rsidRPr="7C1653F5" w:rsidR="229FA5B8">
        <w:rPr>
          <w:noProof w:val="0"/>
          <w:lang w:val="pt-BR"/>
        </w:rPr>
        <w:t xml:space="preserve"> Delimitação Precisa do Objeto do Litígio</w:t>
      </w:r>
      <w:bookmarkEnd w:id="368629182"/>
    </w:p>
    <w:p w:rsidR="7AA80D1B" w:rsidP="36C8A6EF" w:rsidRDefault="7AA80D1B" w14:paraId="448E0753" w14:textId="49414CED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articulação por artigos contribui para a correta delimitação do </w:t>
      </w:r>
      <w:r w:rsidRPr="4FAAF389" w:rsidR="229FA5B8">
        <w:rPr>
          <w:rStyle w:val="SubtleReference"/>
          <w:noProof w:val="0"/>
          <w:lang w:val="pt-BR"/>
        </w:rPr>
        <w:t>thema</w:t>
      </w:r>
      <w:r w:rsidRPr="4FAAF389" w:rsidR="229FA5B8">
        <w:rPr>
          <w:rStyle w:val="SubtleReference"/>
          <w:noProof w:val="0"/>
          <w:lang w:val="pt-BR"/>
        </w:rPr>
        <w:t xml:space="preserve"> </w:t>
      </w:r>
      <w:r w:rsidRPr="4FAAF389" w:rsidR="229FA5B8">
        <w:rPr>
          <w:rStyle w:val="SubtleReference"/>
          <w:noProof w:val="0"/>
          <w:lang w:val="pt-BR"/>
        </w:rPr>
        <w:t>probandum</w:t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(matéria de facto controvertida) e do </w:t>
      </w:r>
      <w:r w:rsidRPr="4FAAF389" w:rsidR="229FA5B8">
        <w:rPr>
          <w:rStyle w:val="SubtleReference"/>
          <w:noProof w:val="0"/>
          <w:lang w:val="pt-BR"/>
        </w:rPr>
        <w:t>thema</w:t>
      </w:r>
      <w:r w:rsidRPr="4FAAF389" w:rsidR="229FA5B8">
        <w:rPr>
          <w:rStyle w:val="SubtleReference"/>
          <w:noProof w:val="0"/>
          <w:lang w:val="pt-BR"/>
        </w:rPr>
        <w:t xml:space="preserve"> </w:t>
      </w:r>
      <w:r w:rsidRPr="4FAAF389" w:rsidR="229FA5B8">
        <w:rPr>
          <w:rStyle w:val="SubtleReference"/>
          <w:noProof w:val="0"/>
          <w:lang w:val="pt-BR"/>
        </w:rPr>
        <w:t>decidendum</w:t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(matéria a decidir pelo tribunal). Como refere Antunes Varela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0597"/>
      </w:r>
      <w:r w:rsidRPr="4FAAF389" w:rsidR="6711676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...</w:t>
      </w:r>
    </w:p>
    <w:p w:rsidR="7AA80D1B" w:rsidP="36C8A6EF" w:rsidRDefault="7AA80D1B" w14:paraId="31D34A01" w14:textId="31943487">
      <w:pPr>
        <w:pStyle w:val="IntenseQuote"/>
        <w:keepNext w:val="0"/>
        <w:keepLines w:val="0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noProof w:val="0"/>
          <w:lang w:val="pt-BR"/>
        </w:rPr>
        <w:t>"cada artigo corresponde a um facto concreto que, uma vez provado, contribui para a formação da convicção do julgador sobre a existência do direito invocado"</w:t>
      </w:r>
    </w:p>
    <w:p w:rsidR="7AA80D1B" w:rsidP="36C8A6EF" w:rsidRDefault="7AA80D1B" w14:paraId="182324FF" w14:textId="7195771B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648986428" w:id="2114524650"/>
      <w:r w:rsidRPr="7C1653F5" w:rsidR="5D185B2D">
        <w:rPr>
          <w:noProof w:val="0"/>
          <w:lang w:val="pt-BR"/>
        </w:rPr>
        <w:t>2.2.</w:t>
      </w:r>
      <w:r w:rsidRPr="7C1653F5" w:rsidR="229FA5B8">
        <w:rPr>
          <w:noProof w:val="0"/>
          <w:lang w:val="pt-BR"/>
        </w:rPr>
        <w:t>3. Facilitação da Instrução e Julgamento</w:t>
      </w:r>
      <w:bookmarkEnd w:id="2114524650"/>
    </w:p>
    <w:p w:rsidR="7AA80D1B" w:rsidP="36C8A6EF" w:rsidRDefault="7AA80D1B" w14:paraId="553AAF67" w14:textId="44AC4704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organização dos factos em artigos numerados facilita a elaboração da especificação e do questionário pelo juiz, nos termos do artigo 511.º do CPC, permitindo a seleção dos factos que interessam à decisão da causa e a formulação dos quesitos para a prova.</w:t>
      </w:r>
      <w:r w:rsidRPr="36C8A6EF" w:rsidR="1E5B5CC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estruturação por artigos permite ao tribunal, oficiosamente ou a requerimento da parte contrária, recusar factos impertinentes ou meramente dilatórios, nos termos do artigo 266.º do CPC, que confere ao juiz o poder de "recusar o que for impertinente ou meramente dilatório".</w:t>
      </w:r>
    </w:p>
    <w:p w:rsidR="7AA80D1B" w:rsidP="36C8A6EF" w:rsidRDefault="7AA80D1B" w14:paraId="74B16F62" w14:textId="2446F35B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429532097" w:id="1293818420"/>
      <w:r w:rsidRPr="7C1653F5" w:rsidR="07BCFF22">
        <w:rPr>
          <w:noProof w:val="0"/>
          <w:lang w:val="pt-BR"/>
        </w:rPr>
        <w:t xml:space="preserve">2.3. </w:t>
      </w:r>
      <w:r w:rsidRPr="7C1653F5" w:rsidR="229FA5B8">
        <w:rPr>
          <w:noProof w:val="0"/>
          <w:lang w:val="pt-BR"/>
        </w:rPr>
        <w:t>Técnica de Redação dos Artigos Factuais</w:t>
      </w:r>
      <w:bookmarkEnd w:id="1293818420"/>
    </w:p>
    <w:p w:rsidR="7AA80D1B" w:rsidP="36C8A6EF" w:rsidRDefault="7AA80D1B" w14:paraId="32FC7F49" w14:textId="55D338C1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411937423" w:id="1692164724"/>
      <w:r w:rsidRPr="7C1653F5" w:rsidR="4101846F">
        <w:rPr>
          <w:noProof w:val="0"/>
          <w:lang w:val="pt-BR"/>
        </w:rPr>
        <w:t>2.3.</w:t>
      </w:r>
      <w:r w:rsidRPr="7C1653F5" w:rsidR="229FA5B8">
        <w:rPr>
          <w:noProof w:val="0"/>
          <w:lang w:val="pt-BR"/>
        </w:rPr>
        <w:t>1. Unidade de Facto por Artigo</w:t>
      </w:r>
      <w:bookmarkEnd w:id="1692164724"/>
    </w:p>
    <w:p w:rsidR="7AA80D1B" w:rsidP="36C8A6EF" w:rsidRDefault="7AA80D1B" w14:paraId="344CDCD0" w14:textId="29F6225C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Cada artigo deve conter um facto autónomo e completo, não sendo admitida a cumulação de vários factos distintos no mesmo artigo. </w:t>
      </w:r>
      <w:r w:rsidRPr="36C8A6EF" w:rsidR="4802AE9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alegação de mais de um facto no mesmo artigo constitui irregularidade processual que pode dificultar a impugnação e a prova, devendo o juiz, oficiosamente ou a requerimento da parte, ordenar o desdobramento dos artigos.</w:t>
      </w:r>
    </w:p>
    <w:p w:rsidR="7AA80D1B" w:rsidP="36C8A6EF" w:rsidRDefault="7AA80D1B" w14:paraId="4FC872FE" w14:textId="0358C32A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287239303" w:id="1966008778"/>
      <w:r w:rsidRPr="7C1653F5" w:rsidR="1F5123E5">
        <w:rPr>
          <w:noProof w:val="0"/>
          <w:lang w:val="pt-BR"/>
        </w:rPr>
        <w:t>2.3.</w:t>
      </w:r>
      <w:r w:rsidRPr="7C1653F5" w:rsidR="229FA5B8">
        <w:rPr>
          <w:noProof w:val="0"/>
          <w:lang w:val="pt-BR"/>
        </w:rPr>
        <w:t>2. Ordem Lógica e Cronológica</w:t>
      </w:r>
      <w:bookmarkEnd w:id="1966008778"/>
    </w:p>
    <w:p w:rsidR="7AA80D1B" w:rsidP="36C8A6EF" w:rsidRDefault="7AA80D1B" w14:paraId="110D057E" w14:textId="3060C606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artigos devem obedecer a uma sequência lógica, preferencialmente cronológica, permitindo a compreensão clara da factualidade que fundamenta a pretensão do autor. A doutrina recomenda a seguinte ordem:</w:t>
      </w:r>
    </w:p>
    <w:p w:rsidR="7AA80D1B" w:rsidP="36C8A6EF" w:rsidRDefault="7AA80D1B" w14:paraId="103D36B8" w14:textId="14DA9316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Factos relativos à capacidade e legitimidade das partes;</w:t>
      </w:r>
    </w:p>
    <w:p w:rsidR="7AA80D1B" w:rsidP="36C8A6EF" w:rsidRDefault="7AA80D1B" w14:paraId="1950B8DA" w14:textId="7F710870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Factos constitutivos da relação jurídica material;</w:t>
      </w:r>
    </w:p>
    <w:p w:rsidR="7AA80D1B" w:rsidP="36C8A6EF" w:rsidRDefault="7AA80D1B" w14:paraId="01E5D774" w14:textId="7C307269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Factos integradores do direito invocado;</w:t>
      </w:r>
    </w:p>
    <w:p w:rsidR="7AA80D1B" w:rsidP="36C8A6EF" w:rsidRDefault="7AA80D1B" w14:paraId="2D1B69FD" w14:textId="32728A0F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Factos relativos à violação do direito ou ao inadimplemento;</w:t>
      </w:r>
    </w:p>
    <w:p w:rsidR="7AA80D1B" w:rsidP="36C8A6EF" w:rsidRDefault="7AA80D1B" w14:paraId="673B0E1F" w14:textId="5A4B8DEC">
      <w:pPr>
        <w:pStyle w:val="ListParagraph"/>
        <w:keepNext w:val="0"/>
        <w:keepLines w:val="0"/>
        <w:numPr>
          <w:ilvl w:val="0"/>
          <w:numId w:val="16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Factos relativos aos danos ou prejuízos sofridos.</w:t>
      </w:r>
    </w:p>
    <w:p w:rsidR="7AA80D1B" w:rsidP="36C8A6EF" w:rsidRDefault="7AA80D1B" w14:paraId="3A97AF0E" w14:textId="6C1A73AD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Embora o </w:t>
      </w:r>
      <w:r w:rsidRPr="36C8A6EF" w:rsidR="229FA5B8">
        <w:rPr>
          <w:rStyle w:val="SubtleReference"/>
          <w:noProof w:val="0"/>
          <w:lang w:val="pt-BR"/>
        </w:rPr>
        <w:t>artigo 467.º, n.º 1, alínea c)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exija a exposição conjunta de factos e fundamentos de direito, recomenda-se a separação clara entre a alegação factual (em artigos numerados) e a argumentação jurídica (em texto contínuo ou em artigos distintos), facilitando a compreensão e a resposta.</w:t>
      </w:r>
    </w:p>
    <w:p w:rsidR="7AA80D1B" w:rsidP="36C8A6EF" w:rsidRDefault="7AA80D1B" w14:paraId="5750F0FB" w14:textId="24483CF7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937816298" w:id="744325407"/>
      <w:r w:rsidRPr="7C1653F5" w:rsidR="2FDE5FE7">
        <w:rPr>
          <w:noProof w:val="0"/>
          <w:lang w:val="pt-BR"/>
        </w:rPr>
        <w:t xml:space="preserve">2.4. </w:t>
      </w:r>
      <w:r w:rsidRPr="7C1653F5" w:rsidR="229FA5B8">
        <w:rPr>
          <w:noProof w:val="0"/>
          <w:lang w:val="pt-BR"/>
        </w:rPr>
        <w:t>Consequências da Inobservância da Obrigação de Articulação</w:t>
      </w:r>
      <w:bookmarkEnd w:id="744325407"/>
    </w:p>
    <w:p w:rsidR="7AA80D1B" w:rsidP="36C8A6EF" w:rsidRDefault="7AA80D1B" w14:paraId="0B1DCDBA" w14:textId="45733F6A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falta de articulação dos factos por artigos constitui uma irregularidade da petição inicial, podendo determinar a aplicação do artigo 477.º do CPC, que permite ao juiz convidar o autor a completar ou corrigir a petição, marcando prazo para a apresentação de nova petição.</w:t>
      </w:r>
    </w:p>
    <w:p w:rsidR="7AA80D1B" w:rsidP="36C8A6EF" w:rsidRDefault="7AA80D1B" w14:paraId="0FD039B3" w14:textId="6A995ACC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ausência de numeração dificulta o exercício do contraditório, uma vez que o réu não pode identificar com precisão os factos que deve impugnar, nos termos do artigo 490.º, n.º 1. Como estabelece a </w:t>
      </w:r>
      <w:r w:rsidRPr="36C8A6EF" w:rsidR="006EEB2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lei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 petição inicial que não articule os factos por artigos, 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dificultando a impugnação especificada pelo réu, pode ser considerada inepta, nos termos do </w:t>
      </w:r>
      <w:r w:rsidRPr="36C8A6EF" w:rsidR="229FA5B8">
        <w:rPr>
          <w:rStyle w:val="SubtleReference"/>
          <w:noProof w:val="0"/>
          <w:lang w:val="pt-BR"/>
        </w:rPr>
        <w:t>artigo 193.º, n.º 2, alínea a)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por falta de inteligibilidade da causa de pedir</w:t>
      </w:r>
      <w:r w:rsidRPr="36C8A6EF" w:rsidR="68016C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AA80D1B" w:rsidP="36C8A6EF" w:rsidRDefault="7AA80D1B" w14:paraId="660C69E1" w14:textId="13EDC808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casos extremos, a ausência de articulação pode configurar ineptidão da petição inicial, nos termos do </w:t>
      </w:r>
      <w:r w:rsidRPr="36C8A6EF" w:rsidR="229FA5B8">
        <w:rPr>
          <w:rStyle w:val="SubtleReference"/>
          <w:noProof w:val="0"/>
          <w:lang w:val="pt-BR"/>
        </w:rPr>
        <w:t>artigo 193.º, n.º 2, alínea a) do CPC</w:t>
      </w: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determinando a nulidade de todo o processo. A jurisprudência tem entendido que "a petição que, não obstante a falta de articulação por artigos, permite compreender claramente os factos alegados, não é inepta, mas a parte deve ser convidada a proceder à articulação"</w:t>
      </w:r>
    </w:p>
    <w:p w:rsidR="7AA80D1B" w:rsidP="36C8A6EF" w:rsidRDefault="7AA80D1B" w14:paraId="6028381A" w14:textId="7F115E35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deficiente articulação dos factos dificulta a elaboração da especificação e do questionário pelo juiz, nos termos do artigo 511.º, podendo levar a que factos relevantes não sejam considerados ou a que sejam incluídos factos irrelevantes.</w:t>
      </w:r>
    </w:p>
    <w:p w:rsidR="7AA80D1B" w:rsidP="36C8A6EF" w:rsidRDefault="7AA80D1B" w14:paraId="4FDF8A3F" w14:textId="3B5EB4AA">
      <w:pPr>
        <w:pStyle w:val="Heading3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2112556836" w:id="1113715168"/>
      <w:r w:rsidRPr="7C1653F5" w:rsidR="50333976">
        <w:rPr>
          <w:noProof w:val="0"/>
          <w:lang w:val="pt-BR"/>
        </w:rPr>
        <w:t xml:space="preserve">2.4.1. </w:t>
      </w:r>
      <w:r w:rsidRPr="7C1653F5" w:rsidR="229FA5B8">
        <w:rPr>
          <w:noProof w:val="0"/>
          <w:lang w:val="pt-BR"/>
        </w:rPr>
        <w:t>Distinção entre Articulação de Factos e Articulação de Direito</w:t>
      </w:r>
      <w:bookmarkEnd w:id="1113715168"/>
    </w:p>
    <w:p w:rsidR="7AA80D1B" w:rsidP="36C8A6EF" w:rsidRDefault="7AA80D1B" w14:paraId="4D0B7BFD" w14:textId="43754648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Importa distinguir entre a articulação de factos, obrigatória nos termos do artigo 151.º, n.º 2, e a exposição dos fundamentos de direito, que não está sujeita à mesma exigência formal. Como ensina Manuel de Andrade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624"/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"enquanto os factos devem ser apresentados em artigos numerados, permitindo a sua individualização e impugnação, os fundamentos de direito podem ser expostos em texto contínuo, uma vez que constituem argumentação jurídica sujeita ao princípio </w:t>
      </w:r>
      <w:r w:rsidRPr="36C8A6EF" w:rsidR="229FA5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iura</w:t>
      </w:r>
      <w:r w:rsidRPr="36C8A6EF" w:rsidR="229FA5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36C8A6EF" w:rsidR="229FA5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novit</w:t>
      </w:r>
      <w:r w:rsidRPr="36C8A6EF" w:rsidR="229FA5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36C8A6EF" w:rsidR="229FA5B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curia</w:t>
      </w:r>
      <w:r w:rsidRPr="4FAAF389" w:rsidR="229FA5B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"</w:t>
      </w:r>
      <w:r w:rsidRPr="4FAAF389" w:rsidR="0F7373F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36C8A6EF" wp14:paraId="6C3E7F48" wp14:textId="41A639C9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C1653F5" w:rsidR="51C2EECF">
        <w:rPr>
          <w:noProof w:val="0"/>
          <w:lang w:val="pt-BR"/>
        </w:rPr>
        <w:t xml:space="preserve"> </w:t>
      </w:r>
      <w:bookmarkStart w:name="_Toc902044299" w:id="1669325741"/>
      <w:r w:rsidRPr="7C1653F5" w:rsidR="12DC8328">
        <w:rPr>
          <w:noProof w:val="0"/>
          <w:lang w:val="pt-BR"/>
        </w:rPr>
        <w:t xml:space="preserve">3. </w:t>
      </w:r>
      <w:r w:rsidRPr="7C1653F5" w:rsidR="51C2EECF">
        <w:rPr>
          <w:noProof w:val="0"/>
          <w:lang w:val="pt-BR"/>
        </w:rPr>
        <w:t>Formulação do Pedido</w:t>
      </w:r>
      <w:bookmarkEnd w:id="1669325741"/>
    </w:p>
    <w:p xmlns:wp14="http://schemas.microsoft.com/office/word/2010/wordml" w:rsidP="36C8A6EF" wp14:paraId="664A9A8F" wp14:textId="4616EE82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36C8A6EF" w:rsidR="51C2EECF">
        <w:rPr>
          <w:rStyle w:val="SubtleReference"/>
          <w:noProof w:val="0"/>
          <w:lang w:val="pt-BR"/>
        </w:rPr>
        <w:t>alínea d) do n.º 1 do artigo 467.º</w:t>
      </w:r>
      <w:r w:rsidRPr="36C8A6EF" w:rsidR="79D25A2B">
        <w:rPr>
          <w:rStyle w:val="SubtleReference"/>
          <w:noProof w:val="0"/>
          <w:lang w:val="pt-BR"/>
        </w:rPr>
        <w:t xml:space="preserve"> do CPC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impõe a formulação do pedido, que constitui o limite objetivo da pretensão do autor. O </w:t>
      </w:r>
      <w:r w:rsidRPr="36C8A6EF" w:rsidR="51C2EECF">
        <w:rPr>
          <w:rStyle w:val="SubtleReference"/>
          <w:noProof w:val="0"/>
          <w:lang w:val="pt-BR"/>
        </w:rPr>
        <w:t>artigo 661.º, n.º 1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"a sentença não pode condenar em quantidade superior ou em objeto diverso do que se pedir".</w:t>
      </w:r>
    </w:p>
    <w:p xmlns:wp14="http://schemas.microsoft.com/office/word/2010/wordml" w:rsidP="36C8A6EF" wp14:paraId="577F4F7A" wp14:textId="57D08EB0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CPC angolano admite diversas modalidades de pedido:</w:t>
      </w:r>
    </w:p>
    <w:p xmlns:wp14="http://schemas.microsoft.com/office/word/2010/wordml" w:rsidP="36C8A6EF" wp14:paraId="1E740644" wp14:textId="537838E9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Pedidos alternativos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6292"/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FAAF389" w:rsidR="51C2EECF">
        <w:rPr>
          <w:rStyle w:val="SubtleReference"/>
          <w:noProof w:val="0"/>
          <w:lang w:val="pt-BR"/>
        </w:rPr>
        <w:t>(artigo 468.º)</w:t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quando, por sua natureza ou origem, os direitos sejam alternativos ou possam resolver-se em alternativa;</w:t>
      </w:r>
    </w:p>
    <w:p w:rsidR="12022A98" w:rsidP="36C8A6EF" w:rsidRDefault="12022A98" w14:paraId="0BCFCACB" w14:textId="165F4CAD">
      <w:pPr>
        <w:pStyle w:val="Normal"/>
        <w:keepNext w:val="0"/>
        <w:keepLines w:val="0"/>
        <w:spacing w:before="240" w:beforeAutospacing="off" w:after="240" w:afterAutospacing="off" w:line="360" w:lineRule="auto"/>
        <w:ind w:left="2832" w:firstLine="1008"/>
        <w:jc w:val="both"/>
        <w:rPr>
          <w:noProof w:val="0"/>
          <w:lang w:val="pt-BR"/>
        </w:rPr>
      </w:pPr>
      <w:r w:rsidRPr="4FAAF389" w:rsidR="33D09818">
        <w:rPr>
          <w:rStyle w:val="IntenseReference"/>
          <w:noProof w:val="0"/>
          <w:lang w:val="pt-BR"/>
        </w:rPr>
        <w:t xml:space="preserve">Um cliente celebrou um contrato de compra e venda de um carro usado. O vendedor entregou o veículo, mas, passados 15 dias, o cliente descobre que o motor apresenta um defeito grave que já existia no momento da compra (vício </w:t>
      </w:r>
      <w:r w:rsidRPr="36C8A6EF" w:rsidR="33D09818">
        <w:rPr>
          <w:rStyle w:val="IntenseReference"/>
          <w:noProof w:val="0"/>
          <w:lang w:val="pt-BR"/>
        </w:rPr>
        <w:t>redibitório)</w:t>
      </w:r>
      <w:r w:rsidRPr="4FAAF389">
        <w:rPr>
          <w:rStyle w:val="FootnoteReference"/>
          <w:noProof w:val="0"/>
          <w:lang w:val="pt-BR"/>
        </w:rPr>
        <w:footnoteReference w:id="21079"/>
      </w:r>
      <w:r w:rsidRPr="4FAAF389" w:rsidR="33D09818">
        <w:rPr>
          <w:rStyle w:val="IntenseReference"/>
          <w:noProof w:val="0"/>
          <w:lang w:val="pt-BR"/>
        </w:rPr>
        <w:t>.</w:t>
      </w:r>
    </w:p>
    <w:p w:rsidR="12022A98" w:rsidP="36C8A6EF" w:rsidRDefault="12022A98" w14:paraId="567127FE" w14:textId="65E2859A">
      <w:pPr>
        <w:pStyle w:val="Normal"/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noProof w:val="0"/>
          <w:lang w:val="pt-BR"/>
        </w:rPr>
      </w:pPr>
      <w:r w:rsidRPr="36C8A6EF" w:rsidR="33D09818">
        <w:rPr>
          <w:noProof w:val="0"/>
          <w:lang w:val="pt-BR"/>
        </w:rPr>
        <w:t>Na petição inicial, o autor pode formular pedidos alternativos:</w:t>
      </w:r>
    </w:p>
    <w:p w:rsidR="12022A98" w:rsidP="36C8A6EF" w:rsidRDefault="12022A98" w14:paraId="69AE7FF5" w14:textId="1F0EC335">
      <w:pPr>
        <w:pStyle w:val="Normal"/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noProof w:val="0"/>
          <w:lang w:val="pt-BR"/>
        </w:rPr>
      </w:pPr>
      <w:r w:rsidRPr="36C8A6EF" w:rsidR="33D09818">
        <w:rPr>
          <w:b w:val="1"/>
          <w:bCs w:val="1"/>
          <w:noProof w:val="0"/>
          <w:lang w:val="pt-BR"/>
        </w:rPr>
        <w:t>Pedido A:</w:t>
      </w:r>
      <w:r w:rsidRPr="36C8A6EF" w:rsidR="33D09818">
        <w:rPr>
          <w:noProof w:val="0"/>
          <w:lang w:val="pt-BR"/>
        </w:rPr>
        <w:t xml:space="preserve"> A resolução do contrato, com a consequente devolução do valor pago (</w:t>
      </w:r>
      <w:r w:rsidRPr="36C8A6EF" w:rsidR="1723CBE4">
        <w:rPr>
          <w:noProof w:val="0"/>
          <w:lang w:val="pt-BR"/>
        </w:rPr>
        <w:t xml:space="preserve">AKZ </w:t>
      </w:r>
      <w:r w:rsidRPr="36C8A6EF" w:rsidR="33D09818">
        <w:rPr>
          <w:noProof w:val="0"/>
          <w:lang w:val="pt-BR"/>
        </w:rPr>
        <w:t>15.000</w:t>
      </w:r>
      <w:r w:rsidRPr="36C8A6EF" w:rsidR="7A7B5436">
        <w:rPr>
          <w:noProof w:val="0"/>
          <w:lang w:val="pt-BR"/>
        </w:rPr>
        <w:t>.000,00</w:t>
      </w:r>
      <w:r w:rsidRPr="36C8A6EF" w:rsidR="33D09818">
        <w:rPr>
          <w:noProof w:val="0"/>
          <w:lang w:val="pt-BR"/>
        </w:rPr>
        <w:t>), acrescido de juros.</w:t>
      </w:r>
    </w:p>
    <w:p w:rsidR="12022A98" w:rsidP="36C8A6EF" w:rsidRDefault="12022A98" w14:paraId="475A58C5" w14:textId="46E88406">
      <w:pPr>
        <w:pStyle w:val="Normal"/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noProof w:val="0"/>
          <w:lang w:val="pt-BR"/>
        </w:rPr>
      </w:pPr>
      <w:r w:rsidRPr="36C8A6EF" w:rsidR="33D09818">
        <w:rPr>
          <w:b w:val="1"/>
          <w:bCs w:val="1"/>
          <w:noProof w:val="0"/>
          <w:lang w:val="pt-BR"/>
        </w:rPr>
        <w:t xml:space="preserve">Pedido </w:t>
      </w:r>
      <w:r w:rsidRPr="36C8A6EF" w:rsidR="1BB068CE">
        <w:rPr>
          <w:b w:val="1"/>
          <w:bCs w:val="1"/>
          <w:noProof w:val="0"/>
          <w:lang w:val="pt-BR"/>
        </w:rPr>
        <w:t xml:space="preserve">B - </w:t>
      </w:r>
      <w:r w:rsidRPr="36C8A6EF" w:rsidR="33D09818">
        <w:rPr>
          <w:b w:val="1"/>
          <w:bCs w:val="1"/>
          <w:noProof w:val="0"/>
          <w:lang w:val="pt-BR"/>
        </w:rPr>
        <w:t>Alternativo</w:t>
      </w:r>
      <w:r w:rsidRPr="36C8A6EF" w:rsidR="33D09818">
        <w:rPr>
          <w:b w:val="1"/>
          <w:bCs w:val="1"/>
          <w:noProof w:val="0"/>
          <w:lang w:val="pt-BR"/>
        </w:rPr>
        <w:t xml:space="preserve"> (para o caso de o tribunal entender que o defeito não justifica a resolução):</w:t>
      </w:r>
      <w:r w:rsidRPr="36C8A6EF" w:rsidR="33D09818">
        <w:rPr>
          <w:noProof w:val="0"/>
          <w:lang w:val="pt-BR"/>
        </w:rPr>
        <w:t xml:space="preserve"> A redução do preço (abatimento no preço) em </w:t>
      </w:r>
      <w:r w:rsidRPr="36C8A6EF" w:rsidR="3BF67126">
        <w:rPr>
          <w:noProof w:val="0"/>
          <w:lang w:val="pt-BR"/>
        </w:rPr>
        <w:t xml:space="preserve">AKZ </w:t>
      </w:r>
      <w:r w:rsidRPr="36C8A6EF" w:rsidR="7158352B">
        <w:rPr>
          <w:noProof w:val="0"/>
          <w:lang w:val="pt-BR"/>
        </w:rPr>
        <w:t>5.000.000,00 correspondentes</w:t>
      </w:r>
      <w:r w:rsidRPr="36C8A6EF" w:rsidR="33D09818">
        <w:rPr>
          <w:noProof w:val="0"/>
          <w:lang w:val="pt-BR"/>
        </w:rPr>
        <w:t xml:space="preserve"> ao custo do reparo do motor.</w:t>
      </w:r>
    </w:p>
    <w:p w:rsidR="12022A98" w:rsidP="36C8A6EF" w:rsidRDefault="12022A98" w14:paraId="10828AB5" w14:textId="65047BA9">
      <w:pPr>
        <w:pStyle w:val="Normal"/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noProof w:val="0"/>
          <w:lang w:val="pt-BR"/>
        </w:rPr>
      </w:pPr>
      <w:r w:rsidRPr="36C8A6EF" w:rsidR="33D09818">
        <w:rPr>
          <w:noProof w:val="0"/>
          <w:lang w:val="pt-BR"/>
        </w:rPr>
        <w:t>Os direitos são alternativos porque o autor prefere resolver o negócio, mas, se o tribunal considerar que o defeito é menor, aceita que o negócio se mantenha com a correspondente redução do preço.</w:t>
      </w:r>
    </w:p>
    <w:p xmlns:wp14="http://schemas.microsoft.com/office/word/2010/wordml" w:rsidP="36C8A6EF" wp14:paraId="38810A1D" wp14:textId="7ED9C84B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Pedidos subsidiários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6951"/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FAAF389" w:rsidR="51C2EECF">
        <w:rPr>
          <w:rStyle w:val="SubtleReference"/>
          <w:noProof w:val="0"/>
          <w:lang w:val="pt-BR"/>
        </w:rPr>
        <w:t>(artigo 469.º)</w:t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apresentados para serem tomados em consideração apenas no caso de não proceder um pedido anterior;</w:t>
      </w:r>
    </w:p>
    <w:p w:rsidR="0E0DA357" w:rsidP="36C8A6EF" w:rsidRDefault="0E0DA357" w14:paraId="19535FB9" w14:textId="54AB8351">
      <w:pPr>
        <w:keepNext w:val="0"/>
        <w:keepLines w:val="0"/>
        <w:spacing w:before="0" w:beforeAutospacing="off" w:after="240" w:afterAutospacing="off" w:line="360" w:lineRule="auto"/>
        <w:ind w:left="2832" w:firstLine="1008"/>
        <w:jc w:val="both"/>
        <w:rPr>
          <w:rStyle w:val="IntenseReference"/>
          <w:noProof w:val="0"/>
          <w:lang w:val="pt-BR"/>
        </w:rPr>
      </w:pPr>
      <w:r w:rsidRPr="4FAAF389" w:rsidR="1406B797">
        <w:rPr>
          <w:rStyle w:val="IntenseReference"/>
          <w:noProof w:val="0"/>
          <w:lang w:val="pt-BR"/>
        </w:rPr>
        <w:t xml:space="preserve">Determinada pessoa foi alvo de despedimento </w:t>
      </w:r>
      <w:r w:rsidRPr="4FAAF389" w:rsidR="0968528C">
        <w:rPr>
          <w:rStyle w:val="IntenseReference"/>
          <w:noProof w:val="0"/>
          <w:lang w:val="pt-BR"/>
        </w:rPr>
        <w:t>coletivo</w:t>
      </w:r>
      <w:r w:rsidRPr="4FAAF389" w:rsidR="1406B797">
        <w:rPr>
          <w:rStyle w:val="IntenseReference"/>
          <w:noProof w:val="0"/>
          <w:lang w:val="pt-BR"/>
        </w:rPr>
        <w:t xml:space="preserve"> por extinção de posto de trabalho, mas alega que o despedimento foi ilícito porque a empresa não respeitou os critérios de seleção previstos na lei ou no </w:t>
      </w:r>
      <w:r w:rsidRPr="4FAAF389" w:rsidR="3AB4C92B">
        <w:rPr>
          <w:rStyle w:val="IntenseReference"/>
          <w:noProof w:val="0"/>
          <w:lang w:val="pt-BR"/>
        </w:rPr>
        <w:t>contrato</w:t>
      </w:r>
      <w:r w:rsidRPr="4FAAF389" w:rsidR="1406B797">
        <w:rPr>
          <w:rStyle w:val="IntenseReference"/>
          <w:noProof w:val="0"/>
          <w:lang w:val="pt-BR"/>
        </w:rPr>
        <w:t xml:space="preserve"> </w:t>
      </w:r>
      <w:r w:rsidRPr="4FAAF389" w:rsidR="2D7EA94C">
        <w:rPr>
          <w:rStyle w:val="IntenseReference"/>
          <w:noProof w:val="0"/>
          <w:lang w:val="pt-BR"/>
        </w:rPr>
        <w:t>de grupo</w:t>
      </w:r>
      <w:r w:rsidRPr="4FAAF389">
        <w:rPr>
          <w:rStyle w:val="FootnoteReference"/>
          <w:noProof w:val="0"/>
          <w:lang w:val="pt-BR"/>
        </w:rPr>
        <w:footnoteReference w:id="28756"/>
      </w:r>
      <w:r w:rsidRPr="4FAAF389" w:rsidR="1406B797">
        <w:rPr>
          <w:rStyle w:val="IntenseReference"/>
          <w:noProof w:val="0"/>
          <w:lang w:val="pt-BR"/>
        </w:rPr>
        <w:t>.</w:t>
      </w:r>
    </w:p>
    <w:p w:rsidR="0E0DA357" w:rsidP="36C8A6EF" w:rsidRDefault="0E0DA357" w14:paraId="63A7987D" w14:textId="200E9A11">
      <w:pPr>
        <w:keepNext w:val="0"/>
        <w:keepLines w:val="0"/>
        <w:spacing w:before="0" w:beforeAutospacing="off" w:after="240" w:afterAutospacing="off" w:line="360" w:lineRule="auto"/>
        <w:ind w:firstLine="1008"/>
        <w:jc w:val="both"/>
      </w:pPr>
      <w:r w:rsidRPr="36C8A6EF" w:rsidR="1406B797">
        <w:rPr>
          <w:noProof w:val="0"/>
          <w:lang w:val="pt-BR"/>
        </w:rPr>
        <w:t>Na petição inicial, o autor formula:</w:t>
      </w:r>
    </w:p>
    <w:p w:rsidR="0E0DA357" w:rsidP="36C8A6EF" w:rsidRDefault="0E0DA357" w14:paraId="54852EC1" w14:textId="5B80B69F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noProof w:val="0"/>
          <w:lang w:val="pt-BR"/>
        </w:rPr>
      </w:pPr>
      <w:r w:rsidRPr="36C8A6EF" w:rsidR="1406B797">
        <w:rPr>
          <w:b w:val="1"/>
          <w:bCs w:val="1"/>
          <w:noProof w:val="0"/>
          <w:lang w:val="pt-BR"/>
        </w:rPr>
        <w:t>Pedido Principal:</w:t>
      </w:r>
      <w:r w:rsidRPr="36C8A6EF" w:rsidR="1406B797">
        <w:rPr>
          <w:noProof w:val="0"/>
          <w:lang w:val="pt-BR"/>
        </w:rPr>
        <w:t xml:space="preserve"> A declaração de ilicitude do despedimento e a reintegração no posto de trabalho, com pagamento das remunerações intercalares.</w:t>
      </w:r>
    </w:p>
    <w:p w:rsidR="0E0DA357" w:rsidP="36C8A6EF" w:rsidRDefault="0E0DA357" w14:paraId="6599E9BB" w14:textId="6558232A">
      <w:pPr>
        <w:pStyle w:val="ListParagraph"/>
        <w:keepNext w:val="0"/>
        <w:keepLines w:val="0"/>
        <w:numPr>
          <w:ilvl w:val="0"/>
          <w:numId w:val="9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noProof w:val="0"/>
          <w:lang w:val="pt-BR"/>
        </w:rPr>
      </w:pPr>
      <w:r w:rsidRPr="36C8A6EF" w:rsidR="1406B797">
        <w:rPr>
          <w:b w:val="1"/>
          <w:bCs w:val="1"/>
          <w:noProof w:val="0"/>
          <w:lang w:val="pt-BR"/>
        </w:rPr>
        <w:t>Pedido Subsidiário (para o caso de o despedimento ser considerado lícito ou a reintegração não ser possível/decretada):</w:t>
      </w:r>
      <w:r w:rsidRPr="36C8A6EF" w:rsidR="1406B797">
        <w:rPr>
          <w:noProof w:val="0"/>
          <w:lang w:val="pt-BR"/>
        </w:rPr>
        <w:t xml:space="preserve"> O pagamento de uma indemnização por antiguidade, nos termos previstos no Código do Trabalho.</w:t>
      </w:r>
    </w:p>
    <w:p w:rsidR="0E0DA357" w:rsidP="36C8A6EF" w:rsidRDefault="0E0DA357" w14:paraId="47EB7340" w14:textId="3CDFB0BD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1406B797">
        <w:rPr>
          <w:noProof w:val="0"/>
          <w:lang w:val="pt-BR"/>
        </w:rPr>
        <w:t>O autor só quer a indemnização (pedido subsidiário) se não conseguir a reintegração (pedido principal). O tribunal analisará primeiro a reintegração; se a negar, passará a analisar o pedido de indemnização.</w:t>
      </w:r>
    </w:p>
    <w:p xmlns:wp14="http://schemas.microsoft.com/office/word/2010/wordml" w:rsidP="36C8A6EF" wp14:paraId="38166016" wp14:textId="23C33CB8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Pedidos cumulativos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8627"/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FAAF389" w:rsidR="51C2EECF">
        <w:rPr>
          <w:rStyle w:val="SubtleReference"/>
          <w:noProof w:val="0"/>
          <w:lang w:val="pt-BR"/>
        </w:rPr>
        <w:t>(artigo 470.º)</w:t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dedução de vários pedidos compatíveis contra o mesmo réu;</w:t>
      </w:r>
    </w:p>
    <w:p w:rsidR="78AAFAB7" w:rsidP="36C8A6EF" w:rsidRDefault="78AAFAB7" w14:paraId="59F73ECE" w14:textId="5259582F">
      <w:pPr>
        <w:keepNext w:val="0"/>
        <w:keepLines w:val="0"/>
        <w:spacing w:before="0" w:beforeAutospacing="off" w:after="240" w:afterAutospacing="off" w:line="360" w:lineRule="auto"/>
        <w:ind w:left="2124" w:firstLine="1008"/>
        <w:jc w:val="both"/>
      </w:pPr>
      <w:r w:rsidRPr="36C8A6EF" w:rsidR="3CB7B0B2">
        <w:rPr>
          <w:rStyle w:val="IntenseReference"/>
          <w:noProof w:val="0"/>
          <w:lang w:val="pt-BR"/>
        </w:rPr>
        <w:t>Um inquilino (arrendatário) danificou a porta de entrada do apartamento e deixou de pagar a renda dos últimos três meses.</w:t>
      </w:r>
    </w:p>
    <w:p w:rsidR="78AAFAB7" w:rsidP="36C8A6EF" w:rsidRDefault="78AAFAB7" w14:paraId="751D6B66" w14:textId="1EEE9FF1">
      <w:pPr>
        <w:keepNext w:val="0"/>
        <w:keepLines w:val="0"/>
        <w:spacing w:before="0" w:beforeAutospacing="off" w:after="240" w:afterAutospacing="off" w:line="360" w:lineRule="auto"/>
        <w:ind w:firstLine="1008"/>
        <w:jc w:val="both"/>
      </w:pPr>
      <w:r w:rsidRPr="36C8A6EF" w:rsidR="3CB7B0B2">
        <w:rPr>
          <w:noProof w:val="0"/>
          <w:lang w:val="pt-BR"/>
        </w:rPr>
        <w:t>O senhorio (autor) move uma ação contra o inquilino (réu) formulando os seguintes pedidos cumulativos:</w:t>
      </w:r>
    </w:p>
    <w:p w:rsidR="78AAFAB7" w:rsidP="36C8A6EF" w:rsidRDefault="78AAFAB7" w14:paraId="387ACBE7" w14:textId="28488433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noProof w:val="0"/>
          <w:lang w:val="pt-BR"/>
        </w:rPr>
      </w:pPr>
      <w:r w:rsidRPr="36C8A6EF" w:rsidR="3CB7B0B2">
        <w:rPr>
          <w:b w:val="1"/>
          <w:bCs w:val="1"/>
          <w:noProof w:val="0"/>
          <w:lang w:val="pt-BR"/>
        </w:rPr>
        <w:t>Pedido de condenação:</w:t>
      </w:r>
      <w:r w:rsidRPr="36C8A6EF" w:rsidR="3CB7B0B2">
        <w:rPr>
          <w:noProof w:val="0"/>
          <w:lang w:val="pt-BR"/>
        </w:rPr>
        <w:t xml:space="preserve"> Pagamento das rendas em atraso (</w:t>
      </w:r>
      <w:r w:rsidRPr="36C8A6EF" w:rsidR="5C9C2550">
        <w:rPr>
          <w:noProof w:val="0"/>
          <w:lang w:val="pt-BR"/>
        </w:rPr>
        <w:t xml:space="preserve">AKZ </w:t>
      </w:r>
      <w:r w:rsidRPr="36C8A6EF" w:rsidR="3CB7B0B2">
        <w:rPr>
          <w:noProof w:val="0"/>
          <w:lang w:val="pt-BR"/>
        </w:rPr>
        <w:t>3</w:t>
      </w:r>
      <w:r w:rsidRPr="36C8A6EF" w:rsidR="4DEB48EA">
        <w:rPr>
          <w:noProof w:val="0"/>
          <w:lang w:val="pt-BR"/>
        </w:rPr>
        <w:t>0</w:t>
      </w:r>
      <w:r w:rsidRPr="36C8A6EF" w:rsidR="3CB7B0B2">
        <w:rPr>
          <w:noProof w:val="0"/>
          <w:lang w:val="pt-BR"/>
        </w:rPr>
        <w:t>.000).</w:t>
      </w:r>
    </w:p>
    <w:p w:rsidR="78AAFAB7" w:rsidP="36C8A6EF" w:rsidRDefault="78AAFAB7" w14:paraId="2D9110DC" w14:textId="41623E33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noProof w:val="0"/>
          <w:lang w:val="pt-BR"/>
        </w:rPr>
      </w:pPr>
      <w:r w:rsidRPr="36C8A6EF" w:rsidR="3CB7B0B2">
        <w:rPr>
          <w:b w:val="1"/>
          <w:bCs w:val="1"/>
          <w:noProof w:val="0"/>
          <w:lang w:val="pt-BR"/>
        </w:rPr>
        <w:t>Pedido de condenação:</w:t>
      </w:r>
      <w:r w:rsidRPr="36C8A6EF" w:rsidR="3CB7B0B2">
        <w:rPr>
          <w:noProof w:val="0"/>
          <w:lang w:val="pt-BR"/>
        </w:rPr>
        <w:t xml:space="preserve"> Pagamento da quantia correspondente ao reparo da porta danificada (</w:t>
      </w:r>
      <w:r w:rsidRPr="36C8A6EF" w:rsidR="06CCE1A3">
        <w:rPr>
          <w:noProof w:val="0"/>
          <w:lang w:val="pt-BR"/>
        </w:rPr>
        <w:t xml:space="preserve">AKZ </w:t>
      </w:r>
      <w:r w:rsidRPr="36C8A6EF" w:rsidR="3CB7B0B2">
        <w:rPr>
          <w:noProof w:val="0"/>
          <w:lang w:val="pt-BR"/>
        </w:rPr>
        <w:t>5</w:t>
      </w:r>
      <w:r w:rsidRPr="36C8A6EF" w:rsidR="5870330A">
        <w:rPr>
          <w:noProof w:val="0"/>
          <w:lang w:val="pt-BR"/>
        </w:rPr>
        <w:t>.0</w:t>
      </w:r>
      <w:r w:rsidRPr="36C8A6EF" w:rsidR="3CB7B0B2">
        <w:rPr>
          <w:noProof w:val="0"/>
          <w:lang w:val="pt-BR"/>
        </w:rPr>
        <w:t>00).</w:t>
      </w:r>
    </w:p>
    <w:p w:rsidR="78AAFAB7" w:rsidP="36C8A6EF" w:rsidRDefault="78AAFAB7" w14:paraId="525C29EF" w14:textId="619243CE">
      <w:pPr>
        <w:pStyle w:val="ListParagraph"/>
        <w:keepNext w:val="0"/>
        <w:keepLines w:val="0"/>
        <w:numPr>
          <w:ilvl w:val="0"/>
          <w:numId w:val="10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noProof w:val="0"/>
          <w:lang w:val="pt-BR"/>
        </w:rPr>
      </w:pPr>
      <w:r w:rsidRPr="36C8A6EF" w:rsidR="3CB7B0B2">
        <w:rPr>
          <w:b w:val="1"/>
          <w:bCs w:val="1"/>
          <w:noProof w:val="0"/>
          <w:lang w:val="pt-BR"/>
        </w:rPr>
        <w:t>Pedido de declaração:</w:t>
      </w:r>
      <w:r w:rsidRPr="36C8A6EF" w:rsidR="3CB7B0B2">
        <w:rPr>
          <w:noProof w:val="0"/>
          <w:lang w:val="pt-BR"/>
        </w:rPr>
        <w:t xml:space="preserve"> A resolução do contrato de arrendamento devido à falta de pagamento (se for essa a intenção do autor).</w:t>
      </w:r>
    </w:p>
    <w:p w:rsidR="78AAFAB7" w:rsidP="36C8A6EF" w:rsidRDefault="78AAFAB7" w14:paraId="646C16C9" w14:textId="7C57C7DA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3CB7B0B2">
        <w:rPr>
          <w:noProof w:val="0"/>
          <w:lang w:val="pt-BR"/>
        </w:rPr>
        <w:t>Todos os pedidos são compatíveis entre si (pode-se pedir o dinheiro das rendas, o dinheiro do dano e a resolução do contrato na mesma ação) e são deduzidos contra o mesmo réu.</w:t>
      </w:r>
    </w:p>
    <w:p w:rsidR="4FAAF389" w:rsidP="36C8A6EF" w:rsidRDefault="4FAAF389" w14:paraId="61B86C6A" w14:textId="333040FB">
      <w:pPr>
        <w:pStyle w:val="ListParagraph"/>
        <w:keepNext w:val="0"/>
        <w:keepLines w:val="0"/>
        <w:spacing w:before="240" w:beforeAutospacing="off" w:after="240" w:afterAutospacing="off" w:line="360" w:lineRule="auto"/>
        <w:ind w:left="72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36C8A6EF" wp14:paraId="3715F203" wp14:textId="22DAB236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AAF389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Pedidos genéricos</w:t>
      </w:r>
      <w:r w:rsidRPr="4FAAF389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8780"/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FAAF389" w:rsidR="51C2EECF">
        <w:rPr>
          <w:rStyle w:val="SubtleReference"/>
          <w:noProof w:val="0"/>
          <w:lang w:val="pt-BR"/>
        </w:rPr>
        <w:t>(artigo 471.º)</w:t>
      </w:r>
      <w:r w:rsidRPr="4FAAF389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quando o objeto imediato da ação seja uma universalidade, quando não seja possível determinar definitivamente as consequências do facto ilícito, ou quando a fixação do quantitativo dependa de prestação de contas ou de outro ato a praticar pelo réu.</w:t>
      </w:r>
    </w:p>
    <w:p w:rsidR="77045EBA" w:rsidP="36C8A6EF" w:rsidRDefault="77045EBA" w14:paraId="448B26B1" w14:textId="3827BE5F">
      <w:pPr>
        <w:keepNext w:val="0"/>
        <w:keepLines w:val="0"/>
        <w:spacing w:before="0" w:beforeAutospacing="off" w:after="240" w:afterAutospacing="off" w:line="360" w:lineRule="auto"/>
        <w:ind w:left="2124" w:firstLine="1008"/>
        <w:jc w:val="both"/>
      </w:pPr>
      <w:r w:rsidRPr="36C8A6EF" w:rsidR="1FDC5748">
        <w:rPr>
          <w:rStyle w:val="IntenseReference"/>
          <w:noProof w:val="0"/>
          <w:lang w:val="pt-BR"/>
        </w:rPr>
        <w:t>João faleceu sem testamento. Os herdeiros legítimos (filhos) sabem que o pai possuía um património (uma universalidade de bens), mas não sabem exatamente quais contas bancárias ou bens móveis existem em poder do cônjuge sobrevivente que se recusa a partilhar.</w:t>
      </w:r>
    </w:p>
    <w:p w:rsidR="77045EBA" w:rsidP="36C8A6EF" w:rsidRDefault="77045EBA" w14:paraId="5C5199D7" w14:textId="1C41DEA6">
      <w:pPr>
        <w:keepNext w:val="0"/>
        <w:keepLines w:val="0"/>
        <w:spacing w:before="0" w:beforeAutospacing="off" w:after="240" w:afterAutospacing="off" w:line="360" w:lineRule="auto"/>
        <w:ind w:firstLine="1008"/>
        <w:jc w:val="both"/>
      </w:pPr>
      <w:r w:rsidRPr="36C8A6EF" w:rsidR="1FDC5748">
        <w:rPr>
          <w:noProof w:val="0"/>
          <w:lang w:val="pt-BR"/>
        </w:rPr>
        <w:t>Na ação de inventário (ou ação de divisão de coisa comum), os autores formulam pedido genérico:</w:t>
      </w:r>
    </w:p>
    <w:p w:rsidR="77045EBA" w:rsidP="36C8A6EF" w:rsidRDefault="77045EBA" w14:paraId="3131D616" w14:textId="7702C97E">
      <w:pPr>
        <w:pStyle w:val="Quote"/>
        <w:keepNext w:val="0"/>
        <w:keepLines w:val="0"/>
        <w:spacing w:line="360" w:lineRule="auto"/>
        <w:ind w:firstLine="1008"/>
        <w:jc w:val="both"/>
        <w:rPr>
          <w:noProof w:val="0"/>
          <w:lang w:val="pt-BR"/>
        </w:rPr>
      </w:pPr>
      <w:r w:rsidRPr="36C8A6EF" w:rsidR="1FDC5748">
        <w:rPr>
          <w:noProof w:val="0"/>
          <w:lang w:val="pt-BR"/>
        </w:rPr>
        <w:t>“Que seja partilhada a universalidade de bens que compunha o acervo hereditário deixado por João”</w:t>
      </w:r>
    </w:p>
    <w:p w:rsidR="77045EBA" w:rsidP="36C8A6EF" w:rsidRDefault="77045EBA" w14:paraId="0E06A42D" w14:textId="7796D1CD">
      <w:pPr>
        <w:keepNext w:val="0"/>
        <w:keepLines w:val="0"/>
        <w:spacing w:before="240" w:beforeAutospacing="off" w:after="240" w:afterAutospacing="off" w:line="360" w:lineRule="auto"/>
        <w:ind w:left="2832" w:firstLine="1008"/>
        <w:jc w:val="both"/>
      </w:pPr>
      <w:r w:rsidRPr="36C8A6EF" w:rsidR="1FDC5748">
        <w:rPr>
          <w:rStyle w:val="IntenseReference"/>
          <w:noProof w:val="0"/>
          <w:lang w:val="pt-BR"/>
        </w:rPr>
        <w:t xml:space="preserve">Exemplo </w:t>
      </w:r>
      <w:r w:rsidRPr="36C8A6EF" w:rsidR="4E8BB9F5">
        <w:rPr>
          <w:rStyle w:val="IntenseReference"/>
          <w:noProof w:val="0"/>
          <w:lang w:val="pt-BR"/>
        </w:rPr>
        <w:t xml:space="preserve">- </w:t>
      </w:r>
      <w:r w:rsidRPr="36C8A6EF" w:rsidR="1FDC5748">
        <w:rPr>
          <w:rStyle w:val="IntenseReference"/>
          <w:noProof w:val="0"/>
          <w:lang w:val="pt-BR"/>
        </w:rPr>
        <w:t>Indeterminação de consequências:</w:t>
      </w:r>
    </w:p>
    <w:p w:rsidR="77045EBA" w:rsidP="36C8A6EF" w:rsidRDefault="77045EBA" w14:paraId="2BDEA8EE" w14:textId="2A996758">
      <w:pPr>
        <w:keepNext w:val="0"/>
        <w:keepLines w:val="0"/>
        <w:spacing w:before="240" w:beforeAutospacing="off" w:after="240" w:afterAutospacing="off" w:line="360" w:lineRule="auto"/>
        <w:ind w:left="2832" w:firstLine="1008"/>
        <w:jc w:val="both"/>
      </w:pPr>
      <w:r w:rsidRPr="36C8A6EF" w:rsidR="1FDC5748">
        <w:rPr>
          <w:rStyle w:val="IntenseReference"/>
          <w:noProof w:val="0"/>
          <w:lang w:val="pt-BR"/>
        </w:rPr>
        <w:t>Um atropelamento ocorreu há 30 dias. A vítima sofreu fraturas graves e ainda está internada. O médico indica que ela precisará de cirurgias futuras e poderá ficar com incapacidade permanente, mas ainda é impossível saber o valor total dos danos futuros (perda de capacidade de ganho, tratamentos futuros).</w:t>
      </w:r>
    </w:p>
    <w:p w:rsidR="77045EBA" w:rsidP="36C8A6EF" w:rsidRDefault="77045EBA" w14:paraId="0553CCD2" w14:textId="5E0EF4ED">
      <w:pPr>
        <w:keepNext w:val="0"/>
        <w:keepLines w:val="0"/>
        <w:spacing w:before="240" w:beforeAutospacing="off" w:after="240" w:afterAutospacing="off" w:line="360" w:lineRule="auto"/>
        <w:ind w:left="0" w:firstLine="1008"/>
        <w:jc w:val="both"/>
      </w:pPr>
      <w:r>
        <w:br/>
      </w:r>
      <w:r w:rsidRPr="36C8A6EF" w:rsidR="1FDC5748">
        <w:rPr>
          <w:noProof w:val="0"/>
          <w:lang w:val="pt-BR"/>
        </w:rPr>
        <w:t xml:space="preserve">Na ação contra o condutor e a seguradora, a vítima formula pedido genérico: </w:t>
      </w:r>
      <w:r w:rsidRPr="36C8A6EF" w:rsidR="1FDC5748">
        <w:rPr>
          <w:i w:val="1"/>
          <w:iCs w:val="1"/>
          <w:noProof w:val="0"/>
          <w:lang w:val="pt-BR"/>
        </w:rPr>
        <w:t>“A condenação dos réus no pagamento da quantia que se vier a liquidar em execução de sentença, correspondente aos danos patrimoniais e não patrimoniais decorrentes do acidente”</w:t>
      </w:r>
      <w:r w:rsidRPr="36C8A6EF" w:rsidR="1FDC5748">
        <w:rPr>
          <w:noProof w:val="0"/>
          <w:lang w:val="pt-BR"/>
        </w:rPr>
        <w:t xml:space="preserve"> (pedido de condenação genérico, a liquidar posteriormente).</w:t>
      </w:r>
    </w:p>
    <w:p w:rsidR="77045EBA" w:rsidP="36C8A6EF" w:rsidRDefault="77045EBA" w14:paraId="5033B624" w14:textId="69551B58">
      <w:pPr>
        <w:keepNext w:val="0"/>
        <w:keepLines w:val="0"/>
        <w:spacing w:before="240" w:beforeAutospacing="off" w:after="240" w:afterAutospacing="off" w:line="360" w:lineRule="auto"/>
        <w:ind w:left="2832" w:firstLine="1008"/>
        <w:jc w:val="both"/>
        <w:rPr>
          <w:rStyle w:val="IntenseReference"/>
          <w:noProof w:val="0"/>
          <w:lang w:val="pt-BR"/>
        </w:rPr>
      </w:pPr>
      <w:r w:rsidRPr="36C8A6EF" w:rsidR="1FDC5748">
        <w:rPr>
          <w:rStyle w:val="IntenseReference"/>
          <w:noProof w:val="0"/>
          <w:lang w:val="pt-BR"/>
        </w:rPr>
        <w:t xml:space="preserve">Exemplo </w:t>
      </w:r>
      <w:r w:rsidRPr="36C8A6EF" w:rsidR="5AF20451">
        <w:rPr>
          <w:rStyle w:val="IntenseReference"/>
          <w:noProof w:val="0"/>
          <w:lang w:val="pt-BR"/>
        </w:rPr>
        <w:t xml:space="preserve">- </w:t>
      </w:r>
      <w:r w:rsidRPr="36C8A6EF" w:rsidR="1FDC5748">
        <w:rPr>
          <w:rStyle w:val="IntenseReference"/>
          <w:noProof w:val="0"/>
          <w:lang w:val="pt-BR"/>
        </w:rPr>
        <w:t>Depend</w:t>
      </w:r>
      <w:r w:rsidRPr="36C8A6EF" w:rsidR="592A559A">
        <w:rPr>
          <w:rStyle w:val="IntenseReference"/>
          <w:noProof w:val="0"/>
          <w:lang w:val="pt-BR"/>
        </w:rPr>
        <w:t>ência</w:t>
      </w:r>
      <w:r w:rsidRPr="36C8A6EF" w:rsidR="1FDC5748">
        <w:rPr>
          <w:rStyle w:val="IntenseReference"/>
          <w:noProof w:val="0"/>
          <w:lang w:val="pt-BR"/>
        </w:rPr>
        <w:t xml:space="preserve"> de prestação de contas:</w:t>
      </w:r>
    </w:p>
    <w:p w:rsidR="77045EBA" w:rsidP="36C8A6EF" w:rsidRDefault="77045EBA" w14:paraId="2077E1FA" w14:textId="2CC7530A">
      <w:pPr>
        <w:keepNext w:val="0"/>
        <w:keepLines w:val="0"/>
        <w:spacing w:before="240" w:beforeAutospacing="off" w:after="240" w:afterAutospacing="off" w:line="360" w:lineRule="auto"/>
        <w:ind w:left="2832" w:firstLine="1008"/>
        <w:jc w:val="both"/>
      </w:pPr>
      <w:r w:rsidRPr="36C8A6EF" w:rsidR="1FDC5748">
        <w:rPr>
          <w:rStyle w:val="IntenseReference"/>
          <w:noProof w:val="0"/>
          <w:lang w:val="pt-BR"/>
        </w:rPr>
        <w:t>Um sócio gerente de uma sociedade comercial afastou-se da gestão. Os sócios acreditam que ele usou indevidamente o cartão de crédito da empresa e desviou fundos, mas não têm acesso aos extratos bancários e documentos fiscais que estão na posse do réu.</w:t>
      </w:r>
    </w:p>
    <w:p w:rsidR="77045EBA" w:rsidP="36C8A6EF" w:rsidRDefault="77045EBA" w14:paraId="129E079D" w14:textId="72A1A75E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1FDC5748">
        <w:rPr>
          <w:noProof w:val="0"/>
          <w:lang w:val="pt-BR"/>
        </w:rPr>
        <w:t>Na ação de responsabilidade civil dos gerentes, os autores formulam pedido genérico:</w:t>
      </w:r>
    </w:p>
    <w:p w:rsidR="77045EBA" w:rsidP="36C8A6EF" w:rsidRDefault="77045EBA" w14:paraId="6658B76D" w14:textId="015628C7">
      <w:pPr>
        <w:pStyle w:val="Quote"/>
        <w:keepNext w:val="0"/>
        <w:keepLines w:val="0"/>
        <w:spacing w:line="360" w:lineRule="auto"/>
        <w:ind w:firstLine="1008"/>
        <w:jc w:val="both"/>
      </w:pPr>
      <w:r w:rsidRPr="36C8A6EF" w:rsidR="1FDC5748">
        <w:rPr>
          <w:noProof w:val="0"/>
          <w:lang w:val="pt-BR"/>
        </w:rPr>
        <w:t>“A condenação do réu no pagamento da quantia que vier a ser apurada em prestação de contas a ser apresentada pelo réu, relativa aos montantes por si levantados ou utilizados em proveito próprio entre 2020 e 2023”</w:t>
      </w:r>
      <w:r w:rsidRPr="36C8A6EF" w:rsidR="1FDC5748">
        <w:rPr>
          <w:noProof w:val="0"/>
          <w:lang w:val="pt-BR"/>
        </w:rPr>
        <w:t>.</w:t>
      </w:r>
    </w:p>
    <w:p w:rsidR="4FAAF389" w:rsidP="36C8A6EF" w:rsidRDefault="4FAAF389" w14:paraId="7E05FD1C" w14:textId="5717A3B4">
      <w:pPr>
        <w:keepNext w:val="0"/>
        <w:keepLines w:val="0"/>
        <w:spacing w:line="360" w:lineRule="auto"/>
        <w:ind w:firstLine="1008"/>
        <w:jc w:val="both"/>
      </w:pPr>
      <w:r>
        <w:br w:type="page"/>
      </w:r>
    </w:p>
    <w:p w:rsidR="18BA7168" w:rsidP="36C8A6EF" w:rsidRDefault="18BA7168" w14:paraId="4F4B7AB2" w14:textId="5C4C5965">
      <w:pPr>
        <w:pStyle w:val="Heading3"/>
        <w:keepNext w:val="0"/>
        <w:keepLines w:val="0"/>
        <w:spacing w:before="281" w:beforeAutospacing="off" w:after="281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32287480" w:id="1531385727"/>
      <w:r w:rsidRPr="7C1653F5" w:rsidR="37175F6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Resumo Prático para Petição Inicial</w:t>
      </w:r>
      <w:bookmarkEnd w:id="1531385727"/>
    </w:p>
    <w:tbl>
      <w:tblPr>
        <w:tblStyle w:val="TableNormal"/>
        <w:bidiVisual w:val="0"/>
        <w:tblW w:w="9072" w:type="dxa"/>
        <w:jc w:val="left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80"/>
        <w:gridCol w:w="2856"/>
        <w:gridCol w:w="2268"/>
        <w:gridCol w:w="2268"/>
      </w:tblGrid>
      <w:tr w:rsidR="4FAAF389" w:rsidTr="36C8A6EF" w14:paraId="3386E54E">
        <w:trPr>
          <w:trHeight w:val="2268"/>
        </w:trPr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617383A4" w14:textId="124552F0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Tipo</w:t>
            </w:r>
          </w:p>
        </w:tc>
        <w:tc>
          <w:tcPr>
            <w:tcW w:w="28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22846218" w14:textId="37F9E69E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Artigo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53455029" w14:textId="4E244547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Momento de análise pelo Juiz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4BFA7439" w14:textId="3FD39C4E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Exemplo de Fórmula na Petição</w:t>
            </w:r>
          </w:p>
        </w:tc>
      </w:tr>
      <w:tr w:rsidR="4FAAF389" w:rsidTr="36C8A6EF" w14:paraId="44C57EEB">
        <w:trPr>
          <w:trHeight w:val="2268"/>
        </w:trPr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4461964C" w14:textId="60F989F1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Alternativo</w:t>
            </w:r>
          </w:p>
        </w:tc>
        <w:tc>
          <w:tcPr>
            <w:tcW w:w="28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FAAF389" w:rsidP="4FAAF389" w:rsidRDefault="4FAAF389" w14:paraId="0F6D7805" w14:textId="67C6C381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center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468.º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4CF7ABD1" w14:textId="7799FD4D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O juiz pode conceder um ou outro, conforme a prova.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4C491F12" w14:textId="2E70C1BA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i w:val="1"/>
                <w:iCs w:val="1"/>
                <w:sz w:val="24"/>
                <w:szCs w:val="24"/>
              </w:rPr>
            </w:pPr>
            <w:r w:rsidRPr="36C8A6EF" w:rsidR="4A128729">
              <w:rPr>
                <w:i w:val="1"/>
                <w:iCs w:val="1"/>
                <w:sz w:val="24"/>
                <w:szCs w:val="24"/>
              </w:rPr>
              <w:t>“Deve o réu ser condenado a resolver o contrato e a devolver X, ou, alternativamente, a pagar Y a título de abatimento no preço.”</w:t>
            </w:r>
          </w:p>
        </w:tc>
      </w:tr>
      <w:tr w:rsidR="4FAAF389" w:rsidTr="36C8A6EF" w14:paraId="5F0034D0">
        <w:trPr>
          <w:trHeight w:val="2268"/>
        </w:trPr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6B6C7AEA" w14:textId="3D83A8F0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Subsidiário</w:t>
            </w:r>
          </w:p>
        </w:tc>
        <w:tc>
          <w:tcPr>
            <w:tcW w:w="28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FAAF389" w:rsidP="4FAAF389" w:rsidRDefault="4FAAF389" w14:paraId="3967F6C0" w14:textId="39907F2D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center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469.º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32B7FB41" w14:textId="7E95077C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Só se analisa o segundo se o primeiro for improcedente.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7658352A" w14:textId="2033F1AC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i w:val="1"/>
                <w:iCs w:val="1"/>
                <w:sz w:val="24"/>
                <w:szCs w:val="24"/>
              </w:rPr>
            </w:pPr>
            <w:r w:rsidRPr="36C8A6EF" w:rsidR="4A128729">
              <w:rPr>
                <w:i w:val="1"/>
                <w:iCs w:val="1"/>
                <w:sz w:val="24"/>
                <w:szCs w:val="24"/>
              </w:rPr>
              <w:t>“Caso assim se não entenda, e apenas para essa eventualidade, deve o réu ser condenado a pagar Z a título de indemnização.”</w:t>
            </w:r>
          </w:p>
        </w:tc>
      </w:tr>
      <w:tr w:rsidR="4FAAF389" w:rsidTr="36C8A6EF" w14:paraId="25C4AE10">
        <w:trPr>
          <w:trHeight w:val="2268"/>
        </w:trPr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3ECEEF59" w14:textId="449B0C6D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Cumulativo</w:t>
            </w:r>
          </w:p>
        </w:tc>
        <w:tc>
          <w:tcPr>
            <w:tcW w:w="28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FAAF389" w:rsidP="4FAAF389" w:rsidRDefault="4FAAF389" w14:paraId="1501FBD8" w14:textId="0A8C04D2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center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470.º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34D5B37E" w14:textId="58CBF365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Analisam-se todos em simultâneo (desde que compatíveis).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4024D739" w14:textId="5908EC5C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i w:val="1"/>
                <w:iCs w:val="1"/>
                <w:sz w:val="24"/>
                <w:szCs w:val="24"/>
              </w:rPr>
            </w:pPr>
            <w:r w:rsidRPr="36C8A6EF" w:rsidR="4A128729">
              <w:rPr>
                <w:i w:val="1"/>
                <w:iCs w:val="1"/>
                <w:sz w:val="24"/>
                <w:szCs w:val="24"/>
              </w:rPr>
              <w:t>“Deve o réu ser condenado a: a) pagar as rendas em atraso; b) pagar os danos na porta.”</w:t>
            </w:r>
          </w:p>
        </w:tc>
      </w:tr>
      <w:tr w:rsidR="4FAAF389" w:rsidTr="36C8A6EF" w14:paraId="5ED03EB5">
        <w:trPr>
          <w:trHeight w:val="2268"/>
        </w:trPr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3B5F9DAE" w14:textId="5C647D09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RPr="36C8A6EF" w:rsidR="4A128729">
              <w:rPr>
                <w:b w:val="1"/>
                <w:bCs w:val="1"/>
                <w:sz w:val="24"/>
                <w:szCs w:val="24"/>
              </w:rPr>
              <w:t>Genérico</w:t>
            </w:r>
          </w:p>
        </w:tc>
        <w:tc>
          <w:tcPr>
            <w:tcW w:w="28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FAAF389" w:rsidP="4FAAF389" w:rsidRDefault="4FAAF389" w14:paraId="1F61DDFA" w14:textId="10BBD35F">
            <w:pPr>
              <w:keepNext w:val="0"/>
              <w:keepLines w:val="0"/>
              <w:spacing w:before="0" w:beforeAutospacing="off" w:after="0" w:afterAutospacing="off" w:line="360" w:lineRule="auto"/>
              <w:ind w:firstLine="0"/>
              <w:jc w:val="center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471.º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51ADD27D" w14:textId="331D0CBD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sz w:val="24"/>
                <w:szCs w:val="24"/>
              </w:rPr>
            </w:pPr>
            <w:r w:rsidRPr="36C8A6EF" w:rsidR="4A128729">
              <w:rPr>
                <w:sz w:val="24"/>
                <w:szCs w:val="24"/>
              </w:rPr>
              <w:t>O juiz decide que há direito a ser reparado/partilhado, deixando o valor ou a divisão para fase posterior (liquidação).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4FAAF389" w:rsidP="36C8A6EF" w:rsidRDefault="4FAAF389" w14:paraId="11DC3AF9" w14:textId="5B48B418">
            <w:pPr>
              <w:keepNext w:val="0"/>
              <w:keepLines w:val="0"/>
              <w:spacing w:before="0" w:beforeAutospacing="off" w:after="0" w:afterAutospacing="off" w:line="360" w:lineRule="auto"/>
              <w:ind w:firstLine="1008"/>
              <w:jc w:val="both"/>
              <w:rPr>
                <w:i w:val="1"/>
                <w:iCs w:val="1"/>
                <w:sz w:val="24"/>
                <w:szCs w:val="24"/>
              </w:rPr>
            </w:pPr>
            <w:r w:rsidRPr="36C8A6EF" w:rsidR="4A128729">
              <w:rPr>
                <w:i w:val="1"/>
                <w:iCs w:val="1"/>
                <w:sz w:val="24"/>
                <w:szCs w:val="24"/>
              </w:rPr>
              <w:t>“Deve o réu ser condenado a pagar ao autor a quantia que se vier a liquidar em execução de sentença, correspondente aos danos emergentes e lucros cessantes.”</w:t>
            </w:r>
          </w:p>
        </w:tc>
      </w:tr>
    </w:tbl>
    <w:p xmlns:wp14="http://schemas.microsoft.com/office/word/2010/wordml" w:rsidP="36C8A6EF" wp14:paraId="2CB8E138" wp14:textId="6895C217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formulação do pedido deve ser certa, determinada e completa.</w:t>
      </w:r>
    </w:p>
    <w:p xmlns:wp14="http://schemas.microsoft.com/office/word/2010/wordml" w:rsidP="36C8A6EF" wp14:paraId="10DE8CA3" wp14:textId="06BADF86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70D1042">
        <w:rPr>
          <w:rStyle w:val="IntenseQuoteChar"/>
          <w:noProof w:val="0"/>
          <w:lang w:val="pt-BR"/>
        </w:rPr>
        <w:t>A</w:t>
      </w:r>
      <w:r w:rsidRPr="36C8A6EF" w:rsidR="51C2EECF">
        <w:rPr>
          <w:rStyle w:val="IntenseQuoteChar"/>
          <w:noProof w:val="0"/>
          <w:lang w:val="pt-BR"/>
        </w:rPr>
        <w:t xml:space="preserve"> falta de clareza</w:t>
      </w:r>
      <w:r w:rsidRPr="36C8A6EF" w:rsidR="51C2EECF">
        <w:rPr>
          <w:rStyle w:val="IntenseQuoteChar"/>
          <w:noProof w:val="0"/>
          <w:lang w:val="pt-BR"/>
        </w:rPr>
        <w:t xml:space="preserve"> ou determinação do pedido compromete a possibilidade de o tribunal conhecer da causa, podendo conduzir ao indeferimento liminar por ineptidão da petição</w:t>
      </w:r>
      <w:r w:rsidRPr="36C8A6EF" w:rsidR="33E0643B">
        <w:rPr>
          <w:rStyle w:val="IntenseQuoteChar"/>
          <w:noProof w:val="0"/>
          <w:lang w:val="pt-BR"/>
        </w:rPr>
        <w:t>.</w:t>
      </w:r>
    </w:p>
    <w:p xmlns:wp14="http://schemas.microsoft.com/office/word/2010/wordml" w:rsidP="36C8A6EF" wp14:paraId="3090F8A7" wp14:textId="23014912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bookmarkStart w:name="_Toc1049919226" w:id="585764294"/>
      <w:r w:rsidRPr="7C1653F5" w:rsidR="0756F8EA">
        <w:rPr>
          <w:noProof w:val="0"/>
          <w:lang w:val="pt-BR"/>
        </w:rPr>
        <w:t>4</w:t>
      </w:r>
      <w:r w:rsidRPr="7C1653F5" w:rsidR="51C2EECF">
        <w:rPr>
          <w:noProof w:val="0"/>
          <w:lang w:val="pt-BR"/>
        </w:rPr>
        <w:t>. Declaração do Valor da Causa</w:t>
      </w:r>
      <w:bookmarkEnd w:id="585764294"/>
    </w:p>
    <w:p xmlns:wp14="http://schemas.microsoft.com/office/word/2010/wordml" w:rsidP="36C8A6EF" wp14:paraId="4E947D55" wp14:textId="1B6FC4A3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36C8A6EF" w:rsidR="51C2EECF">
        <w:rPr>
          <w:rStyle w:val="SubtleReference"/>
          <w:noProof w:val="0"/>
          <w:lang w:val="pt-BR"/>
        </w:rPr>
        <w:t>alínea e) do n.º 1 do artigo 467.º</w:t>
      </w:r>
      <w:r w:rsidRPr="36C8A6EF" w:rsidR="759AF047">
        <w:rPr>
          <w:rStyle w:val="SubtleReference"/>
          <w:noProof w:val="0"/>
          <w:lang w:val="pt-BR"/>
        </w:rPr>
        <w:t xml:space="preserve"> do CPC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exige a declaração do valor da causa, que "representa a utilidade económica imediata do pedido" </w:t>
      </w:r>
      <w:r w:rsidRPr="36C8A6EF" w:rsidR="51C2EECF">
        <w:rPr>
          <w:rStyle w:val="SubtleReference"/>
          <w:noProof w:val="0"/>
          <w:lang w:val="pt-BR"/>
        </w:rPr>
        <w:t>(artigo 305.º, n.º 1)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Este valor é fundamental para determinar a competência do tribunal, a forma do processo comum e a relação da causa com a alçada do tribunal.</w:t>
      </w:r>
    </w:p>
    <w:p xmlns:wp14="http://schemas.microsoft.com/office/word/2010/wordml" w:rsidP="36C8A6EF" wp14:paraId="558DD6FB" wp14:textId="1FDF7D39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306.º estabelece os critérios gerais para a fixação do valor:</w:t>
      </w:r>
    </w:p>
    <w:p xmlns:wp14="http://schemas.microsoft.com/office/word/2010/wordml" w:rsidP="36C8A6EF" wp14:paraId="00DEEEF7" wp14:textId="20DD2268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quantias certas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é esse o valor;</w:t>
      </w:r>
    </w:p>
    <w:p xmlns:wp14="http://schemas.microsoft.com/office/word/2010/wordml" w:rsidP="36C8A6EF" wp14:paraId="5111B2BE" wp14:textId="2D5E5929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benefícios diversos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 valor é a </w:t>
      </w:r>
      <w:r w:rsidRPr="36C8A6EF" w:rsidR="101F4CE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quantia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equivalente;</w:t>
      </w:r>
    </w:p>
    <w:p xmlns:wp14="http://schemas.microsoft.com/office/word/2010/wordml" w:rsidP="36C8A6EF" wp14:paraId="50A936D2" wp14:textId="6C3BAB8C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Na 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cumulação de pedidos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 valor é a soma dos valores de todos eles.</w:t>
      </w:r>
    </w:p>
    <w:p xmlns:wp14="http://schemas.microsoft.com/office/word/2010/wordml" w:rsidP="36C8A6EF" wp14:paraId="3618C5CC" wp14:textId="7C0D14B6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réu pode impugnar o valor da causa indicado na petição inicial, nos termos do </w:t>
      </w:r>
      <w:r w:rsidRPr="36C8A6EF" w:rsidR="51C2EECF">
        <w:rPr>
          <w:rStyle w:val="SubtleReference"/>
          <w:noProof w:val="0"/>
          <w:lang w:val="pt-BR"/>
        </w:rPr>
        <w:t>artigo 314.º, n.º 1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oferecendo outro em substituição. A falta de impugnação significa aceitação tácita do valor atribuído pelo autor.</w:t>
      </w:r>
    </w:p>
    <w:p xmlns:wp14="http://schemas.microsoft.com/office/word/2010/wordml" w:rsidP="36C8A6EF" wp14:paraId="1B61A96F" wp14:textId="5F879A0C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1628722681" w:id="495497371"/>
      <w:r w:rsidRPr="7C1653F5" w:rsidR="36C8A6EF">
        <w:rPr>
          <w:noProof w:val="0"/>
          <w:lang w:val="pt-BR"/>
        </w:rPr>
        <w:t xml:space="preserve">5. </w:t>
      </w:r>
      <w:r w:rsidRPr="7C1653F5" w:rsidR="51C2EECF">
        <w:rPr>
          <w:noProof w:val="0"/>
          <w:lang w:val="pt-BR"/>
        </w:rPr>
        <w:t>Formalidades Externas e Documentais</w:t>
      </w:r>
      <w:bookmarkEnd w:id="495497371"/>
    </w:p>
    <w:p xmlns:wp14="http://schemas.microsoft.com/office/word/2010/wordml" w:rsidP="36C8A6EF" wp14:paraId="6EEDA6E2" wp14:textId="131A3182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além dos requisitos substanciais previstos no artigo 467.º, a petição inicial deve observar determinadas formalidades externas:</w:t>
      </w:r>
    </w:p>
    <w:p xmlns:wp14="http://schemas.microsoft.com/office/word/2010/wordml" w:rsidP="36C8A6EF" wp14:paraId="7D76736F" wp14:textId="39F5565A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Apresentação em duplicado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Nos termos do artigo 152.º, os articulados são apresentados em duplicado, devendo a falta dos duplicados ser suprida no prazo fixado pelo juiz, sob pena de indeferimento.</w:t>
      </w:r>
    </w:p>
    <w:p xmlns:wp14="http://schemas.microsoft.com/office/word/2010/wordml" w:rsidP="36C8A6EF" wp14:paraId="618190BC" wp14:textId="374D17CA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Documentos instrutórios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Embora o artigo 467.º não mencione expressamente a junção de documentos, o artigo 523.º estabelece que os documentos destinados a fazer prova dos fundamentos da ação devem ser apresentados com o articulado em que se aleguem os factos correspondentes.</w:t>
      </w:r>
    </w:p>
    <w:p xmlns:wp14="http://schemas.microsoft.com/office/word/2010/wordml" w:rsidP="36C8A6EF" wp14:paraId="579DDD2C" wp14:textId="0291F5B0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360" w:lineRule="auto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51C2EE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Cumprimento de exigências fiscais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O </w:t>
      </w:r>
      <w:r w:rsidRPr="36C8A6EF" w:rsidR="51C2EECF">
        <w:rPr>
          <w:rStyle w:val="SubtleReference"/>
          <w:noProof w:val="0"/>
          <w:lang w:val="pt-BR"/>
        </w:rPr>
        <w:t>artigo 467.º, n.º 2</w:t>
      </w: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 que "a petição não é recebida se não satisfizer as exigências das leis fiscais", referindo-se ao pagamento do imposto de selo e demais encargos legais.</w:t>
      </w:r>
    </w:p>
    <w:p w:rsidR="36C8A6EF" w:rsidP="36C8A6EF" w:rsidRDefault="36C8A6EF" w14:paraId="03D97A2C" w14:textId="7D93ECDA">
      <w:pPr>
        <w:pStyle w:val="Title"/>
        <w:keepNext w:val="0"/>
        <w:keepLines w:val="0"/>
        <w:rPr>
          <w:noProof w:val="0"/>
          <w:lang w:val="pt-BR"/>
        </w:rPr>
      </w:pPr>
    </w:p>
    <w:p w:rsidR="36C8A6EF" w:rsidRDefault="36C8A6EF" w14:paraId="5E5B12DA" w14:textId="37A84FCD">
      <w:r>
        <w:br w:type="page"/>
      </w:r>
    </w:p>
    <w:p w:rsidR="61F235D0" w:rsidP="36C8A6EF" w:rsidRDefault="61F235D0" w14:paraId="27282C4B" w14:textId="089C9BCA">
      <w:pPr>
        <w:pStyle w:val="Title"/>
        <w:keepNext w:val="0"/>
        <w:keepLines w:val="0"/>
      </w:pPr>
      <w:r w:rsidRPr="36C8A6EF" w:rsidR="61F235D0">
        <w:rPr>
          <w:noProof w:val="0"/>
          <w:lang w:val="pt-BR"/>
        </w:rPr>
        <w:t>PARTE II</w:t>
      </w:r>
    </w:p>
    <w:p w:rsidR="61F235D0" w:rsidP="36C8A6EF" w:rsidRDefault="61F235D0" w14:paraId="09050DB9" w14:textId="2740C349">
      <w:pPr>
        <w:pStyle w:val="Subtitle"/>
        <w:keepNext w:val="0"/>
        <w:keepLines w:val="0"/>
        <w:rPr>
          <w:noProof w:val="0"/>
          <w:lang w:val="pt-BR"/>
        </w:rPr>
      </w:pPr>
      <w:r w:rsidRPr="36C8A6EF" w:rsidR="61F235D0">
        <w:rPr>
          <w:noProof w:val="0"/>
          <w:lang w:val="pt-BR"/>
        </w:rPr>
        <w:t xml:space="preserve">O Indeferimento da Petição Inicial: Pressupostos, Vícios e Mecanismos de </w:t>
      </w:r>
      <w:r w:rsidRPr="36C8A6EF" w:rsidR="61F235D0">
        <w:rPr>
          <w:noProof w:val="0"/>
          <w:lang w:val="pt-BR"/>
        </w:rPr>
        <w:t>Reacção</w:t>
      </w:r>
      <w:r w:rsidRPr="36C8A6EF" w:rsidR="61F235D0">
        <w:rPr>
          <w:noProof w:val="0"/>
          <w:lang w:val="pt-BR"/>
        </w:rPr>
        <w:t xml:space="preserve"> do Autor</w:t>
      </w:r>
    </w:p>
    <w:p w:rsidR="61F235D0" w:rsidP="36C8A6EF" w:rsidRDefault="61F235D0" w14:paraId="1897E5E2" w14:textId="1EB0C2ED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petição inicial constitui o 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acto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processual de maior relevo na fase postulatória do processo civil, porquanto delimita 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objectivamente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litígio e fixa os termos da demanda. O Código de Processo Civil angolano, herdado da tradição portuguesa, estabelece no seu artigo 467.º os requisitos essenciais da petição. Contudo, a inobservância desses requisitos pode conduzir à rejeição liminar da 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fundamento na ineptidão </w:t>
      </w:r>
      <w:r w:rsidRPr="36C8A6EF" w:rsidR="61F235D0">
        <w:rPr>
          <w:rStyle w:val="SubtleReference"/>
          <w:noProof w:val="0"/>
          <w:lang w:val="pt-BR"/>
        </w:rPr>
        <w:t>(artigo 193.º)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nas causas gerais de indeferimento </w:t>
      </w:r>
      <w:r w:rsidRPr="36C8A6EF" w:rsidR="61F235D0">
        <w:rPr>
          <w:rStyle w:val="SubtleReference"/>
          <w:noProof w:val="0"/>
          <w:lang w:val="pt-BR"/>
        </w:rPr>
        <w:t>(artigo 474.º)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Fa</w:t>
      </w:r>
      <w:r w:rsidRPr="36C8A6EF" w:rsidR="38A7C56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remos a análise do regime jurídico destes dois preceitos, bem como sobre os mecanismos de impugnação e 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ção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dispor do autor, designadamente o agravo </w:t>
      </w:r>
      <w:r w:rsidRPr="36C8A6EF" w:rsidR="61F235D0">
        <w:rPr>
          <w:rStyle w:val="SubtleReference"/>
          <w:noProof w:val="0"/>
          <w:lang w:val="pt-BR"/>
        </w:rPr>
        <w:t>(artigo 475.º)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 faculdade de apresentação de nova petição </w:t>
      </w:r>
      <w:r w:rsidRPr="36C8A6EF" w:rsidR="61F235D0">
        <w:rPr>
          <w:rStyle w:val="SubtleReference"/>
          <w:noProof w:val="0"/>
          <w:lang w:val="pt-BR"/>
        </w:rPr>
        <w:t>(artigo 476.º)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7571D2F" w:rsidP="36C8A6EF" w:rsidRDefault="77571D2F" w14:paraId="64FD3D08" w14:textId="19874CF9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226332979" w:id="1345874364"/>
      <w:r w:rsidRPr="7C1653F5" w:rsidR="77571D2F">
        <w:rPr>
          <w:noProof w:val="0"/>
          <w:lang w:val="pt-BR"/>
        </w:rPr>
        <w:t>6</w:t>
      </w:r>
      <w:r w:rsidRPr="7C1653F5" w:rsidR="61F235D0">
        <w:rPr>
          <w:noProof w:val="0"/>
          <w:lang w:val="pt-BR"/>
        </w:rPr>
        <w:t>. O Indeferimento da Petição Inicial por Ineptidão</w:t>
      </w:r>
      <w:bookmarkEnd w:id="1345874364"/>
    </w:p>
    <w:p w:rsidR="61F235D0" w:rsidP="36C8A6EF" w:rsidRDefault="61F235D0" w14:paraId="04B0B4FB" w14:textId="7A50E197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193.º, inserido na Subsecção VI do Livro III (Nulidades dos actos), estabelece que “é nulo todo o processo quando for inepta a petição inicial”. Esta disposição revela a extrema gravidade do vício, equiparando a ineptidão a uma nulidade principal, insanável, que contamina todo o processado subsequente.</w:t>
      </w:r>
    </w:p>
    <w:p w:rsidR="61F235D0" w:rsidP="36C8A6EF" w:rsidRDefault="61F235D0" w14:paraId="5354B056" w14:textId="08BE41E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norma define, no seu n.º 2, três situações típicas de ineptidão:</w:t>
      </w:r>
    </w:p>
    <w:p w:rsidR="61F235D0" w:rsidP="36C8A6EF" w:rsidRDefault="61F235D0" w14:paraId="2A08CCEC" w14:textId="59009533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Falta ou ininteligibilidade da indicação do pedido ou da causa de pedir: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pedido e a causa de pedir são elementos estruturantes da acção. A sua ausência ou obscuridade impede a compreensão do objecto do litígio e da pretensão deduzida, inviabilizando o contraditório e a defesa do réu.</w:t>
      </w:r>
    </w:p>
    <w:p w:rsidR="61F235D0" w:rsidP="36C8A6EF" w:rsidRDefault="61F235D0" w14:paraId="0C8F4C0F" w14:textId="60D30AB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Contradição entre o pedido e a causa de pedir: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pedido deve ser consequência lógica dos factos articulados. Se o autor narra um determinado conjunto de factos (causa de pedir) mas formula um pedido que com eles não se compadece, ocorre uma incoerência interna que afecta a própria possibilidade de julgamento.</w:t>
      </w:r>
    </w:p>
    <w:p w:rsidR="61F235D0" w:rsidP="36C8A6EF" w:rsidRDefault="61F235D0" w14:paraId="0778A8AB" w14:textId="29C72D08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Cumulação de pedidos substancialmente incompatíveis: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cumulação de pedidos </w:t>
      </w:r>
      <w:r w:rsidRPr="36C8A6EF" w:rsidR="61F235D0">
        <w:rPr>
          <w:rStyle w:val="SubtleReference"/>
          <w:noProof w:val="0"/>
          <w:lang w:val="pt-BR"/>
        </w:rPr>
        <w:t>(artigo 470.º)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permitida desde que os pedidos sejam compatíveis. A incompatibilidade substancial – por exemplo, pedir a condenação no cumprimento e a resolução do mesmo contrato – torna a petição inepta.</w:t>
      </w:r>
    </w:p>
    <w:p w:rsidR="61F235D0" w:rsidP="36C8A6EF" w:rsidRDefault="61F235D0" w14:paraId="2CC78F32" w14:textId="75025C84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n.º 3 do artigo 193.º introduz uma importante flexibilidade, ao estabelecer que, se o réu contestar apesar de arguir a ineptidão com base na alínea a), a arguição não será julgada procedente se, ouvido o autor, se verificar que o réu interpretou convenientemente a petição. Esta disposição reflecte o princípio da instrumentalidade das formas e a prevalência do conteúdo sobre a forma, mitigando o rigor do indeferimento liminar.</w:t>
      </w:r>
    </w:p>
    <w:p w:rsidR="41BE1D29" w:rsidP="36C8A6EF" w:rsidRDefault="41BE1D29" w14:paraId="1206342B" w14:textId="1401A42C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792577490" w:id="13382447"/>
      <w:r w:rsidRPr="7C1653F5" w:rsidR="41BE1D29">
        <w:rPr>
          <w:noProof w:val="0"/>
          <w:lang w:val="pt-BR"/>
        </w:rPr>
        <w:t>7</w:t>
      </w:r>
      <w:r w:rsidRPr="7C1653F5" w:rsidR="61F235D0">
        <w:rPr>
          <w:noProof w:val="0"/>
          <w:lang w:val="pt-BR"/>
        </w:rPr>
        <w:t>. As Causas Gerais de Indeferimento Liminar</w:t>
      </w:r>
      <w:bookmarkEnd w:id="13382447"/>
    </w:p>
    <w:p w:rsidR="61F235D0" w:rsidP="36C8A6EF" w:rsidRDefault="61F235D0" w14:paraId="0A65040F" w14:textId="3D0562BC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474.º, com a redacção actualizada pelo Decreto-Lei n.º 47 690/67, enumera as situações em que o juiz deve indeferir liminarmente a petição, sem citação do réu:</w:t>
      </w:r>
    </w:p>
    <w:p w:rsidR="61F235D0" w:rsidP="36C8A6EF" w:rsidRDefault="61F235D0" w14:paraId="1DA9092E" w14:textId="27B00CF5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Ineptidão da petição</w:t>
      </w:r>
      <w:r w:rsidRPr="36C8A6EF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4027"/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</w:t>
      </w:r>
    </w:p>
    <w:p w:rsidR="61F235D0" w:rsidP="36C8A6EF" w:rsidRDefault="61F235D0" w14:paraId="72E8A94D" w14:textId="337C8395">
      <w:pPr>
        <w:keepNext w:val="0"/>
        <w:keepLines w:val="0"/>
        <w:spacing w:before="240" w:beforeAutospacing="off" w:after="240" w:afterAutospacing="off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Incompetência absoluta do tribunal, falta de personalidade ou capacidade judiciária do autor ou do réu, ou ilegitimidade das partes</w:t>
      </w:r>
      <w:r w:rsidRPr="36C8A6EF">
        <w:rPr>
          <w:rStyle w:val="FootnoteReference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footnoteReference w:id="31605"/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;</w:t>
      </w:r>
    </w:p>
    <w:p w:rsidR="61F235D0" w:rsidP="36C8A6EF" w:rsidRDefault="61F235D0" w14:paraId="7AF7760F" w14:textId="21461245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c)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Propositura da 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acção</w:t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fora de prazo (caducidade de conhecimento oficioso) ou evidência da improcedência da pretensão do autor</w:t>
      </w:r>
      <w:r w:rsidRPr="36C8A6EF">
        <w:rPr>
          <w:rStyle w:val="FootnoteReference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footnoteReference w:id="27524"/>
      </w:r>
      <w:r w:rsidRPr="36C8A6EF" w:rsidR="61F23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.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61F235D0" w:rsidP="36C8A6EF" w:rsidRDefault="61F235D0" w14:paraId="05DC671D" w14:textId="6714F6C5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n.º 2 do artigo 474.º veda o indeferimento liminar parcial, salvo se dele resultar a exclusão de algum réu. O n.º 3 manda seguir a forma adequada quando o autor escolhe a forma de processo errada, mas não pode ser utilizada para essa forma, a petição é indeferida.</w:t>
      </w:r>
    </w:p>
    <w:p w:rsidR="69D05C27" w:rsidP="36C8A6EF" w:rsidRDefault="69D05C27" w14:paraId="1D1D6D7C" w14:textId="4D65FB0F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666111227" w:id="2032457336"/>
      <w:r w:rsidRPr="7C1653F5" w:rsidR="69D05C27">
        <w:rPr>
          <w:noProof w:val="0"/>
          <w:lang w:val="pt-BR"/>
        </w:rPr>
        <w:t>8</w:t>
      </w:r>
      <w:r w:rsidRPr="7C1653F5" w:rsidR="61F235D0">
        <w:rPr>
          <w:noProof w:val="0"/>
          <w:lang w:val="pt-BR"/>
        </w:rPr>
        <w:t xml:space="preserve">. A </w:t>
      </w:r>
      <w:r w:rsidRPr="7C1653F5" w:rsidR="61F235D0">
        <w:rPr>
          <w:noProof w:val="0"/>
          <w:lang w:val="pt-BR"/>
        </w:rPr>
        <w:t>Reacção</w:t>
      </w:r>
      <w:r w:rsidRPr="7C1653F5" w:rsidR="61F235D0">
        <w:rPr>
          <w:noProof w:val="0"/>
          <w:lang w:val="pt-BR"/>
        </w:rPr>
        <w:t xml:space="preserve"> do Autor: Agravo e Renovação da Petição</w:t>
      </w:r>
      <w:bookmarkEnd w:id="2032457336"/>
    </w:p>
    <w:p w:rsidR="61F235D0" w:rsidP="36C8A6EF" w:rsidRDefault="61F235D0" w14:paraId="3FD0B323" w14:textId="2250705D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CPC não deixa o autor desprotegido face ao indeferimento liminar, concedendo-lhe duas vias principais de reacção.</w:t>
      </w:r>
    </w:p>
    <w:p w:rsidR="11E2729C" w:rsidP="36C8A6EF" w:rsidRDefault="11E2729C" w14:paraId="14D5EA47" w14:textId="20CCC934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318656667" w:id="1436665996"/>
      <w:r w:rsidRPr="7C1653F5" w:rsidR="11E2729C">
        <w:rPr>
          <w:noProof w:val="0"/>
          <w:lang w:val="pt-BR"/>
        </w:rPr>
        <w:t>8</w:t>
      </w:r>
      <w:r w:rsidRPr="7C1653F5" w:rsidR="61F235D0">
        <w:rPr>
          <w:noProof w:val="0"/>
          <w:lang w:val="pt-BR"/>
        </w:rPr>
        <w:t>.1. O Agravo do Despacho de Indeferimento</w:t>
      </w:r>
      <w:bookmarkEnd w:id="1436665996"/>
    </w:p>
    <w:p w:rsidR="61F235D0" w:rsidP="36C8A6EF" w:rsidRDefault="61F235D0" w14:paraId="1E62E956" w14:textId="4F5472A8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Nos termos do artigo 475.º, n.º 1, “do despacho de indeferimento cabe agravo, ainda que o valor da causa esteja contido na alçada do tribunal de comarca”. Trata-se de uma admissibilidade alargada do recurso, que reflecte a gravidade da decisão que põe termo ao processo.</w:t>
      </w:r>
    </w:p>
    <w:p w:rsidR="61F235D0" w:rsidP="36C8A6EF" w:rsidRDefault="61F235D0" w14:paraId="68AE515B" w14:textId="3544A918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n.º 2 distingue os efeitos da decisão final do agravo consoante o fundamento do indeferimento: se fundado nas alíneas a) ou b) do n.º 1 do artigo 474.º (ineptidão ou vícios de pressupostos processuais), a decisão que confirme o indeferimento é definitiva; se fundado na alínea c) (evidência da improcedência), a decisão apenas assegura o seguimento da causa se for favorável ao autor.</w:t>
      </w:r>
    </w:p>
    <w:p w:rsidR="61F235D0" w:rsidP="36C8A6EF" w:rsidRDefault="61F235D0" w14:paraId="2CA012BF" w14:textId="35952736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n.º 3 estabelece que o despacho que admita o agravo ordenará a citação do réu, tanto para os termos do recurso como para os da causa. Esta solução é peculiar, pois permite que a causa prossiga (com a citação do réu) enquanto se discute, em recurso, a legalidade do indeferimento. O n.º 4 disciplina os efeitos da revogação ou confirmação do despacho recorrido.</w:t>
      </w:r>
    </w:p>
    <w:p w:rsidR="72177E8D" w:rsidP="36C8A6EF" w:rsidRDefault="72177E8D" w14:paraId="4CEBF440" w14:textId="3305C1CE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66693646" w:id="320423271"/>
      <w:r w:rsidRPr="7C1653F5" w:rsidR="72177E8D">
        <w:rPr>
          <w:noProof w:val="0"/>
          <w:lang w:val="pt-BR"/>
        </w:rPr>
        <w:t>8</w:t>
      </w:r>
      <w:r w:rsidRPr="7C1653F5" w:rsidR="61F235D0">
        <w:rPr>
          <w:noProof w:val="0"/>
          <w:lang w:val="pt-BR"/>
        </w:rPr>
        <w:t>.2. O Benefício da Renovação da Petição</w:t>
      </w:r>
      <w:bookmarkEnd w:id="320423271"/>
    </w:p>
    <w:p w:rsidR="61F235D0" w:rsidP="36C8A6EF" w:rsidRDefault="61F235D0" w14:paraId="1E45BA91" w14:textId="455F956E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476.º concede ao autor um verdadeiro 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>beneficium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 xml:space="preserve"> 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>renovationis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ao permitir-lhe apresentar nova petição dentro de cinco dias contados da notificação do despacho de indeferimento ou, se tiver agravado, da notificação ordenada no n.º 4 do artigo 475.º.</w:t>
      </w:r>
    </w:p>
    <w:p w:rsidR="61F235D0" w:rsidP="36C8A6EF" w:rsidRDefault="61F235D0" w14:paraId="22CCB479" w14:textId="6654E3E5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grande inovação reside no n.º 2: “Em qualquer dos casos, a acção considera-se proposta na data em que a primeira petição tenha dado entrada na secretaria e, se o réu já tiver sido citado, será notificado para contestar.” Este preceito protege o autor contra os efeitos da prescrição ou da caducidade, pois retroage os efeitos da propositura da acção à data da primeira petição. Trata-se de uma manifestação do princípio da conservação do processo e da tutela do acesso à justiça, evitando que o autor seja prejudicado por um vício sanável da sua petição inicial.</w:t>
      </w:r>
    </w:p>
    <w:p w:rsidR="72961F44" w:rsidP="36C8A6EF" w:rsidRDefault="72961F44" w14:paraId="190591D4" w14:textId="78008596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485328104" w:id="1011758697"/>
      <w:r w:rsidRPr="7C1653F5" w:rsidR="72961F44">
        <w:rPr>
          <w:noProof w:val="0"/>
          <w:lang w:val="pt-BR"/>
        </w:rPr>
        <w:t>9</w:t>
      </w:r>
      <w:r w:rsidRPr="7C1653F5" w:rsidR="61F235D0">
        <w:rPr>
          <w:noProof w:val="0"/>
          <w:lang w:val="pt-BR"/>
        </w:rPr>
        <w:t>. Princípio do Saneamento</w:t>
      </w:r>
      <w:bookmarkEnd w:id="1011758697"/>
    </w:p>
    <w:p w:rsidR="61F235D0" w:rsidP="36C8A6EF" w:rsidRDefault="61F235D0" w14:paraId="6D6B67BD" w14:textId="31CE525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Importa destacar a articulação sistemática entre o regime do indeferimento liminar e o princípio do saneamento processual, que emerge do espírito do CPC angolano, inspirado nas reformas de 1926 e 1939, conforme relatado no preâmbulo. O artigo 477.º, n.º 1, permite que o juiz, em vez de indeferir, convide o autor a completar ou corrigir a petição quando esta apresente irregularidades ou deficiências sanáveis.</w:t>
      </w:r>
    </w:p>
    <w:p w:rsidR="61F235D0" w:rsidP="36C8A6EF" w:rsidRDefault="61F235D0" w14:paraId="1F78545E" w14:textId="15360A86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Assim, o indeferimento liminar deve ser visto como 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>ultima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 xml:space="preserve"> </w:t>
      </w:r>
      <w:r w:rsidRPr="36C8A6EF" w:rsidR="61F235D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u w:val="single"/>
          <w:lang w:val="pt-BR"/>
        </w:rPr>
        <w:t>ratio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aplicável apenas quando o vício é insanável (ineptidão) ou quando o autor não pode ou não quer corrigir a petição. O agravo e a faculdade de renovação </w:t>
      </w:r>
      <w:r w:rsidRPr="36C8A6EF" w:rsidR="61F235D0">
        <w:rPr>
          <w:rStyle w:val="SubtleReference"/>
          <w:noProof w:val="0"/>
          <w:lang w:val="pt-BR"/>
        </w:rPr>
        <w:t>(artigos 475.º e 476.º)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funcionam como garantias processuais do autor, assegurando-lhe o duplo grau de jurisdição e a possibilidade de corrigir o vício sem perder os efeitos da propositura da 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61F235D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CCA1F4C" w:rsidP="36C8A6EF" w:rsidRDefault="4CCA1F4C" w14:paraId="179C7373" w14:textId="73871D94">
      <w:pPr>
        <w:pStyle w:val="Normal"/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despacho de aperfeiçoamento, regulado nos artigos 477.º a 479.º, revela-se como um mecanismo de equilíbrio entre o rigor formal e o acesso à justiça, evitando a rejeição prematura de ações apenas por deficiências sanáveis. Contudo, a sua aplicação depende de um pressuposto negativo essencial: a petição não se encontrar em situação de indeferimento liminar.</w:t>
      </w:r>
    </w:p>
    <w:p w:rsidR="4CCA1F4C" w:rsidP="7C1653F5" w:rsidRDefault="4CCA1F4C" w14:paraId="22B801F2" w14:textId="4F3A7B98">
      <w:pPr>
        <w:pStyle w:val="Heading1"/>
        <w:jc w:val="both"/>
        <w:rPr>
          <w:noProof w:val="0"/>
          <w:lang w:val="pt-BR"/>
        </w:rPr>
      </w:pPr>
      <w:bookmarkStart w:name="_Toc304970094" w:id="184239997"/>
      <w:r w:rsidRPr="7C1653F5" w:rsidR="4CCA1F4C">
        <w:rPr>
          <w:noProof w:val="0"/>
          <w:lang w:val="pt-BR"/>
        </w:rPr>
        <w:t>10. O Indeferimento Liminar como Limite ao Aperfeiçoamento</w:t>
      </w:r>
      <w:bookmarkEnd w:id="184239997"/>
    </w:p>
    <w:p w:rsidR="4CCA1F4C" w:rsidP="36C8A6EF" w:rsidRDefault="4CCA1F4C" w14:paraId="466921C4" w14:textId="01EB7631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474.º do CPC enumera taxativamente as situações em que a petição inicial deve ser liminarmente indeferida, nomeadamente por ineptidão </w:t>
      </w:r>
      <w:r w:rsidRPr="36C8A6EF" w:rsidR="4CCA1F4C">
        <w:rPr>
          <w:rStyle w:val="SubtleReference"/>
          <w:noProof w:val="0"/>
          <w:lang w:val="pt-BR"/>
        </w:rPr>
        <w:t>(art. 474.º, n.º 1, al. a))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manifesta incompetência absoluta, ilegitimidade ou falta de personalidade judiciária </w:t>
      </w:r>
      <w:r w:rsidRPr="36C8A6EF" w:rsidR="4CCA1F4C">
        <w:rPr>
          <w:rStyle w:val="SubtleReference"/>
          <w:noProof w:val="0"/>
          <w:lang w:val="pt-BR"/>
        </w:rPr>
        <w:t>(al. b))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ou quando for evidente a impossibilidade de procedência do pedido </w:t>
      </w:r>
      <w:r w:rsidRPr="36C8A6EF" w:rsidR="4CCA1F4C">
        <w:rPr>
          <w:rStyle w:val="SubtleReference"/>
          <w:noProof w:val="0"/>
          <w:lang w:val="pt-BR"/>
        </w:rPr>
        <w:t>(al. c))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Nestes casos, o juiz não pode conceder à parte a oportunidade de corrigir a petição, uma vez que o vício é insanável ou a pretensão é manifestamente inviável.</w:t>
      </w:r>
    </w:p>
    <w:p w:rsidR="4CCA1F4C" w:rsidP="36C8A6EF" w:rsidRDefault="4CCA1F4C" w14:paraId="00B7D847" w14:textId="02D46B97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É neste contexto que se insere o artigo 477.º, n.º 1, ao estabelecer que o convite ao aperfeiçoamento apenas ocorre </w:t>
      </w:r>
      <w:r w:rsidRPr="36C8A6EF" w:rsidR="4CCA1F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“quando não ocorra nenhum dos casos previstos no n.º 1 do artigo 474.º”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legislador diferencia, assim, os vícios estruturais e insuperáveis (que conduzem ao indeferimento liminar) das meras irregularidades, deficiências ou omissões formais que podem ser corrigidas sem prejuízo da essência da causa de pedir ou do pedido.</w:t>
      </w:r>
    </w:p>
    <w:p w:rsidR="5C1E3F95" w:rsidP="36C8A6EF" w:rsidRDefault="5C1E3F95" w14:paraId="1DB907DF" w14:textId="283391D6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822023018" w:id="1660589000"/>
      <w:r w:rsidRPr="7C1653F5" w:rsidR="5C1E3F95">
        <w:rPr>
          <w:noProof w:val="0"/>
          <w:lang w:val="pt-BR"/>
        </w:rPr>
        <w:t>11</w:t>
      </w:r>
      <w:r w:rsidRPr="7C1653F5" w:rsidR="4CCA1F4C">
        <w:rPr>
          <w:noProof w:val="0"/>
          <w:lang w:val="pt-BR"/>
        </w:rPr>
        <w:t>. Conteúdo e Alcance do Despacho de</w:t>
      </w:r>
      <w:r w:rsidRPr="7C1653F5" w:rsidR="52C641CE">
        <w:rPr>
          <w:noProof w:val="0"/>
          <w:lang w:val="pt-BR"/>
        </w:rPr>
        <w:t xml:space="preserve"> </w:t>
      </w:r>
      <w:r w:rsidRPr="7C1653F5" w:rsidR="4CCA1F4C">
        <w:rPr>
          <w:noProof w:val="0"/>
          <w:lang w:val="pt-BR"/>
        </w:rPr>
        <w:t>Aperfeiçoamento</w:t>
      </w:r>
      <w:bookmarkEnd w:id="1660589000"/>
      <w:r w:rsidRPr="7C1653F5" w:rsidR="4CCA1F4C">
        <w:rPr>
          <w:noProof w:val="0"/>
          <w:lang w:val="pt-BR"/>
        </w:rPr>
        <w:t xml:space="preserve"> </w:t>
      </w:r>
    </w:p>
    <w:p w:rsidR="4CCA1F4C" w:rsidP="36C8A6EF" w:rsidRDefault="4CCA1F4C" w14:paraId="296DA639" w14:textId="4157C8C1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477.º, n.º 1, prevê que o juiz </w:t>
      </w:r>
      <w:r w:rsidRPr="36C8A6EF" w:rsidR="4CCA1F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“pode ser convidado o autor a completá-la ou a corrigi-la”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quando a petição, embora não inepta, apresente:</w:t>
      </w:r>
    </w:p>
    <w:p w:rsidR="4CCA1F4C" w:rsidP="36C8A6EF" w:rsidRDefault="4CCA1F4C" w14:paraId="4C7D1E77" w14:textId="57FEBF48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Falta de requisitos legais;</w:t>
      </w:r>
    </w:p>
    <w:p w:rsidR="4CCA1F4C" w:rsidP="36C8A6EF" w:rsidRDefault="4CCA1F4C" w14:paraId="2668FCCE" w14:textId="565B1479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Ausência de documentos exigidos;</w:t>
      </w:r>
    </w:p>
    <w:p w:rsidR="4CCA1F4C" w:rsidP="36C8A6EF" w:rsidRDefault="4CCA1F4C" w14:paraId="129A5301" w14:textId="1DF2F8F2">
      <w:pPr>
        <w:pStyle w:val="ListParagraph"/>
        <w:keepNext w:val="0"/>
        <w:keepLines w:val="0"/>
        <w:numPr>
          <w:ilvl w:val="0"/>
          <w:numId w:val="17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Irregularidades ou deficiências que possam comprometer o êxito da 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CCA1F4C" w:rsidP="36C8A6EF" w:rsidRDefault="4CCA1F4C" w14:paraId="555F0637" w14:textId="43E0F91C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termo “pode” 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confere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juiz um poder discricionário, mas orientado teleologicamente à obtenção da decisão de mérito. Trata-se de um poder-dever de saneamento processual, que evita a extinção prematura da instância por vícios formais secundários.</w:t>
      </w:r>
    </w:p>
    <w:p w:rsidR="4CCA1F4C" w:rsidP="36C8A6EF" w:rsidRDefault="4CCA1F4C" w14:paraId="697B7ECE" w14:textId="255F375A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n.º 2 do mesmo artigo estabelece um efeito relevante: se o autor apresentar a nova petição dentro do prazo fixado, a 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6C8A6EF" w:rsidR="4CCA1F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considera-se proposta na data da primeira petição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(efeito reportado à proposição inicial). Esta norma protege o autor contra os efeitos da prescrição ou caducidade, desde que a correção seja tempestiva.</w:t>
      </w:r>
    </w:p>
    <w:p w:rsidR="69C5B1DF" w:rsidP="36C8A6EF" w:rsidRDefault="69C5B1DF" w14:paraId="6D163B5C" w14:textId="49531055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173289770" w:id="2130804020"/>
      <w:r w:rsidRPr="7C1653F5" w:rsidR="69C5B1DF">
        <w:rPr>
          <w:noProof w:val="0"/>
          <w:lang w:val="pt-BR"/>
        </w:rPr>
        <w:t>11.1</w:t>
      </w:r>
      <w:r w:rsidRPr="7C1653F5" w:rsidR="4CCA1F4C">
        <w:rPr>
          <w:noProof w:val="0"/>
          <w:lang w:val="pt-BR"/>
        </w:rPr>
        <w:t>. A Relação com a Citação e o Agravo</w:t>
      </w:r>
      <w:bookmarkEnd w:id="2130804020"/>
    </w:p>
    <w:p w:rsidR="4CCA1F4C" w:rsidP="36C8A6EF" w:rsidRDefault="4CCA1F4C" w14:paraId="65D7B8E6" w14:textId="443A4950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478.º trata do recebimento da petição e da ordem de citação, pressupondo que não há motivo para indeferimento nem necessidade de aperfeiçoamento. Já o artigo 479.º, n.º 1, admite </w:t>
      </w:r>
      <w:r w:rsidRPr="36C8A6EF" w:rsidR="4CCA1F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agravo do despacho que mande citar o réu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Este recurso, embora aparentemente contraditório (já que a citação beneficia o autor), visa proteger o réu que entenda que a petição deveria ter sido indeferida liminarmente ou aperfeiçoada.</w:t>
      </w:r>
    </w:p>
    <w:p w:rsidR="4CCA1F4C" w:rsidP="36C8A6EF" w:rsidRDefault="4CCA1F4C" w14:paraId="23C59F74" w14:textId="6375CA0B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articulação sistemática revela-se da seguinte forma:</w:t>
      </w:r>
    </w:p>
    <w:p w:rsidR="4CCA1F4C" w:rsidP="36C8A6EF" w:rsidRDefault="4CCA1F4C" w14:paraId="61C3B065" w14:textId="347338C2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 o juiz, indevidamente, manda citar o réu sem convidar o autor a corrigir a petição (quando esta padece de vícios sanáveis), o réu pode agravar.</w:t>
      </w:r>
    </w:p>
    <w:p w:rsidR="4CCA1F4C" w:rsidP="36C8A6EF" w:rsidRDefault="4CCA1F4C" w14:paraId="37A9A66E" w14:textId="21796B5C">
      <w:pPr>
        <w:pStyle w:val="ListParagraph"/>
        <w:keepNext w:val="0"/>
        <w:keepLines w:val="0"/>
        <w:numPr>
          <w:ilvl w:val="0"/>
          <w:numId w:val="18"/>
        </w:numPr>
        <w:spacing w:before="240" w:beforeAutospacing="off" w:after="240" w:afterAutospacing="off"/>
        <w:ind w:left="360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 o agravo for provido, o autor poderá apresentar nova petição dentro de cinco dias (art. 479.º, n.º 2, com remissão para o art. 476.º, n.º 2), aproveitando os efeitos da proposição da 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CCA1F4C" w:rsidP="36C8A6EF" w:rsidRDefault="4CCA1F4C" w14:paraId="31E89C83" w14:textId="17905E8E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solução demonstra a preocupação do legislador em garantir que o despacho de aperfeiçoamento não seja omitido quando necessário, sob pena de se gerar uma citação prematura e inútil.</w:t>
      </w:r>
    </w:p>
    <w:p w:rsidR="6C4BC2D8" w:rsidP="36C8A6EF" w:rsidRDefault="6C4BC2D8" w14:paraId="408880B8" w14:textId="2D15BC94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499303506" w:id="1109490699"/>
      <w:r w:rsidRPr="7C1653F5" w:rsidR="6C4BC2D8">
        <w:rPr>
          <w:noProof w:val="0"/>
          <w:lang w:val="pt-BR"/>
        </w:rPr>
        <w:t>12</w:t>
      </w:r>
      <w:r w:rsidRPr="7C1653F5" w:rsidR="4CCA1F4C">
        <w:rPr>
          <w:noProof w:val="0"/>
          <w:lang w:val="pt-BR"/>
        </w:rPr>
        <w:t>. Natureza Jurídica e Função do Instituto</w:t>
      </w:r>
      <w:bookmarkEnd w:id="1109490699"/>
    </w:p>
    <w:p w:rsidR="4CCA1F4C" w:rsidP="36C8A6EF" w:rsidRDefault="4CCA1F4C" w14:paraId="2DA3141E" w14:textId="49960F63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Doutrinariamente, o despacho de aperfeiçoamento insere-se no princípio do </w:t>
      </w:r>
      <w:r w:rsidRPr="36C8A6EF" w:rsidR="4CCA1F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instrumentalismo das formas</w:t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no dever de gestão processual do juiz. Não se trata de uma mera faculdade, mas de um instrumento de realização do direito material, evitando que o processo se extinga por vícios formais que não afetam a compreensão da pretensão.</w:t>
      </w:r>
    </w:p>
    <w:p w:rsidR="4CCA1F4C" w:rsidP="36C8A6EF" w:rsidRDefault="4CCA1F4C" w14:paraId="3ABD02BF" w14:textId="50081964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CPC, na linha das reformas introduzidas a partir de 1926 e consolidadas em 1961, rejeita o formalismo exacerbado que caracterizava o processo civil antigo, no qual “a violação das formalidades fazia corresponder por vezes sanções inteiramente desproporcionadas</w:t>
      </w:r>
      <w:r w:rsidRPr="36C8A6EF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8307"/>
      </w:r>
      <w:r w:rsidRPr="36C8A6EF" w:rsidR="4CCA1F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”. O artigo 477.º concretiza essa filosofia, permitindo a correção da petição inicial sempre que a sua deficiência não a torne inepta.</w:t>
      </w:r>
    </w:p>
    <w:p xmlns:wp14="http://schemas.microsoft.com/office/word/2010/wordml" w:rsidP="36C8A6EF" wp14:paraId="6A6FD633" wp14:textId="68A53876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2100316260" w:id="1001188648"/>
      <w:r w:rsidRPr="7C1653F5" w:rsidR="14312547">
        <w:rPr>
          <w:noProof w:val="0"/>
          <w:lang w:val="pt-BR"/>
        </w:rPr>
        <w:t>1</w:t>
      </w:r>
      <w:r w:rsidRPr="7C1653F5" w:rsidR="58CD7A47">
        <w:rPr>
          <w:noProof w:val="0"/>
          <w:lang w:val="pt-BR"/>
        </w:rPr>
        <w:t>3</w:t>
      </w:r>
      <w:r w:rsidRPr="7C1653F5" w:rsidR="14312547">
        <w:rPr>
          <w:noProof w:val="0"/>
          <w:lang w:val="pt-BR"/>
        </w:rPr>
        <w:t xml:space="preserve">. </w:t>
      </w:r>
      <w:r w:rsidRPr="7C1653F5" w:rsidR="51C2EECF">
        <w:rPr>
          <w:noProof w:val="0"/>
          <w:lang w:val="pt-BR"/>
        </w:rPr>
        <w:t>Considerações Finais</w:t>
      </w:r>
      <w:bookmarkEnd w:id="1001188648"/>
    </w:p>
    <w:p xmlns:wp14="http://schemas.microsoft.com/office/word/2010/wordml" w:rsidP="36C8A6EF" wp14:paraId="5A444752" wp14:textId="250ADCB9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petição inicial constitui o fundamento sobre o qual se assenta toda a estrutura processual. A sua correta elaboração é essencial para garantir o exercício efetivo do direito de ação, a definição precisa do objeto do litígio e a adequada delimitação dos poderes do juiz.</w:t>
      </w:r>
    </w:p>
    <w:p w:rsidR="009EA7B3" w:rsidP="36C8A6EF" w:rsidRDefault="009EA7B3" w14:paraId="1B97E368" w14:textId="39134CFC">
      <w:pPr>
        <w:pStyle w:val="IntenseQuote"/>
        <w:keepNext w:val="0"/>
        <w:keepLines w:val="0"/>
        <w:spacing w:line="360" w:lineRule="auto"/>
        <w:ind w:firstLine="1008"/>
        <w:jc w:val="both"/>
      </w:pPr>
      <w:r w:rsidRPr="4FAAF389" w:rsidR="51C2EECF">
        <w:rPr>
          <w:noProof w:val="0"/>
          <w:lang w:val="pt-BR"/>
        </w:rPr>
        <w:t>Como sublinha a melhor doutrina, "a petição</w:t>
      </w:r>
      <w:r w:rsidRPr="4FAAF389">
        <w:rPr>
          <w:rStyle w:val="FootnoteReference"/>
          <w:noProof w:val="0"/>
          <w:lang w:val="pt-BR"/>
        </w:rPr>
        <w:footnoteReference w:id="10008"/>
      </w:r>
      <w:r w:rsidRPr="4FAAF389" w:rsidR="51C2EECF">
        <w:rPr>
          <w:noProof w:val="0"/>
          <w:lang w:val="pt-BR"/>
        </w:rPr>
        <w:t xml:space="preserve"> inicial é o ato processual que condiciona todo o desenvolvimento ulterior da causa, pois é a partir dela que se fixam os limites objetivos e subjetivos do processo, que se determina a competência do tribunal e que se estabelecem as regras a observar na tramitação"</w:t>
      </w:r>
    </w:p>
    <w:p w:rsidR="4290122E" w:rsidP="36C8A6EF" w:rsidRDefault="4290122E" w14:paraId="453E7697" w14:textId="5CC19414">
      <w:pPr>
        <w:keepNext w:val="0"/>
        <w:keepLines w:val="0"/>
        <w:spacing w:before="240" w:beforeAutospacing="off" w:after="240" w:afterAutospacing="off"/>
        <w:ind w:firstLine="1008"/>
        <w:jc w:val="both"/>
      </w:pP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regime do indeferimento da petição inicial no CPC 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reflecte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uma tensão entre dois valores fundamentais: de um lado, a necessidade de garantir a clareza e a regularidade formal da demanda; de outro, o princípio do acesso ao direito e aos tribunais, que milita contra soluções excessivamente formalistas. O artigo 193.º tipifica os casos de ineptidão como nulidade insanável, enquanto o artigo 474.º elenca as causas gerais de indeferimento liminar. Por seu turno, os artigos 475.º e 476.º constituem um conjunto de garantias processuais – agravo e renovação da petição com 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retroacção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efeitos da citação – que permitem ao autor reagir contra o indeferimento e corrigir a sua peça inicial, preservando, assim, a utilidade prática da 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acção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correcta</w:t>
      </w:r>
      <w:r w:rsidRPr="36C8A6EF" w:rsidR="429012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aplicação destes preceitos exige do juiz uma ponderação equilibrada, privilegiando o saneamento em detrimento da rejeição liminar sempre que possível.</w:t>
      </w:r>
    </w:p>
    <w:p xmlns:wp14="http://schemas.microsoft.com/office/word/2010/wordml" w:rsidP="36C8A6EF" wp14:paraId="596473C7" wp14:textId="741447AA">
      <w:pPr>
        <w:keepNext w:val="0"/>
        <w:keepLines w:val="0"/>
        <w:spacing w:before="240" w:beforeAutospacing="off" w:after="240" w:afterAutospacing="off" w:line="360" w:lineRule="auto"/>
        <w:ind w:firstLine="1008"/>
        <w:jc w:val="both"/>
      </w:pPr>
      <w:r w:rsidRPr="36C8A6EF" w:rsidR="51C2EEC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contexto angolano, onde o sistema processual civil mantém a tradição romano-germânica, o respeito pelos requisitos da petição inicial não constitui mero formalismo, mas garantia de segurança jurídica e efetividade do processo, assegurando que a justiça possa ser realizada de forma célere e eficaz, em conformidade com os princípios constitucionais do Estado de Direito Democrático.</w:t>
      </w:r>
    </w:p>
    <w:p xmlns:wp14="http://schemas.microsoft.com/office/word/2010/wordml" w:rsidP="36C8A6EF" wp14:paraId="65B4900C" wp14:textId="000248E5">
      <w:pPr>
        <w:pStyle w:val="Heading2"/>
        <w:keepNext w:val="0"/>
        <w:keepLines w:val="0"/>
        <w:spacing w:before="299" w:beforeAutospacing="off" w:after="299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36C8A6EF" wp14:paraId="13E2DB12" wp14:textId="5948BEC3">
      <w:pPr>
        <w:keepNext w:val="0"/>
        <w:keepLines w:val="0"/>
        <w:spacing w:before="299" w:beforeAutospacing="off" w:after="299" w:afterAutospacing="off" w:line="360" w:lineRule="auto"/>
        <w:ind w:firstLine="1008"/>
        <w:jc w:val="both"/>
      </w:pPr>
      <w:r>
        <w:br w:type="page"/>
      </w:r>
    </w:p>
    <w:p xmlns:wp14="http://schemas.microsoft.com/office/word/2010/wordml" w:rsidP="36C8A6EF" wp14:paraId="65335CED" wp14:textId="3E28FBB0">
      <w:pPr>
        <w:pStyle w:val="Heading2"/>
        <w:keepNext w:val="0"/>
        <w:keepLines w:val="0"/>
        <w:spacing w:before="299" w:beforeAutospacing="off" w:after="299" w:afterAutospacing="off" w:line="360" w:lineRule="auto"/>
        <w:ind w:firstLine="1008"/>
        <w:jc w:val="both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bookmarkStart w:name="_Toc213435817" w:id="598477777"/>
      <w:r w:rsidRPr="7C1653F5" w:rsidR="51C2EECF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Referências Bibliográficas</w:t>
      </w:r>
      <w:bookmarkEnd w:id="598477777"/>
    </w:p>
    <w:p xmlns:wp14="http://schemas.microsoft.com/office/word/2010/wordml" w:rsidP="36C8A6EF" wp14:paraId="0AC0629D" wp14:textId="7FA4E6F6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ind w:left="1134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ANDRADE, Manuel de.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Noções Elementares de Processo Civil</w:t>
      </w: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Coimbra: Coimbra Editora, 1982.</w:t>
      </w:r>
    </w:p>
    <w:p xmlns:wp14="http://schemas.microsoft.com/office/word/2010/wordml" w:rsidP="36C8A6EF" wp14:paraId="09C4352B" wp14:textId="1D9F1A7E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ind w:left="1134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FREITAS, José Lebre de.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Introdução ao Processo Civil</w:t>
      </w: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5.ª ed. Coimbra: Coimbra Editora, 2019.</w:t>
      </w:r>
    </w:p>
    <w:p xmlns:wp14="http://schemas.microsoft.com/office/word/2010/wordml" w:rsidP="36C8A6EF" wp14:paraId="318EDF98" wp14:textId="3FA675E8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ind w:left="1134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REGO, Lopes do.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Comentários ao Código de Processo Civil</w:t>
      </w: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Luanda: Editorial Lex, 2018.</w:t>
      </w:r>
    </w:p>
    <w:p xmlns:wp14="http://schemas.microsoft.com/office/word/2010/wordml" w:rsidP="36C8A6EF" wp14:paraId="1E207724" wp14:textId="6508B207">
      <w:pPr>
        <w:pStyle w:val="ListParagraph"/>
        <w:keepNext w:val="0"/>
        <w:keepLines w:val="0"/>
        <w:numPr>
          <w:ilvl w:val="0"/>
          <w:numId w:val="14"/>
        </w:numPr>
        <w:spacing w:before="240" w:beforeAutospacing="off" w:after="240" w:afterAutospacing="off" w:line="360" w:lineRule="auto"/>
        <w:ind w:left="1134" w:firstLine="1008"/>
        <w:contextualSpacing w:val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VARELA, João de Matos Antunes. </w:t>
      </w:r>
      <w:r w:rsidRPr="36C8A6EF" w:rsidR="51C2EEC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Manual de Processo Civil</w:t>
      </w:r>
      <w:r w:rsidRPr="36C8A6EF" w:rsidR="51C2EEC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 Coimbra: Coimbra Editora, 1985.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70EFA9EA" w:rsidRDefault="70EFA9EA" w14:paraId="6E0A23E9" w14:textId="7060E902">
      <w:pPr>
        <w:spacing w:after="0" w:line="240" w:lineRule="auto"/>
      </w:pPr>
      <w:r>
        <w:separator/>
      </w:r>
    </w:p>
  </w:footnote>
  <w:footnote w:type="continuationSeparator" w:id="0">
    <w:p w:rsidR="70EFA9EA" w:rsidRDefault="70EFA9EA" w14:paraId="2B7F31CE" w14:textId="4236B868">
      <w:pPr>
        <w:spacing w:after="0" w:line="240" w:lineRule="auto"/>
      </w:pPr>
      <w:r>
        <w:continuationSeparator/>
      </w:r>
    </w:p>
  </w:footnote>
  <w:footnote w:id="21169">
    <w:p w:rsidR="70EFA9EA" w:rsidP="36C8A6EF" w:rsidRDefault="70EFA9EA" w14:paraId="3AC6A0AD" w14:textId="68E3D729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tribunal não pode resolver o conflito de interesses que a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acção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pressupõe sem que a resolução lhe seja pedida por uma das partes e a outra seja devidamente chamada para deduzir oposição. CPC; art. 3.</w:t>
      </w:r>
    </w:p>
  </w:footnote>
  <w:footnote w:id="7840">
    <w:p w:rsidR="4FAAF389" w:rsidP="36C8A6EF" w:rsidRDefault="4FAAF389" w14:paraId="57686273" w14:textId="15630B34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A todos é assegurado o acesso ao direito e aos tribunais para defesa dos seus direitos e interesses legalmente protegidos, não podendo a justiça ser denegada por </w:t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>insuficiẽncia</w:t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dos meios económicos. CRA; art. 29.</w:t>
      </w:r>
    </w:p>
  </w:footnote>
  <w:footnote w:id="25732">
    <w:p w:rsidR="4FAAF389" w:rsidP="36C8A6EF" w:rsidRDefault="4FAAF389" w14:paraId="11DEE45A" w14:textId="2DC19254">
      <w:pPr>
        <w:pStyle w:val="FootnoteText"/>
        <w:keepNext w:val="0"/>
        <w:keepLines w:val="0"/>
        <w:bidi w:val="0"/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(VARELA, João de Matos Antunes.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Manual de Processo Civil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1985, p. 267).</w:t>
      </w:r>
    </w:p>
  </w:footnote>
  <w:footnote w:id="17513">
    <w:p w:rsidR="4FAAF389" w:rsidP="36C8A6EF" w:rsidRDefault="4FAAF389" w14:paraId="0254B1D8" w14:textId="5F188A73">
      <w:pPr>
        <w:pStyle w:val="FootnoteText"/>
        <w:keepNext w:val="0"/>
        <w:keepLines w:val="0"/>
        <w:bidi w:val="0"/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(REGO, Lopes do.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Comentários ao Código de Processo Civil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Luanda: Editorial Lex, 2018, p. 412).</w:t>
      </w:r>
    </w:p>
  </w:footnote>
  <w:footnote w:id="30093">
    <w:p w:rsidR="4FAAF389" w:rsidP="36C8A6EF" w:rsidRDefault="4FAAF389" w14:paraId="6AF3F130" w14:textId="411C6A4E">
      <w:pPr>
        <w:pStyle w:val="FootnoteText"/>
        <w:bidi w:val="0"/>
        <w:ind w:firstLine="0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(FREITAS, José Lebre de.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Introdução ao Processo Civil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2019, p. 186).</w:t>
      </w:r>
    </w:p>
  </w:footnote>
  <w:footnote w:id="6292">
    <w:p w:rsidR="4FAAF389" w:rsidP="36C8A6EF" w:rsidRDefault="4FAAF389" w14:paraId="72A884C7" w14:textId="296BBF48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autor tem direito a uma ou outra prestação, sendo que a procedência de um pedido afasta a possibilidade do outro.</w:t>
      </w:r>
    </w:p>
  </w:footnote>
  <w:footnote w:id="16951">
    <w:p w:rsidR="4FAAF389" w:rsidP="36C8A6EF" w:rsidRDefault="4FAAF389" w14:paraId="4CE5F955" w14:textId="3ED1AFAE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Existe uma hierarquia entre os pedidos. O juiz só conhece do pedido seguinte (subsidiário) se o pedido principal (anterior) for julgado improcedente.</w:t>
      </w:r>
    </w:p>
  </w:footnote>
  <w:footnote w:id="18627">
    <w:p w:rsidR="4FAAF389" w:rsidP="36C8A6EF" w:rsidRDefault="4FAAF389" w14:paraId="1B0FD837" w14:textId="170CA324">
      <w:pPr>
        <w:pStyle w:val="FootnoteText"/>
        <w:bidi w:val="0"/>
        <w:spacing w:before="0" w:beforeAutospacing="off" w:after="240" w:afterAutospacing="off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Vários pedidos são apresentados em conjunto contra o mesmo réu, desde que sejam compatíveis (não se excluam mutuamente) e que haja conexão ou seja admissível a cumulação.</w:t>
      </w:r>
    </w:p>
  </w:footnote>
  <w:footnote w:id="28780">
    <w:p w:rsidR="4FAAF389" w:rsidP="36C8A6EF" w:rsidRDefault="4FAAF389" w14:paraId="2F97F29B" w14:textId="597C3899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O autor não pode (ou não é exigível que) determine exatamente o valor ou a coisa pedida no momento da propositura da ação, porque o objeto é uma universalidade, as consequências do ilícito são indetermináveis, ou depende de ato do réu (como prestação de contas).</w:t>
      </w:r>
    </w:p>
  </w:footnote>
  <w:footnote w:id="21079">
    <w:p w:rsidR="4FAAF389" w:rsidP="36C8A6EF" w:rsidRDefault="4FAAF389" w14:paraId="2A2A4FD7" w14:textId="25BC89C1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Importa referir que o “vício redibitório” como tal é uma figura externa ao nosso ordenamento jurídico, contudo tem uma articulação que nos é familiar. O vício ocorre em duas vias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: o </w:t>
      </w:r>
      <w:r w:rsidRPr="4FAAF389" w:rsidR="36C8A6E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dolo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(quando o vício é conhecido e ocultado) e o </w:t>
      </w:r>
      <w:r w:rsidRPr="4FAAF389" w:rsidR="36C8A6E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vício do consentimento por erro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(quando o vício é desconhecido por ambas as partes). Embora o exemplo não especifique, considerando que o vendedor também desconhecia o defeito grave no motor, não há dolo. A solução para este caso, no direito angolano, é o </w:t>
      </w:r>
      <w:r w:rsidRPr="4FAAF389" w:rsidR="36C8A6E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erro sobre o </w:t>
      </w:r>
      <w:r w:rsidRPr="4FAAF389" w:rsidR="36C8A6E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objecto</w:t>
      </w:r>
      <w:r w:rsidRPr="4FAAF389" w:rsidR="36C8A6E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 do negócio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, previsto no Código Civil angolano.</w:t>
      </w:r>
    </w:p>
  </w:footnote>
  <w:footnote w:id="28756">
    <w:p w:rsidR="4FAAF389" w:rsidP="36C8A6EF" w:rsidRDefault="4FAAF389" w14:paraId="49FEAEAF" w14:textId="514D75CD">
      <w:pPr>
        <w:pStyle w:val="FootnoteText"/>
        <w:bidi w:val="0"/>
        <w:ind w:firstLine="0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Se uma entidade empregadora celebrar um contrato com um grupo de trabalhadores, considerado na sua totalidade, não assume a qualidade de empregador em relação a cada um dos seus membros, mas apenas em relação ao chefe do grupo. LGT; art. 49.</w:t>
      </w:r>
    </w:p>
  </w:footnote>
  <w:footnote w:id="10008">
    <w:p w:rsidR="4FAAF389" w:rsidP="36C8A6EF" w:rsidRDefault="4FAAF389" w14:paraId="4C7B34DE" w14:textId="0BB3CEC1">
      <w:pPr>
        <w:pStyle w:val="FootnoteText"/>
        <w:keepNext w:val="0"/>
        <w:keepLines w:val="0"/>
        <w:bidi w:val="0"/>
        <w:spacing w:before="240" w:beforeAutospacing="off" w:after="240" w:afterAutospacing="off"/>
        <w:ind w:firstLine="0"/>
        <w:jc w:val="both"/>
      </w:pPr>
      <w:r w:rsidRPr="4FAAF389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FAAF389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(ANDRADE, Manuel de.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Noções Elementares de Processo Civil</w:t>
      </w:r>
      <w:r w:rsidRPr="4FAAF389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1982, p. 112).</w:t>
      </w:r>
    </w:p>
  </w:footnote>
  <w:footnote w:id="7476">
    <w:p w:rsidR="4FAAF389" w:rsidP="36C8A6EF" w:rsidRDefault="4FAAF389" w14:paraId="51F93E4C" w14:textId="6FAC066C">
      <w:pPr>
        <w:pStyle w:val="FootnoteText"/>
        <w:bidi w:val="0"/>
        <w:spacing w:before="240" w:beforeAutospacing="off" w:after="240" w:afterAutospacing="off"/>
        <w:ind w:firstLine="0"/>
        <w:jc w:val="both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(REGO, Lopes do.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Comentários ao Código de Processo Civil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Luanda: Editorial Lex, 2018, p. 328).</w:t>
      </w:r>
    </w:p>
  </w:footnote>
  <w:footnote w:id="1966">
    <w:p w:rsidR="4FAAF389" w:rsidP="36C8A6EF" w:rsidRDefault="4FAAF389" w14:paraId="28BF34F7" w14:textId="45FA557F">
      <w:pPr>
        <w:pStyle w:val="FootnoteText"/>
        <w:bidi w:val="0"/>
        <w:spacing w:before="240" w:beforeAutospacing="off" w:after="240" w:afterAutospacing="off"/>
        <w:ind w:firstLine="0"/>
        <w:jc w:val="both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(FREITAS, José Lebre de.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Introdução ao Processo Civil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2019, p. 198).</w:t>
      </w:r>
    </w:p>
  </w:footnote>
  <w:footnote w:id="20597">
    <w:p w:rsidR="4FAAF389" w:rsidP="36C8A6EF" w:rsidRDefault="4FAAF389" w14:paraId="63D44890" w14:textId="1E997F17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(VARELA, João de Matos Antunes.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Manual de Processo Civil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1985, p. 275).</w:t>
      </w:r>
    </w:p>
  </w:footnote>
  <w:footnote w:id="2624">
    <w:p w:rsidR="4FAAF389" w:rsidP="36C8A6EF" w:rsidRDefault="4FAAF389" w14:paraId="288B9431" w14:textId="150E0494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(ANDRADE, Manuel de. </w:t>
      </w:r>
      <w:r w:rsidRPr="36C8A6EF" w:rsidR="36C8A6EF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pt-BR"/>
        </w:rPr>
        <w:t>Noções Elementares de Processo Civil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Coimbra: Coimbra Editora, 1982, p. 118).</w:t>
      </w:r>
    </w:p>
  </w:footnote>
  <w:footnote w:id="4027">
    <w:p w:rsidR="36C8A6EF" w:rsidP="36C8A6EF" w:rsidRDefault="36C8A6EF" w14:paraId="7CBD1289" w14:textId="69994A39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R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emissão para o artigo 193.º</w:t>
      </w:r>
    </w:p>
  </w:footnote>
  <w:footnote w:id="31605">
    <w:p w:rsidR="36C8A6EF" w:rsidP="36C8A6EF" w:rsidRDefault="36C8A6EF" w14:paraId="2788EAC5" w14:textId="36C9CDAF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Trata-se de pressupostos processuais cuja verificação imediata obsta ao conhecimento do mérito.</w:t>
      </w:r>
    </w:p>
  </w:footnote>
  <w:footnote w:id="27524">
    <w:p w:rsidR="36C8A6EF" w:rsidP="36C8A6EF" w:rsidRDefault="36C8A6EF" w14:paraId="0FDFC02C" w14:textId="5B09B81D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Esta alínea, na parte final, atribui ao juiz um poder de cognição sumária do direito material, permitindo-lhe rejeitar a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acção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quando se convença, desde logo, da impossibilidade jurídica do pedido ou da manifesta falta de fundamento. Contudo, a doutrina e a jurisprudência têm recomendado uma aplicação cautelosa deste poder, para não violar o princípio do contraditório.</w:t>
      </w:r>
    </w:p>
  </w:footnote>
  <w:footnote w:id="28307">
    <w:p w:rsidR="36C8A6EF" w:rsidP="36C8A6EF" w:rsidRDefault="36C8A6EF" w14:paraId="7271AD79" w14:textId="0A99FDA3">
      <w:pPr>
        <w:pStyle w:val="FootnoteText"/>
        <w:bidi w:val="0"/>
        <w:ind w:firstLine="0"/>
      </w:pPr>
      <w:r w:rsidRPr="36C8A6EF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36C8A6EF" w:rsidR="36C8A6E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cf. preâmbulo do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Decreto-Lei n.º 44 129, de 28 de 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Dezembro</w:t>
      </w:r>
      <w:r w:rsidRPr="36C8A6EF" w:rsidR="36C8A6E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de 1961</w:t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thDgKaSY" int2:invalidationBookmarkName="" int2:hashCode="/DQ3sKMcSi2g3p" int2:id="L0IMOKA6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89d7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80f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fba33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c238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8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9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21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93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5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7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9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81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53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54" w:hanging="180"/>
      </w:pPr>
    </w:lvl>
  </w:abstractNum>
  <w:abstractNum xmlns:w="http://schemas.openxmlformats.org/wordprocessingml/2006/main" w:abstractNumId="13">
    <w:nsid w:val="422af9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4119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661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1fed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5b4b3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33ed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aa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9ba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cd4bd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8982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d162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df3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a9c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B461F"/>
    <w:rsid w:val="0007B886"/>
    <w:rsid w:val="006EEB2A"/>
    <w:rsid w:val="009EA7B3"/>
    <w:rsid w:val="00B731DC"/>
    <w:rsid w:val="00DAF2E9"/>
    <w:rsid w:val="01608EB8"/>
    <w:rsid w:val="01BD3638"/>
    <w:rsid w:val="01C690FC"/>
    <w:rsid w:val="01E04CF2"/>
    <w:rsid w:val="01F6ACA0"/>
    <w:rsid w:val="0294CC9E"/>
    <w:rsid w:val="02A23E04"/>
    <w:rsid w:val="02EF7DC1"/>
    <w:rsid w:val="0315CB9E"/>
    <w:rsid w:val="0316D0F8"/>
    <w:rsid w:val="03354F6B"/>
    <w:rsid w:val="03A35A2F"/>
    <w:rsid w:val="03B6632F"/>
    <w:rsid w:val="03BE547C"/>
    <w:rsid w:val="03F6153E"/>
    <w:rsid w:val="04090DF4"/>
    <w:rsid w:val="04090DF4"/>
    <w:rsid w:val="041A7D35"/>
    <w:rsid w:val="043BB623"/>
    <w:rsid w:val="0457D8FF"/>
    <w:rsid w:val="0493CB66"/>
    <w:rsid w:val="04AA673E"/>
    <w:rsid w:val="04FEAECE"/>
    <w:rsid w:val="053724C9"/>
    <w:rsid w:val="05DB0D6F"/>
    <w:rsid w:val="06CCE1A3"/>
    <w:rsid w:val="06CE2DBC"/>
    <w:rsid w:val="06FDFE6C"/>
    <w:rsid w:val="071219BA"/>
    <w:rsid w:val="073182B1"/>
    <w:rsid w:val="0756F8EA"/>
    <w:rsid w:val="07BCFF22"/>
    <w:rsid w:val="07EF0DAF"/>
    <w:rsid w:val="08169C80"/>
    <w:rsid w:val="081F9800"/>
    <w:rsid w:val="082F27FA"/>
    <w:rsid w:val="0888C084"/>
    <w:rsid w:val="08C158F4"/>
    <w:rsid w:val="0968528C"/>
    <w:rsid w:val="0A3BFDCF"/>
    <w:rsid w:val="0A8F9748"/>
    <w:rsid w:val="0B470559"/>
    <w:rsid w:val="0BE8F472"/>
    <w:rsid w:val="0C432C1E"/>
    <w:rsid w:val="0C577BA4"/>
    <w:rsid w:val="0C715374"/>
    <w:rsid w:val="0D74A684"/>
    <w:rsid w:val="0DBEEAB5"/>
    <w:rsid w:val="0DFCDFF9"/>
    <w:rsid w:val="0E0DA357"/>
    <w:rsid w:val="0E325FA0"/>
    <w:rsid w:val="0EC36E13"/>
    <w:rsid w:val="0F7373F7"/>
    <w:rsid w:val="0F85EDDF"/>
    <w:rsid w:val="0F992CA1"/>
    <w:rsid w:val="0FEA16DF"/>
    <w:rsid w:val="101F4CED"/>
    <w:rsid w:val="1063D3E4"/>
    <w:rsid w:val="110A1371"/>
    <w:rsid w:val="11DC92DB"/>
    <w:rsid w:val="11E2729C"/>
    <w:rsid w:val="11E39DCB"/>
    <w:rsid w:val="12022A98"/>
    <w:rsid w:val="12C23360"/>
    <w:rsid w:val="12DC8328"/>
    <w:rsid w:val="12EB06C0"/>
    <w:rsid w:val="139A5FBB"/>
    <w:rsid w:val="139A5FBB"/>
    <w:rsid w:val="1406B797"/>
    <w:rsid w:val="14312547"/>
    <w:rsid w:val="1435DAB1"/>
    <w:rsid w:val="14A328DF"/>
    <w:rsid w:val="150D92F5"/>
    <w:rsid w:val="15202BDB"/>
    <w:rsid w:val="1529C53A"/>
    <w:rsid w:val="1561CA80"/>
    <w:rsid w:val="160013DA"/>
    <w:rsid w:val="16314A41"/>
    <w:rsid w:val="16B7F8AC"/>
    <w:rsid w:val="1723CBE4"/>
    <w:rsid w:val="17772666"/>
    <w:rsid w:val="17D1D353"/>
    <w:rsid w:val="1807B647"/>
    <w:rsid w:val="18BA7168"/>
    <w:rsid w:val="19366D70"/>
    <w:rsid w:val="1AC44DD2"/>
    <w:rsid w:val="1AD8F2F7"/>
    <w:rsid w:val="1B03A775"/>
    <w:rsid w:val="1B03A775"/>
    <w:rsid w:val="1B522CB2"/>
    <w:rsid w:val="1B69AF8B"/>
    <w:rsid w:val="1B7334FE"/>
    <w:rsid w:val="1BB068CE"/>
    <w:rsid w:val="1C2DB837"/>
    <w:rsid w:val="1C442B25"/>
    <w:rsid w:val="1CCAD09B"/>
    <w:rsid w:val="1DB4D5C4"/>
    <w:rsid w:val="1E5B5CC7"/>
    <w:rsid w:val="1E7DEF5A"/>
    <w:rsid w:val="1EBD7602"/>
    <w:rsid w:val="1F3C7748"/>
    <w:rsid w:val="1F5123E5"/>
    <w:rsid w:val="1FDC5748"/>
    <w:rsid w:val="20412DD8"/>
    <w:rsid w:val="20C1A4E1"/>
    <w:rsid w:val="214CF98E"/>
    <w:rsid w:val="21EC4497"/>
    <w:rsid w:val="225C3FDB"/>
    <w:rsid w:val="22978E4C"/>
    <w:rsid w:val="229FA5B8"/>
    <w:rsid w:val="2310CF6B"/>
    <w:rsid w:val="2325D9A0"/>
    <w:rsid w:val="232F401C"/>
    <w:rsid w:val="23B07313"/>
    <w:rsid w:val="23CB109A"/>
    <w:rsid w:val="245FE235"/>
    <w:rsid w:val="2482A17E"/>
    <w:rsid w:val="24C0DB45"/>
    <w:rsid w:val="264ADF04"/>
    <w:rsid w:val="2711859E"/>
    <w:rsid w:val="27CEAE70"/>
    <w:rsid w:val="27D049F2"/>
    <w:rsid w:val="28042C68"/>
    <w:rsid w:val="2815920B"/>
    <w:rsid w:val="2945EB7F"/>
    <w:rsid w:val="29CAA2B7"/>
    <w:rsid w:val="29E87BB8"/>
    <w:rsid w:val="2A5F2ABD"/>
    <w:rsid w:val="2A612644"/>
    <w:rsid w:val="2AA88367"/>
    <w:rsid w:val="2B00CDBB"/>
    <w:rsid w:val="2B4B742E"/>
    <w:rsid w:val="2B8672FE"/>
    <w:rsid w:val="2B93D30A"/>
    <w:rsid w:val="2C5D65B7"/>
    <w:rsid w:val="2CB8CF0D"/>
    <w:rsid w:val="2CDD6162"/>
    <w:rsid w:val="2D68B018"/>
    <w:rsid w:val="2D7EA94C"/>
    <w:rsid w:val="2E17A8CC"/>
    <w:rsid w:val="2E271C1D"/>
    <w:rsid w:val="2E5E4DC1"/>
    <w:rsid w:val="2E8904D8"/>
    <w:rsid w:val="2F612B1E"/>
    <w:rsid w:val="2F612B1E"/>
    <w:rsid w:val="2F6FBE67"/>
    <w:rsid w:val="2FC6F358"/>
    <w:rsid w:val="2FDE5FE7"/>
    <w:rsid w:val="3164AF47"/>
    <w:rsid w:val="320E9388"/>
    <w:rsid w:val="32AD2CFB"/>
    <w:rsid w:val="32E96AB4"/>
    <w:rsid w:val="337CBF30"/>
    <w:rsid w:val="337FA58B"/>
    <w:rsid w:val="33D09818"/>
    <w:rsid w:val="33E0643B"/>
    <w:rsid w:val="3436E26B"/>
    <w:rsid w:val="345799EA"/>
    <w:rsid w:val="3588312C"/>
    <w:rsid w:val="36C8A6EF"/>
    <w:rsid w:val="36D0ED3C"/>
    <w:rsid w:val="36DAD9E0"/>
    <w:rsid w:val="36E58C0A"/>
    <w:rsid w:val="37175F6F"/>
    <w:rsid w:val="3724E473"/>
    <w:rsid w:val="381A8716"/>
    <w:rsid w:val="386379A0"/>
    <w:rsid w:val="389810D6"/>
    <w:rsid w:val="38A7C564"/>
    <w:rsid w:val="39C52659"/>
    <w:rsid w:val="3A0C8AFF"/>
    <w:rsid w:val="3AB4C92B"/>
    <w:rsid w:val="3B1E8C2C"/>
    <w:rsid w:val="3B35B518"/>
    <w:rsid w:val="3BB43E03"/>
    <w:rsid w:val="3BB43E03"/>
    <w:rsid w:val="3BF67126"/>
    <w:rsid w:val="3C151CF4"/>
    <w:rsid w:val="3C970A32"/>
    <w:rsid w:val="3CB7B0B2"/>
    <w:rsid w:val="3CBD3672"/>
    <w:rsid w:val="3D4BAAB0"/>
    <w:rsid w:val="3D818D9B"/>
    <w:rsid w:val="3D88396D"/>
    <w:rsid w:val="3DE23663"/>
    <w:rsid w:val="3F2CA431"/>
    <w:rsid w:val="3F54B06E"/>
    <w:rsid w:val="3F602FDC"/>
    <w:rsid w:val="3FB69A85"/>
    <w:rsid w:val="3FD720C8"/>
    <w:rsid w:val="3FEF4B59"/>
    <w:rsid w:val="40A3B8A9"/>
    <w:rsid w:val="4101846F"/>
    <w:rsid w:val="417E303C"/>
    <w:rsid w:val="41BE1D29"/>
    <w:rsid w:val="41FCF044"/>
    <w:rsid w:val="42483981"/>
    <w:rsid w:val="4290122E"/>
    <w:rsid w:val="42BD3297"/>
    <w:rsid w:val="42C0C61B"/>
    <w:rsid w:val="4379825C"/>
    <w:rsid w:val="43960866"/>
    <w:rsid w:val="43F82EF9"/>
    <w:rsid w:val="4557A9C9"/>
    <w:rsid w:val="45A1F03F"/>
    <w:rsid w:val="45A1F03F"/>
    <w:rsid w:val="46E3F341"/>
    <w:rsid w:val="471D4743"/>
    <w:rsid w:val="473029AE"/>
    <w:rsid w:val="47E7CB93"/>
    <w:rsid w:val="47EA57B4"/>
    <w:rsid w:val="4802AE9D"/>
    <w:rsid w:val="482AF140"/>
    <w:rsid w:val="485D81A1"/>
    <w:rsid w:val="48DF4D2D"/>
    <w:rsid w:val="4932BDDF"/>
    <w:rsid w:val="498F0D1C"/>
    <w:rsid w:val="49991542"/>
    <w:rsid w:val="4A128729"/>
    <w:rsid w:val="4A489E79"/>
    <w:rsid w:val="4A9002E1"/>
    <w:rsid w:val="4B6A3A21"/>
    <w:rsid w:val="4B7D3CF8"/>
    <w:rsid w:val="4C468D6E"/>
    <w:rsid w:val="4C56A611"/>
    <w:rsid w:val="4C86312B"/>
    <w:rsid w:val="4C8AEBE0"/>
    <w:rsid w:val="4CCA1F4C"/>
    <w:rsid w:val="4D6BFE91"/>
    <w:rsid w:val="4D8071D4"/>
    <w:rsid w:val="4DC27CC2"/>
    <w:rsid w:val="4DEB48EA"/>
    <w:rsid w:val="4E16E85B"/>
    <w:rsid w:val="4E31B73D"/>
    <w:rsid w:val="4E31B73D"/>
    <w:rsid w:val="4E5069FA"/>
    <w:rsid w:val="4E535912"/>
    <w:rsid w:val="4E8BB9F5"/>
    <w:rsid w:val="4FAAF389"/>
    <w:rsid w:val="50333976"/>
    <w:rsid w:val="50812681"/>
    <w:rsid w:val="50A30928"/>
    <w:rsid w:val="5122D219"/>
    <w:rsid w:val="512CC23A"/>
    <w:rsid w:val="51BF999F"/>
    <w:rsid w:val="51C2EECF"/>
    <w:rsid w:val="51DB2801"/>
    <w:rsid w:val="52083BE7"/>
    <w:rsid w:val="5267B951"/>
    <w:rsid w:val="52AEF7ED"/>
    <w:rsid w:val="52C641CE"/>
    <w:rsid w:val="52D3B469"/>
    <w:rsid w:val="5330BAC6"/>
    <w:rsid w:val="541CDC79"/>
    <w:rsid w:val="547FF039"/>
    <w:rsid w:val="54C41A1A"/>
    <w:rsid w:val="551D2A29"/>
    <w:rsid w:val="555D8FF3"/>
    <w:rsid w:val="557D24E6"/>
    <w:rsid w:val="558B8AEE"/>
    <w:rsid w:val="55B8D5ED"/>
    <w:rsid w:val="55ED697C"/>
    <w:rsid w:val="55F8671D"/>
    <w:rsid w:val="563100E4"/>
    <w:rsid w:val="564F0D46"/>
    <w:rsid w:val="564F0D46"/>
    <w:rsid w:val="56526F72"/>
    <w:rsid w:val="56606E80"/>
    <w:rsid w:val="56606E80"/>
    <w:rsid w:val="567D693C"/>
    <w:rsid w:val="56D583B3"/>
    <w:rsid w:val="56EEDEFC"/>
    <w:rsid w:val="56EEDEFC"/>
    <w:rsid w:val="570D1042"/>
    <w:rsid w:val="575BDE81"/>
    <w:rsid w:val="5771C49C"/>
    <w:rsid w:val="57AE5B29"/>
    <w:rsid w:val="5857AF55"/>
    <w:rsid w:val="5870330A"/>
    <w:rsid w:val="58CD7A47"/>
    <w:rsid w:val="592A559A"/>
    <w:rsid w:val="59FD68D3"/>
    <w:rsid w:val="5AACD1DA"/>
    <w:rsid w:val="5AF20451"/>
    <w:rsid w:val="5B029CBD"/>
    <w:rsid w:val="5BB3A1D0"/>
    <w:rsid w:val="5C0CB6CD"/>
    <w:rsid w:val="5C105305"/>
    <w:rsid w:val="5C1E3F95"/>
    <w:rsid w:val="5C40DFE0"/>
    <w:rsid w:val="5C9C2550"/>
    <w:rsid w:val="5CA58E95"/>
    <w:rsid w:val="5CDFE832"/>
    <w:rsid w:val="5D185B2D"/>
    <w:rsid w:val="5D5EE36F"/>
    <w:rsid w:val="5D6097D8"/>
    <w:rsid w:val="5E16D753"/>
    <w:rsid w:val="5E75F5B8"/>
    <w:rsid w:val="5E7F7487"/>
    <w:rsid w:val="5ECC0AD2"/>
    <w:rsid w:val="5F87D997"/>
    <w:rsid w:val="5FA6D09C"/>
    <w:rsid w:val="5FA6D09C"/>
    <w:rsid w:val="5FAF8102"/>
    <w:rsid w:val="5FAF8102"/>
    <w:rsid w:val="5FCAD339"/>
    <w:rsid w:val="5FF4145A"/>
    <w:rsid w:val="60F2570A"/>
    <w:rsid w:val="61358A68"/>
    <w:rsid w:val="61F235D0"/>
    <w:rsid w:val="633DF7AE"/>
    <w:rsid w:val="63DBD366"/>
    <w:rsid w:val="63DD73B0"/>
    <w:rsid w:val="643B7F2F"/>
    <w:rsid w:val="6448AB0E"/>
    <w:rsid w:val="6457C60B"/>
    <w:rsid w:val="655E5F10"/>
    <w:rsid w:val="660CDAC1"/>
    <w:rsid w:val="660CDAC1"/>
    <w:rsid w:val="661B9DF8"/>
    <w:rsid w:val="6654F752"/>
    <w:rsid w:val="66CEA59D"/>
    <w:rsid w:val="66F2A5CE"/>
    <w:rsid w:val="6711676C"/>
    <w:rsid w:val="67308785"/>
    <w:rsid w:val="67596ACA"/>
    <w:rsid w:val="68016CAE"/>
    <w:rsid w:val="680D7BA1"/>
    <w:rsid w:val="68610B5E"/>
    <w:rsid w:val="686E6B42"/>
    <w:rsid w:val="690030B6"/>
    <w:rsid w:val="69479B5A"/>
    <w:rsid w:val="69573A31"/>
    <w:rsid w:val="69C5B1DF"/>
    <w:rsid w:val="69D05C27"/>
    <w:rsid w:val="69FB9ADD"/>
    <w:rsid w:val="6A0A37B7"/>
    <w:rsid w:val="6A15ED7F"/>
    <w:rsid w:val="6A259D02"/>
    <w:rsid w:val="6A69D1E4"/>
    <w:rsid w:val="6ACEE8D6"/>
    <w:rsid w:val="6C4BC2D8"/>
    <w:rsid w:val="6CC04F54"/>
    <w:rsid w:val="6CCD05FC"/>
    <w:rsid w:val="6D101782"/>
    <w:rsid w:val="6D5A72AA"/>
    <w:rsid w:val="6DD79B37"/>
    <w:rsid w:val="6E300229"/>
    <w:rsid w:val="6E572304"/>
    <w:rsid w:val="6E57B7B1"/>
    <w:rsid w:val="6EBAA569"/>
    <w:rsid w:val="6ED745C4"/>
    <w:rsid w:val="6F55226A"/>
    <w:rsid w:val="6FC78606"/>
    <w:rsid w:val="6FCA5A27"/>
    <w:rsid w:val="6FD41BDC"/>
    <w:rsid w:val="706144F5"/>
    <w:rsid w:val="709861F3"/>
    <w:rsid w:val="70EFA9EA"/>
    <w:rsid w:val="711278D6"/>
    <w:rsid w:val="7147F211"/>
    <w:rsid w:val="7158352B"/>
    <w:rsid w:val="72177E8D"/>
    <w:rsid w:val="72551829"/>
    <w:rsid w:val="72961F44"/>
    <w:rsid w:val="72D1BB97"/>
    <w:rsid w:val="72D363C8"/>
    <w:rsid w:val="73C171F9"/>
    <w:rsid w:val="73F2055A"/>
    <w:rsid w:val="73F307CD"/>
    <w:rsid w:val="73F307CD"/>
    <w:rsid w:val="745D6CD1"/>
    <w:rsid w:val="74B21DF7"/>
    <w:rsid w:val="74B7F171"/>
    <w:rsid w:val="74B8B3D3"/>
    <w:rsid w:val="74FA570B"/>
    <w:rsid w:val="75358DBE"/>
    <w:rsid w:val="75358DBE"/>
    <w:rsid w:val="75454DF0"/>
    <w:rsid w:val="757D1A5F"/>
    <w:rsid w:val="759AF047"/>
    <w:rsid w:val="75FC9801"/>
    <w:rsid w:val="77045EBA"/>
    <w:rsid w:val="772A302F"/>
    <w:rsid w:val="77571D2F"/>
    <w:rsid w:val="779B6C82"/>
    <w:rsid w:val="779C6FA6"/>
    <w:rsid w:val="7814C22C"/>
    <w:rsid w:val="78AAFAB7"/>
    <w:rsid w:val="790766E1"/>
    <w:rsid w:val="790D16CF"/>
    <w:rsid w:val="798FDC38"/>
    <w:rsid w:val="79D25A2B"/>
    <w:rsid w:val="7A01C01F"/>
    <w:rsid w:val="7A7B5436"/>
    <w:rsid w:val="7A9F429F"/>
    <w:rsid w:val="7AA80D1B"/>
    <w:rsid w:val="7B3D23CB"/>
    <w:rsid w:val="7BF1CEDC"/>
    <w:rsid w:val="7C1387F0"/>
    <w:rsid w:val="7C1653F5"/>
    <w:rsid w:val="7C41A7DF"/>
    <w:rsid w:val="7C9B461F"/>
    <w:rsid w:val="7D6BAEAE"/>
    <w:rsid w:val="7DAFC511"/>
    <w:rsid w:val="7E022AA5"/>
    <w:rsid w:val="7E58BE16"/>
    <w:rsid w:val="7E7275D5"/>
    <w:rsid w:val="7E92451F"/>
    <w:rsid w:val="7EA1FD88"/>
    <w:rsid w:val="7F593962"/>
    <w:rsid w:val="7FA903CB"/>
    <w:rsid w:val="7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C3AC"/>
  <w15:chartTrackingRefBased/>
  <w15:docId w15:val="{C9F00DD0-CDA7-490F-8D04-00BAA452FA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EFA9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EFA9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EFA9EA"/>
    <w:pPr>
      <w:spacing/>
      <w:ind w:left="720"/>
      <w:contextualSpacing/>
    </w:pPr>
  </w:style>
  <w:style w:type="paragraph" w:styleId="FootnoteText">
    <w:uiPriority w:val="99"/>
    <w:name w:val="footnote text"/>
    <w:basedOn w:val="Normal"/>
    <w:semiHidden/>
    <w:unhideWhenUsed/>
    <w:rsid w:val="70EFA9EA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70EFA9EA"/>
    <w:rPr>
      <w:vertAlign w:val="superscript"/>
    </w:rPr>
  </w:style>
  <w:style w:type="paragraph" w:styleId="Quote">
    <w:uiPriority w:val="29"/>
    <w:name w:val="Quote"/>
    <w:basedOn w:val="Normal"/>
    <w:next w:val="Normal"/>
    <w:qFormat/>
    <w:rsid w:val="4FAAF38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SubtleReference">
    <w:uiPriority w:val="31"/>
    <w:name w:val="Subtle Reference"/>
    <w:basedOn w:val="DefaultParagraphFont"/>
    <w:qFormat/>
    <w:rsid w:val="4FAAF389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4FAAF389"/>
    <w:rPr>
      <w:b w:val="1"/>
      <w:bCs w:val="1"/>
      <w:smallCaps w:val="1"/>
      <w:color w:val="0F4761" w:themeColor="accent1" w:themeTint="FF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FAAF389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4FAAF389"/>
    <w:rPr>
      <w:i w:val="1"/>
      <w:iCs w:val="1"/>
      <w:color w:val="0F4761" w:themeColor="accent1" w:themeTint="FF" w:themeShade="BF"/>
    </w:rPr>
  </w:style>
  <w:style w:type="paragraph" w:styleId="Title">
    <w:uiPriority w:val="10"/>
    <w:name w:val="Title"/>
    <w:basedOn w:val="Normal"/>
    <w:next w:val="Normal"/>
    <w:qFormat/>
    <w:rsid w:val="4FAAF38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FAAF38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4FAAF38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FAAF389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4FAAF38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4FAAF389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27D049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5">
    <w:uiPriority w:val="9"/>
    <w:name w:val="heading 5"/>
    <w:basedOn w:val="Normal"/>
    <w:next w:val="Normal"/>
    <w:unhideWhenUsed/>
    <w:qFormat/>
    <w:rsid w:val="27D049F2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OC1">
    <w:uiPriority w:val="39"/>
    <w:name w:val="toc 1"/>
    <w:basedOn w:val="Normal"/>
    <w:next w:val="Normal"/>
    <w:unhideWhenUsed/>
    <w:rsid w:val="36C8A6EF"/>
    <w:pPr>
      <w:spacing w:after="100"/>
    </w:pPr>
  </w:style>
  <w:style w:type="character" w:styleId="BookTitle">
    <w:uiPriority w:val="33"/>
    <w:name w:val="Book Title"/>
    <w:basedOn w:val="DefaultParagraphFont"/>
    <w:qFormat/>
    <w:rsid w:val="36C8A6EF"/>
    <w:rPr>
      <w:b w:val="1"/>
      <w:bCs w:val="1"/>
      <w:i w:val="1"/>
      <w:iCs w:val="1"/>
    </w:rPr>
  </w:style>
  <w:style w:type="paragraph" w:styleId="Subtitle">
    <w:uiPriority w:val="11"/>
    <w:name w:val="Subtitle"/>
    <w:basedOn w:val="Normal"/>
    <w:next w:val="Normal"/>
    <w:qFormat/>
    <w:rsid w:val="36C8A6EF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486f718d8e21477a" /><Relationship Type="http://schemas.openxmlformats.org/officeDocument/2006/relationships/numbering" Target="numbering.xml" Id="R5690a29622d941fa" /><Relationship Type="http://schemas.microsoft.com/office/2020/10/relationships/intelligence" Target="intelligence2.xml" Id="Rc51753d89f3c4f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2026-03-28T11:47:39.9054596Z</dcterms:created>
  <dcterms:modified xsi:type="dcterms:W3CDTF">2026-04-14T20:02:33.0089495Z</dcterms:modified>
  <dc:creator>Sandro Filipe</dc:creator>
  <lastModifiedBy>Sandro Filipe</lastModifiedBy>
</coreProperties>
</file>