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2124413153"/>
        <w:docPartObj>
          <w:docPartGallery w:val="Table of Contents"/>
          <w:docPartUnique/>
        </w:docPartObj>
      </w:sdtPr>
      <w:sdtContent>
        <w:p xmlns:wp14="http://schemas.microsoft.com/office/word/2010/wordml" w:rsidP="56E39518" wp14:paraId="4DCEB5E6" wp14:textId="5464238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2872934">
            <w:r w:rsidRPr="56E39518" w:rsidR="56E39518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_Toc82872934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6E39518" wp14:paraId="1C4DC1B6" wp14:textId="237F021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8192678">
            <w:r w:rsidRPr="56E39518" w:rsidR="56E39518">
              <w:rPr>
                <w:rStyle w:val="Hyperlink"/>
              </w:rPr>
              <w:t>1. A Citação Pessoal e a Citação Quase Pessoal</w:t>
            </w:r>
            <w:r>
              <w:tab/>
            </w:r>
            <w:r>
              <w:fldChar w:fldCharType="begin"/>
            </w:r>
            <w:r>
              <w:instrText xml:space="preserve">PAGEREF _Toc68192678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6E39518" wp14:paraId="4D0BCECD" wp14:textId="7A25B54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32781852">
            <w:r w:rsidRPr="56E39518" w:rsidR="56E39518">
              <w:rPr>
                <w:rStyle w:val="Hyperlink"/>
              </w:rPr>
              <w:t>1.1. A Citação Pessoal (artigos 233.º, 242.º)</w:t>
            </w:r>
            <w:r>
              <w:tab/>
            </w:r>
            <w:r>
              <w:fldChar w:fldCharType="begin"/>
            </w:r>
            <w:r>
              <w:instrText xml:space="preserve">PAGEREF _Toc1332781852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6E39518" wp14:paraId="4CC68376" wp14:textId="31D1803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45098000">
            <w:r w:rsidRPr="56E39518" w:rsidR="56E39518">
              <w:rPr>
                <w:rStyle w:val="Hyperlink"/>
              </w:rPr>
              <w:t>1.2. A Citação Quase Pessoal (ou por via indireta)</w:t>
            </w:r>
            <w:r>
              <w:tab/>
            </w:r>
            <w:r>
              <w:fldChar w:fldCharType="begin"/>
            </w:r>
            <w:r>
              <w:instrText xml:space="preserve">PAGEREF _Toc1645098000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6E39518" wp14:paraId="78BBFA7A" wp14:textId="6AF3F3E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43909353">
            <w:r w:rsidRPr="56E39518" w:rsidR="56E39518">
              <w:rPr>
                <w:rStyle w:val="Hyperlink"/>
              </w:rPr>
              <w:t>2. A Citação Edital (artigos 247.º a 250.º)</w:t>
            </w:r>
            <w:r>
              <w:tab/>
            </w:r>
            <w:r>
              <w:fldChar w:fldCharType="begin"/>
            </w:r>
            <w:r>
              <w:instrText xml:space="preserve">PAGEREF _Toc1843909353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6E39518" wp14:paraId="526A6788" wp14:textId="32364D0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38373978">
            <w:r w:rsidRPr="56E39518" w:rsidR="56E39518">
              <w:rPr>
                <w:rStyle w:val="Hyperlink"/>
              </w:rPr>
              <w:t>3. Prazos</w:t>
            </w:r>
            <w:r>
              <w:tab/>
            </w:r>
            <w:r>
              <w:fldChar w:fldCharType="begin"/>
            </w:r>
            <w:r>
              <w:instrText xml:space="preserve">PAGEREF _Toc938373978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6E39518" wp14:paraId="0FEE7E48" wp14:textId="056D1C1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8519557">
            <w:r w:rsidRPr="56E39518" w:rsidR="56E39518">
              <w:rPr>
                <w:rStyle w:val="Hyperlink"/>
              </w:rPr>
              <w:t>4. Vícios da Citação (artigos 195.º a 198.º)</w:t>
            </w:r>
            <w:r>
              <w:tab/>
            </w:r>
            <w:r>
              <w:fldChar w:fldCharType="begin"/>
            </w:r>
            <w:r>
              <w:instrText xml:space="preserve">PAGEREF _Toc328519557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6E39518" wp14:paraId="628E0B75" wp14:textId="45182E2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3619525">
            <w:r w:rsidRPr="56E39518" w:rsidR="56E39518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_Toc1913619525 \h</w:instrText>
            </w:r>
            <w:r>
              <w:fldChar w:fldCharType="separate"/>
            </w:r>
            <w:r w:rsidRPr="56E39518" w:rsidR="56E39518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6E39518" wp14:paraId="32277FFD" wp14:textId="63B1A0D0">
      <w:pPr>
        <w:pStyle w:val="Heading3"/>
        <w:keepNext w:val="0"/>
        <w:keepLines w:val="0"/>
        <w:spacing w:before="0" w:beforeAutospacing="off" w:after="281" w:afterAutospacing="off"/>
        <w:ind w:firstLine="567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361D7CB4" wp14:textId="39A05506">
      <w:r>
        <w:br w:type="page"/>
      </w:r>
    </w:p>
    <w:p xmlns:wp14="http://schemas.microsoft.com/office/word/2010/wordml" w:rsidP="56E39518" wp14:paraId="5CB1C486" wp14:textId="652B0F1E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82872934" w:id="1441582620"/>
      <w:r w:rsidRPr="56E39518" w:rsidR="23AB1103">
        <w:rPr>
          <w:noProof w:val="0"/>
          <w:lang w:val="pt-BR"/>
        </w:rPr>
        <w:t>Introdução</w:t>
      </w:r>
      <w:bookmarkEnd w:id="1441582620"/>
    </w:p>
    <w:p xmlns:wp14="http://schemas.microsoft.com/office/word/2010/wordml" w:rsidP="56E39518" wp14:paraId="3FC84972" wp14:textId="721A0E68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citação, conforme definido no artigo 228.º, é o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4F8AE7A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processual de comunicação mais solene, pelo qual se dá conhecimento ao réu de que foi proposta contra si uma ação, chamando-o ao processo para se defender. Este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05981B6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não é uma mera formalidade; é a pedra angular do </w:t>
      </w:r>
      <w:r w:rsidRPr="56E39518" w:rsidR="23AB1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contraditório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da própria validade da relação processual, garantindo ao demandado o exercício pleno do seu direito de defesa. A sua ausência ou vício pode macular insanavelmente todo o processo, daí a disciplina rigorosa que lhe é conferida nos artigos 233.º a 250.º do </w:t>
      </w:r>
      <w:r w:rsidRPr="56E39518" w:rsidR="2CF03A6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CPC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56E39518" wp14:paraId="07C851CD" wp14:textId="15C7132B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Código de 1961, na esteira das reformas iniciadas em 1926 que visavam tornar o processo mais célere sem sacrificar as garantias das partes, consagra três modalidades principais de citação: a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pessoal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quase pessoal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(citação por hora certa e a realizada em pessoa diversa do citando) e a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edital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 distinção entre estas modalidades reside na gradação de segurança quanto à efetiva ciência do a</w:t>
      </w:r>
      <w:r w:rsidRPr="56E39518" w:rsidR="04992B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 pelo réu, operando num espectro que vai da certeza (citação pessoal) à presunção (citação edital).</w:t>
      </w:r>
    </w:p>
    <w:p xmlns:wp14="http://schemas.microsoft.com/office/word/2010/wordml" w:rsidP="56E39518" wp14:paraId="6944BC13" wp14:textId="14F16873">
      <w:pPr>
        <w:pStyle w:val="Heading3"/>
        <w:keepNext w:val="0"/>
        <w:keepLines w:val="0"/>
        <w:spacing w:before="281" w:beforeAutospacing="off" w:after="281" w:afterAutospacing="off"/>
        <w:ind w:firstLine="567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225C6825" wp14:textId="62696200">
      <w:r>
        <w:br w:type="page"/>
      </w:r>
    </w:p>
    <w:p xmlns:wp14="http://schemas.microsoft.com/office/word/2010/wordml" w:rsidP="56E39518" wp14:paraId="76BEB26A" wp14:textId="096B2C76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68192678" w:id="413741614"/>
      <w:r w:rsidRPr="56E39518" w:rsidR="23AB1103">
        <w:rPr>
          <w:noProof w:val="0"/>
          <w:lang w:val="pt-BR"/>
        </w:rPr>
        <w:t>1. A Citação Pessoal e a Citação Quase Pessoal</w:t>
      </w:r>
      <w:bookmarkEnd w:id="413741614"/>
    </w:p>
    <w:p xmlns:wp14="http://schemas.microsoft.com/office/word/2010/wordml" w:rsidP="56E39518" wp14:paraId="27999A34" wp14:textId="4FE18A9C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332781852" w:id="1058913355"/>
      <w:r w:rsidRPr="56E39518" w:rsidR="23AB1103">
        <w:rPr>
          <w:noProof w:val="0"/>
          <w:lang w:val="pt-BR"/>
        </w:rPr>
        <w:t>1.1. A Citação Pessoal (artigos 233.º, 242.º)</w:t>
      </w:r>
      <w:bookmarkEnd w:id="1058913355"/>
    </w:p>
    <w:p xmlns:wp14="http://schemas.microsoft.com/office/word/2010/wordml" w:rsidP="56E39518" wp14:paraId="70E11548" wp14:textId="216E6E32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regra matricial é a da citação pessoal, consagrada no </w:t>
      </w:r>
      <w:r w:rsidRPr="56E39518" w:rsidR="23AB1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caput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artigo 233.º:</w:t>
      </w:r>
    </w:p>
    <w:p xmlns:wp14="http://schemas.microsoft.com/office/word/2010/wordml" w:rsidP="0A52B3FB" wp14:paraId="34ED3031" wp14:textId="67442762">
      <w:pPr>
        <w:pStyle w:val="IntenseQuote"/>
        <w:keepNext w:val="0"/>
        <w:keepLines w:val="0"/>
      </w:pPr>
      <w:r w:rsidRPr="0A52B3FB" w:rsidR="23AB1103">
        <w:rPr>
          <w:noProof w:val="0"/>
          <w:lang w:val="pt-BR"/>
        </w:rPr>
        <w:t>"A citação é feita na própria pessoa do réu"</w:t>
      </w:r>
    </w:p>
    <w:p xmlns:wp14="http://schemas.microsoft.com/office/word/2010/wordml" w:rsidP="56E39518" wp14:paraId="69F8BA47" wp14:textId="7DACFFCA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Esta é a modalidade que melhor realiza o princípio do contraditório, pois assegura, dentro do possível, a certeza de que o demandado tomou conhecimento da ação. A sua formalidade essencial </w:t>
      </w:r>
      <w:r w:rsidRPr="56E39518" w:rsidR="23AB1103">
        <w:rPr>
          <w:rStyle w:val="SubtleReference"/>
          <w:noProof w:val="0"/>
          <w:lang w:val="pt-BR"/>
        </w:rPr>
        <w:t>(artigo 195.º, n.º 2, alínea a))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exige a entrega do duplicado da petição inicial e a assinatura do citado na certidão, ou a intervenção de duas testemunhas caso ele não saiba ou não possa assinar </w:t>
      </w:r>
      <w:r w:rsidRPr="56E39518" w:rsidR="23AB1103">
        <w:rPr>
          <w:rStyle w:val="SubtleReference"/>
          <w:noProof w:val="0"/>
          <w:lang w:val="pt-BR"/>
        </w:rPr>
        <w:t>(artigo 232.º, n.º 1)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019B7BC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consuma-se com a lavratura da certidão pelo funcionário, conforme preceitua o artigo 242.º.</w:t>
      </w:r>
    </w:p>
    <w:p xmlns:wp14="http://schemas.microsoft.com/office/word/2010/wordml" w:rsidP="56E39518" wp14:paraId="44834FA6" wp14:textId="248528E9">
      <w:pPr>
        <w:pStyle w:val="Heading2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645098000" w:id="1214430985"/>
      <w:r w:rsidRPr="56E39518" w:rsidR="23AB1103">
        <w:rPr>
          <w:noProof w:val="0"/>
          <w:lang w:val="pt-BR"/>
        </w:rPr>
        <w:t>1.2. A Citação Quase Pessoal (ou por via indireta)</w:t>
      </w:r>
      <w:bookmarkEnd w:id="1214430985"/>
    </w:p>
    <w:p xmlns:wp14="http://schemas.microsoft.com/office/word/2010/wordml" w:rsidP="56E39518" wp14:paraId="541C37B4" wp14:textId="3F3EF572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Quando a citação pessoal se revela obstada por condutas ou circunstâncias do citando, a lei prevê mecanismos substitutivos que, embora não realizem a comunicação dire</w:t>
      </w:r>
      <w:r w:rsidRPr="56E39518" w:rsidR="5AB544E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ta, são equiparados à citação pessoal quanto aos seus efeitos, especialmente a contagem de prazos e a cominação da revelia (artigo 480.º).</w:t>
      </w:r>
    </w:p>
    <w:p xmlns:wp14="http://schemas.microsoft.com/office/word/2010/wordml" w:rsidP="56E39518" wp14:paraId="15C962C8" wp14:textId="0CC8632F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/>
        <w:ind w:left="360" w:firstLine="567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A Citação na Pessoa do Representante </w:t>
      </w:r>
      <w:r w:rsidRPr="56E39518" w:rsidR="23AB1103">
        <w:rPr>
          <w:rStyle w:val="SubtleReference"/>
          <w:noProof w:val="0"/>
          <w:lang w:val="pt-BR"/>
        </w:rPr>
        <w:t>(artigo 233.º, n.º 2)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incapazes, pessoas coletivas, sociedades ou patrimónios autónomos, a citação é feita na pessoa dos seus representantes legais, sendo um mecanismo de citação direta a uma pessoa juridicamente identificada com o citando.</w:t>
      </w:r>
    </w:p>
    <w:p xmlns:wp14="http://schemas.microsoft.com/office/word/2010/wordml" w:rsidP="56E39518" wp14:paraId="65EB45FD" wp14:textId="02C974FB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/>
        <w:ind w:left="360" w:firstLine="567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A Citação na Pessoa Diversa do Citando </w:t>
      </w:r>
      <w:r w:rsidRPr="56E39518" w:rsidR="23AB1103">
        <w:rPr>
          <w:rStyle w:val="SubtleReference"/>
          <w:noProof w:val="0"/>
          <w:lang w:val="pt-BR"/>
        </w:rPr>
        <w:t>(artigo 243.º)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 modalidade, descrita no artigo 243.º, ocorre nos casos de resistência do citando </w:t>
      </w:r>
      <w:r w:rsidRPr="56E39518" w:rsidR="23AB1103">
        <w:rPr>
          <w:rStyle w:val="SubtleReference"/>
          <w:noProof w:val="0"/>
          <w:lang w:val="pt-BR"/>
        </w:rPr>
        <w:t>(artigo 235.º)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de ausência em parte incerta. O funcionário entrega o duplicado a uma pessoa da casa, preferindo os parentes, ou, na falta destes, a um vizinho. O grande garante da eficácia desta forma de citação é a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carta registada com aviso de recepção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6E39518" w:rsidR="23AB1103">
        <w:rPr>
          <w:rStyle w:val="SubtleReference"/>
          <w:noProof w:val="0"/>
          <w:lang w:val="pt-BR"/>
        </w:rPr>
        <w:t>(n.º 3 do artigo 243.º)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Esta carta, enviada ao réu, não é um mero aviso; possui uma função jurídica vital: confere segurança ao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3FB658C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pois o aviso de recepção devolvido, assinado pelo destinatário, serve como prova de que a notificação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indire</w:t>
      </w:r>
      <w:r w:rsidRPr="56E39518" w:rsidR="2AA7922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chegou, ou tinha obrigação de chegar, ao seu conhecimento. Cria-se, assim, uma presunção </w:t>
      </w:r>
      <w:r w:rsidRPr="56E39518" w:rsidR="28A29E4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“</w:t>
      </w:r>
      <w:r w:rsidRPr="56E39518" w:rsidR="23AB1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iuris tantum</w:t>
      </w:r>
      <w:r w:rsidRPr="56E39518" w:rsidR="36830F5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”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ciência, robustecendo a validade da citação e prevenindo alegações de desconhecimento por parte do réu. A sua ausência ou a falta do aviso de recepção devidamente assinado constitui uma nulidade nos termos da alínea c) do n.º 2 do artigo 195.º.</w:t>
      </w:r>
    </w:p>
    <w:p xmlns:wp14="http://schemas.microsoft.com/office/word/2010/wordml" w:rsidP="56E39518" wp14:paraId="7071A696" wp14:textId="12FE5020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/>
        <w:ind w:left="360" w:firstLine="567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A Citação com Hora Certa </w:t>
      </w:r>
      <w:r w:rsidRPr="56E39518" w:rsidR="23AB1103">
        <w:rPr>
          <w:rStyle w:val="SubtleReference"/>
          <w:noProof w:val="0"/>
          <w:lang w:val="pt-BR"/>
        </w:rPr>
        <w:t>(artigo 240.º)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Trata-se de uma figura que se situa na fronteira entre a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citação pessoal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citação por edital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Utilizada quando o funcionário, após diligências, não encontra o réu, mas não se verifica qualquer dos casos que justificariam a citação edital (ausência em parte incerta). O oficial deixa, com qualquer pessoa da casa, uma nota com a indicação do dia e hora em que voltará (o primeiro dia útil). Se nesse dia e hora o citando for encontrado, procede-se à citação pessoal. Se não for encontrado, o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03C8D4C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efetivado na pessoa que recebeu a nota (ou, na sua falta, noutra pessoa da casa). A doutrina e a prática consolidaram esta modalidade como uma forma de "quase-citação pessoal", pois o conhecimento da futura diligência imputa ao réu o dever de estar presente, sob pena de ver a citação realizada num terceiro.</w:t>
      </w:r>
    </w:p>
    <w:p xmlns:wp14="http://schemas.microsoft.com/office/word/2010/wordml" w:rsidP="56E39518" wp14:paraId="25E6123D" wp14:textId="2B18CA12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843909353" w:id="698472239"/>
      <w:r w:rsidRPr="56E39518" w:rsidR="23AB1103">
        <w:rPr>
          <w:noProof w:val="0"/>
          <w:lang w:val="pt-BR"/>
        </w:rPr>
        <w:t>2. A Citação Edital (artigos 247.º a 250.º)</w:t>
      </w:r>
      <w:bookmarkEnd w:id="698472239"/>
    </w:p>
    <w:p xmlns:wp14="http://schemas.microsoft.com/office/word/2010/wordml" w:rsidP="56E39518" wp14:paraId="35380BD5" wp14:textId="00A5720F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citação edital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constitui o </w:t>
      </w:r>
      <w:r w:rsidRPr="56E39518" w:rsidR="2C1C7B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“</w:t>
      </w:r>
      <w:r w:rsidRPr="56E39518" w:rsidR="23AB1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ultimum</w:t>
      </w:r>
      <w:r w:rsidRPr="56E39518" w:rsidR="23AB1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56E39518" w:rsidR="23AB1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refugium</w:t>
      </w:r>
      <w:r w:rsidRPr="56E39518" w:rsidR="0C8D088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”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sistema, aplicável quando o réu se encontra em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parte incerta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quando são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incertas as pessoas a citar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6E39518" w:rsidR="23AB1103">
        <w:rPr>
          <w:rStyle w:val="SubtleReference"/>
          <w:noProof w:val="0"/>
          <w:lang w:val="pt-BR"/>
        </w:rPr>
        <w:t>(artigo 247.º)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É uma citação ficta ou presumida, baseada na publicidade, e não na ciência real.</w:t>
      </w:r>
    </w:p>
    <w:p xmlns:wp14="http://schemas.microsoft.com/office/word/2010/wordml" w:rsidP="56E39518" wp14:paraId="5E1326F1" wp14:textId="26C947C3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seu regime é meticulosamente detalhado nos artigos 248.º a 250.º:</w:t>
      </w:r>
    </w:p>
    <w:p xmlns:wp14="http://schemas.microsoft.com/office/word/2010/wordml" w:rsidP="56E39518" wp14:paraId="235528BB" wp14:textId="1E0A9F63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Formalidades: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Afixação de três editais (porta do tribunal, última residência do citando e sede da junta de freguesia</w:t>
      </w:r>
      <w:r w:rsidRPr="56E39518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0293"/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e publicação de anúncios em dois números</w:t>
      </w:r>
      <w:r w:rsidRPr="0A52B3FB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3922"/>
      </w:r>
      <w:r w:rsidRPr="0A52B3FB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um jornal local </w:t>
      </w:r>
      <w:r w:rsidRPr="0A52B3FB" w:rsidR="23AB1103">
        <w:rPr>
          <w:rStyle w:val="SubtleReference"/>
          <w:noProof w:val="0"/>
          <w:lang w:val="pt-BR"/>
        </w:rPr>
        <w:t>(artigo 248.º)</w:t>
      </w:r>
      <w:r w:rsidRPr="0A52B3FB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conteúdo do edital deve individualizar a ação e o pedido </w:t>
      </w:r>
      <w:r w:rsidRPr="0A52B3FB" w:rsidR="23AB1103">
        <w:rPr>
          <w:rStyle w:val="SubtleReference"/>
          <w:noProof w:val="0"/>
          <w:lang w:val="pt-BR"/>
        </w:rPr>
        <w:t>(artigo 249.º)</w:t>
      </w:r>
      <w:r w:rsidRPr="0A52B3FB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56E39518" wp14:paraId="71E1912C" wp14:textId="7FC9B070">
      <w:pPr>
        <w:pStyle w:val="ListParagraph"/>
        <w:keepNext w:val="0"/>
        <w:keepLines w:val="0"/>
        <w:numPr>
          <w:ilvl w:val="0"/>
          <w:numId w:val="5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Contagem do prazo para a defesa: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citação considera-se feita no dia da publicação do último anúncio ou, na falta deste, no da afixação dos editais </w:t>
      </w:r>
      <w:r w:rsidRPr="56E39518" w:rsidR="23AB1103">
        <w:rPr>
          <w:rStyle w:val="SubtleReference"/>
          <w:noProof w:val="0"/>
          <w:lang w:val="pt-BR"/>
        </w:rPr>
        <w:t>(artigo 250.º, n.º 1)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 este facto segue-se um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prazo de dilação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6E39518" w:rsidR="23AB1103">
        <w:rPr>
          <w:rStyle w:val="SubtleReference"/>
          <w:noProof w:val="0"/>
          <w:lang w:val="pt-BR"/>
        </w:rPr>
        <w:t>(entre 30 e 180 dias, artigo 249.º, n.º 3)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um </w:t>
      </w:r>
      <w:r w:rsidRPr="56E39518" w:rsidR="446638F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período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razoável para que a notificação ficta chegue ao conhecimento do réu no estrangeiro ou em local remoto. Só após o decurso desse prazo dilatório é que começa a correr o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prazo peremptório para a contestação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56E39518" w:rsidR="23AB1103">
        <w:rPr>
          <w:rStyle w:val="SubtleReference"/>
          <w:noProof w:val="0"/>
          <w:lang w:val="pt-BR"/>
        </w:rPr>
        <w:t>(artigo 250.º, n.º 2)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réu citado editalmente que não contesta não está sujeito aos efeitos cominatórios da revelia </w:t>
      </w:r>
      <w:r w:rsidRPr="56E39518" w:rsidR="23AB1103">
        <w:rPr>
          <w:rStyle w:val="SubtleReference"/>
          <w:noProof w:val="0"/>
          <w:lang w:val="pt-BR"/>
        </w:rPr>
        <w:t>(artigo 485.º, alínea b))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precisamente porque a citação se funda numa mera presunção.</w:t>
      </w:r>
    </w:p>
    <w:p xmlns:wp14="http://schemas.microsoft.com/office/word/2010/wordml" w:rsidP="56E39518" wp14:paraId="17A64516" wp14:textId="14DF3C64">
      <w:pPr>
        <w:pStyle w:val="Heading1"/>
        <w:keepNext w:val="0"/>
        <w:keepLines w:val="0"/>
        <w:rPr>
          <w:noProof w:val="0"/>
          <w:lang w:val="pt-BR"/>
        </w:rPr>
      </w:pPr>
      <w:bookmarkStart w:name="_Toc938373978" w:id="1732083256"/>
      <w:r w:rsidRPr="56E39518" w:rsidR="23AB1103">
        <w:rPr>
          <w:noProof w:val="0"/>
          <w:lang w:val="pt-BR"/>
        </w:rPr>
        <w:t xml:space="preserve">3. </w:t>
      </w:r>
      <w:r w:rsidRPr="56E39518" w:rsidR="464DCFDA">
        <w:rPr>
          <w:noProof w:val="0"/>
          <w:lang w:val="pt-BR"/>
        </w:rPr>
        <w:t>Prazos</w:t>
      </w:r>
      <w:bookmarkEnd w:id="1732083256"/>
    </w:p>
    <w:p xmlns:wp14="http://schemas.microsoft.com/office/word/2010/wordml" w:rsidP="56E39518" wp14:paraId="40E8A63B" wp14:textId="206DEECF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correta compreensão das modalidades de citação exige a distinção entre os dois tipos de prazos judiciais definidos no artigo 145.º:</w:t>
      </w:r>
    </w:p>
    <w:p xmlns:wp14="http://schemas.microsoft.com/office/word/2010/wordml" w:rsidP="56E39518" wp14:paraId="64824852" wp14:textId="398CD9FE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Prazo Dilatório (n.º 2):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aquele que difere para certo momento a possibilidade de realização de um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4C32FC7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A dilação na citação edital </w:t>
      </w:r>
      <w:r w:rsidRPr="56E39518" w:rsidR="23AB1103">
        <w:rPr>
          <w:rStyle w:val="SubtleReference"/>
          <w:noProof w:val="0"/>
          <w:lang w:val="pt-BR"/>
        </w:rPr>
        <w:t>(artigo 249.º, n.º 3)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o exemplo paradigmático. Durante a dilação, o prazo para contestar ainda não começou a correr. O seu decurso não implica a perda de qualquer direito, apenas prepara o terreno para o início do prazo peremptório.</w:t>
      </w:r>
    </w:p>
    <w:p xmlns:wp14="http://schemas.microsoft.com/office/word/2010/wordml" w:rsidP="56E39518" wp14:paraId="415503C3" wp14:textId="26BAE61B">
      <w:pPr>
        <w:pStyle w:val="ListParagraph"/>
        <w:keepNext w:val="0"/>
        <w:keepLines w:val="0"/>
        <w:numPr>
          <w:ilvl w:val="0"/>
          <w:numId w:val="6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Prazo Peremptório (n.º 3):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aquele cujo decurso extingue o direito de praticar o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1720824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 prazo para contestar (artigo 480.º: "O réu é citado para contestar, sendo advertido...") é o principal exemplo. O artigo 145.º, n.º 4, permite a prática do a</w:t>
      </w:r>
      <w:r w:rsidRPr="56E39518" w:rsidR="6CC6560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 fora do prazo em caso de justo impedimento (definido no artigo 146.º como evento imprevisível e estranho à vontade da parte), e o n.º 5 admite, independentemente de justo impedimento, a prática no primeiro dia útil seguinte, mediante o pagamento de uma multa. Contudo, a regra permanece: o prazo peremptório é fatal, improrrogável nos termos do artigo 147.º.</w:t>
      </w:r>
    </w:p>
    <w:p xmlns:wp14="http://schemas.microsoft.com/office/word/2010/wordml" w:rsidP="56E39518" wp14:paraId="7CDE4790" wp14:textId="621CF2DC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328519557" w:id="1201013403"/>
      <w:r w:rsidRPr="56E39518" w:rsidR="23AB1103">
        <w:rPr>
          <w:noProof w:val="0"/>
          <w:lang w:val="pt-BR"/>
        </w:rPr>
        <w:t>4. Vícios da Citação (artigos 195.º a 198.º)</w:t>
      </w:r>
      <w:bookmarkEnd w:id="1201013403"/>
    </w:p>
    <w:p xmlns:wp14="http://schemas.microsoft.com/office/word/2010/wordml" w:rsidP="56E39518" wp14:paraId="5D383586" wp14:textId="2477C18B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violação das regras da citação gera vícios de gravidade distinta, com consequências processuais também diversas.</w:t>
      </w:r>
    </w:p>
    <w:p xmlns:wp14="http://schemas.microsoft.com/office/word/2010/wordml" w:rsidP="56E39518" wp14:paraId="78874DAC" wp14:textId="69B01CE2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Falta de Citação </w:t>
      </w:r>
      <w:r w:rsidRPr="56E39518" w:rsidR="23AB1103">
        <w:rPr>
          <w:rStyle w:val="SubtleReference"/>
          <w:noProof w:val="0"/>
          <w:lang w:val="pt-BR"/>
        </w:rPr>
        <w:t>(artigo 195.º)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o vício mais grave, configurando uma 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nulidade absoluta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que o tribunal deve conhecer oficiosamente em qualquer estado do processo </w:t>
      </w:r>
      <w:r w:rsidRPr="56E39518" w:rsidR="23AB1103">
        <w:rPr>
          <w:rStyle w:val="SubtleReference"/>
          <w:noProof w:val="0"/>
          <w:lang w:val="pt-BR"/>
        </w:rPr>
        <w:t>(artigo 202.º)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artigo 195.º, n.º 1, enumera as suas causas: omissão completa do 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56E39518" w:rsidR="3AE3A20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erro de identidade</w:t>
      </w:r>
      <w:r w:rsidRPr="295848E3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9615"/>
      </w:r>
      <w:r w:rsidRPr="295848E3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citado, emprego indevido da citação edital, preterição de formalidades essenciais (listadas no n.º 2 do mesmo artigo, onde se inclui a falta da carta registada do artigo 24</w:t>
      </w:r>
      <w:r w:rsidRPr="295848E3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3.º, n.º 3) ou citação de pessoa já falecida. A consequência é a anulação de todo o processado posterior à petição inicial </w:t>
      </w:r>
      <w:r w:rsidRPr="295848E3" w:rsidR="23AB1103">
        <w:rPr>
          <w:rStyle w:val="SubtleReference"/>
          <w:noProof w:val="0"/>
          <w:lang w:val="pt-BR"/>
        </w:rPr>
        <w:t>(artigo 194.º, alínea a))</w:t>
      </w:r>
      <w:r w:rsidRPr="295848E3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 artigo 196.º permite o suprimento se o réu ou o MP intervém no processo sem arguir a falta.</w:t>
      </w:r>
    </w:p>
    <w:p xmlns:wp14="http://schemas.microsoft.com/office/word/2010/wordml" w:rsidP="56E39518" wp14:paraId="7EDBBBF1" wp14:textId="74B88969">
      <w:pPr>
        <w:pStyle w:val="ListParagraph"/>
        <w:keepNext w:val="0"/>
        <w:keepLines w:val="0"/>
        <w:numPr>
          <w:ilvl w:val="0"/>
          <w:numId w:val="7"/>
        </w:numPr>
        <w:spacing w:before="240" w:beforeAutospacing="off" w:after="240" w:afterAutospacing="off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Nulidade da Citação </w:t>
      </w:r>
      <w:r w:rsidRPr="56E39518" w:rsidR="23AB1103">
        <w:rPr>
          <w:rStyle w:val="SubtleReference"/>
          <w:noProof w:val="0"/>
          <w:lang w:val="pt-BR"/>
        </w:rPr>
        <w:t>(artigo 198.º)</w:t>
      </w:r>
      <w:r w:rsidRPr="56E39518" w:rsidR="23AB11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um vício menos grave, pois ocorre quando, observadas as formalidades essenciais, se preterem outras formalidades legais (n.º 1). Diferentemente da falta, a nulidade só pode ser arguida pelo interessado (o réu) e depende de demonstração de efetivo prejuízo para a defesa ("só é atendida se a falta cometida puder prejudicar a defesa do citado" – n.º 2). Aplica-se aqui a teoria do prejuízo </w:t>
      </w:r>
      <w:r w:rsidRPr="56E39518" w:rsidR="23AB1103">
        <w:rPr>
          <w:rStyle w:val="SubtleReference"/>
          <w:noProof w:val="0"/>
          <w:lang w:val="pt-BR"/>
        </w:rPr>
        <w:t>(artigo 201.º, n.º 1)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que rege as nulidades processuais em geral. O prazo para arguição é contado da citação. Se a irregularidade consistir na concessão de um prazo de defesa superior ao legal, a defesa deve ser admitida nesse prazo (n.º 3), privilegiando o direito material sobre o formalismo exacerbado, uma clara manifestação do espírito reformista do Código de 1961.</w:t>
      </w:r>
    </w:p>
    <w:p xmlns:wp14="http://schemas.microsoft.com/office/word/2010/wordml" w:rsidP="56E39518" wp14:paraId="36C14F6F" wp14:textId="0B50514B">
      <w:pPr>
        <w:pStyle w:val="Heading3"/>
        <w:keepNext w:val="0"/>
        <w:keepLines w:val="0"/>
        <w:spacing w:before="281" w:beforeAutospacing="off" w:after="281" w:afterAutospacing="off"/>
        <w:ind w:firstLine="567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0D36318B" wp14:textId="455ACA07">
      <w:r>
        <w:br w:type="page"/>
      </w:r>
    </w:p>
    <w:p xmlns:wp14="http://schemas.microsoft.com/office/word/2010/wordml" w:rsidP="56E39518" wp14:paraId="7100676A" wp14:textId="29DBA1F9">
      <w:pPr>
        <w:pStyle w:val="Heading1"/>
        <w:keepNext w:val="0"/>
        <w:keepLines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913619525" w:id="2040971150"/>
      <w:r w:rsidRPr="56E39518" w:rsidR="23AB1103">
        <w:rPr>
          <w:noProof w:val="0"/>
          <w:lang w:val="pt-BR"/>
        </w:rPr>
        <w:t>Conclusão</w:t>
      </w:r>
      <w:bookmarkEnd w:id="2040971150"/>
    </w:p>
    <w:p xmlns:wp14="http://schemas.microsoft.com/office/word/2010/wordml" w:rsidP="56E39518" wp14:paraId="1E207724" wp14:textId="65BB2CE6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citação pessoal é o ideal; a citação quase pessoal (especialmente com o reforço da carta registada) e a citação com hora certa são soluções pragmáticas e eficazes para obstar à </w:t>
      </w:r>
      <w:r w:rsidRPr="56E39518" w:rsidR="23AB11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fraude processual</w:t>
      </w:r>
      <w:r w:rsidRPr="56E39518" w:rsidR="23AB110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réu que se subtrai à citação. Por fim, a citação edital, rodeada de formalismos e do mecanismo da dilação, representa a solução subsidiária para a incerteza, mas com a cautela de não aplicar as mais severas cominações da revelia. A sistematização dos vícios em "falta" (nulidade absoluta) e "nulidade" (relativa, dependente de prejuízo) demonstra uma sofisticação técnica que visa assegurar que a justiça material prevaleça sobre o formalismo puro, sem, contudo, sacrificar as garantias processuais essenciais do demandado.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>
  <w:endnote w:type="separator" w:id="-1">
    <w:p w:rsidR="56E39518" w:rsidRDefault="56E39518" w14:paraId="30207B8F" w14:textId="6A2192EA">
      <w:pPr>
        <w:spacing w:after="0" w:line="240" w:lineRule="auto"/>
      </w:pPr>
      <w:r>
        <w:separator/>
      </w:r>
    </w:p>
  </w:endnote>
  <w:endnote w:type="continuationSeparator" w:id="0">
    <w:p w:rsidR="56E39518" w:rsidRDefault="56E39518" w14:paraId="4B66C861" w14:textId="5CF2A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56E39518" w:rsidRDefault="56E39518" w14:paraId="22B0D52B" w14:textId="65E4418D">
      <w:pPr>
        <w:spacing w:after="0" w:line="240" w:lineRule="auto"/>
      </w:pPr>
      <w:r>
        <w:separator/>
      </w:r>
    </w:p>
  </w:footnote>
  <w:footnote w:type="continuationSeparator" w:id="0">
    <w:p w:rsidR="56E39518" w:rsidRDefault="56E39518" w14:paraId="6513CD90" w14:textId="6518BC46">
      <w:pPr>
        <w:spacing w:after="0" w:line="240" w:lineRule="auto"/>
      </w:pPr>
      <w:r>
        <w:continuationSeparator/>
      </w:r>
    </w:p>
  </w:footnote>
  <w:footnote w:id="20293">
    <w:p w:rsidR="56E39518" w:rsidP="0A52B3FB" w:rsidRDefault="56E39518" w14:paraId="03E4285D" w14:textId="36E295BC">
      <w:pPr>
        <w:pStyle w:val="FootnoteText"/>
        <w:bidi w:val="0"/>
        <w:ind w:firstLine="0"/>
      </w:pPr>
      <w:r w:rsidRPr="295848E3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295848E3" w:rsidR="0A52B3FB">
        <w:rPr>
          <w:rFonts w:ascii="Times New Roman" w:hAnsi="Times New Roman" w:eastAsia="Times New Roman" w:cs="Times New Roman"/>
          <w:sz w:val="20"/>
          <w:szCs w:val="20"/>
        </w:rPr>
        <w:t xml:space="preserve"> Para efeitos de equiparação, considerar-se-á sede da junta de freguesia, a sede da administração local.</w:t>
      </w:r>
    </w:p>
  </w:footnote>
  <w:footnote w:id="29615">
    <w:p w:rsidR="295848E3" w:rsidP="0A52B3FB" w:rsidRDefault="295848E3" w14:paraId="04F8D8A7" w14:textId="2527C47F">
      <w:pPr>
        <w:pStyle w:val="FootnoteText"/>
        <w:bidi w:val="0"/>
        <w:ind w:firstLine="0"/>
      </w:pPr>
      <w:r w:rsidRPr="295848E3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295848E3" w:rsidR="0A52B3FB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295848E3" w:rsidR="0A52B3FB">
        <w:rPr>
          <w:rFonts w:ascii="Times New Roman" w:hAnsi="Times New Roman" w:eastAsia="Times New Roman" w:cs="Times New Roman"/>
          <w:sz w:val="20"/>
          <w:szCs w:val="20"/>
        </w:rPr>
        <w:t>Neste erro importa apenas o sujeito citado, se quem se pretende citar é “Sandro Da Silva”, mas a citação seja entregue ao “Sandro Silva”, haverá erro sobre identidade (falta de citação). No cenário em que se queira citar Sandro Da Silva, mas na citação consta Sandro Silva, considera-se devidamente citado se face ao erro receba quem devia receber - Sandro Da Silva.</w:t>
      </w:r>
    </w:p>
  </w:footnote>
  <w:footnote w:id="3922">
    <w:p w:rsidR="0A52B3FB" w:rsidP="0A52B3FB" w:rsidRDefault="0A52B3FB" w14:paraId="654A6E1C" w14:textId="52651C95">
      <w:pPr>
        <w:pStyle w:val="FootnoteText"/>
        <w:bidi w:val="0"/>
        <w:ind w:firstLine="0"/>
      </w:pPr>
      <w:r w:rsidRPr="0A52B3FB">
        <w:rPr>
          <w:rStyle w:val="FootnoteReference"/>
        </w:rPr>
        <w:footnoteRef/>
      </w:r>
      <w:r w:rsidR="0A52B3FB">
        <w:rPr/>
        <w:t xml:space="preserve"> </w:t>
      </w:r>
      <w:r w:rsidRPr="0A52B3FB" w:rsidR="0A52B3FB">
        <w:rPr>
          <w:rFonts w:ascii="Times New Roman" w:hAnsi="Times New Roman" w:eastAsia="Times New Roman" w:cs="Times New Roman"/>
          <w:sz w:val="20"/>
          <w:szCs w:val="20"/>
        </w:rPr>
        <w:t xml:space="preserve">A expressão “números seguidos” indica dias, neste caso em concreto, dois dias. </w:t>
      </w:r>
      <w:r w:rsidRPr="0A52B3FB" w:rsidR="0A52B3FB">
        <w:rPr>
          <w:rFonts w:ascii="Times New Roman" w:hAnsi="Times New Roman" w:eastAsia="Times New Roman" w:cs="Times New Roman"/>
          <w:sz w:val="20"/>
          <w:szCs w:val="20"/>
        </w:rPr>
        <w:t>Ex</w:t>
      </w:r>
      <w:r w:rsidRPr="0A52B3FB" w:rsidR="0A52B3FB">
        <w:rPr>
          <w:rFonts w:ascii="Times New Roman" w:hAnsi="Times New Roman" w:eastAsia="Times New Roman" w:cs="Times New Roman"/>
          <w:sz w:val="20"/>
          <w:szCs w:val="20"/>
        </w:rPr>
        <w:t>: Quarta e Quinta-feira.</w:t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2a5d0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9ed01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b3e3e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b8af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26a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2fe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c7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CF221"/>
    <w:rsid w:val="019B7BC2"/>
    <w:rsid w:val="03425D14"/>
    <w:rsid w:val="03C8D4C8"/>
    <w:rsid w:val="04992BEE"/>
    <w:rsid w:val="05981B64"/>
    <w:rsid w:val="0A410DBB"/>
    <w:rsid w:val="0A52B3FB"/>
    <w:rsid w:val="0BBA822E"/>
    <w:rsid w:val="0BBBEA2E"/>
    <w:rsid w:val="0C8D0889"/>
    <w:rsid w:val="0DBD40F2"/>
    <w:rsid w:val="0E2BBF12"/>
    <w:rsid w:val="1319250D"/>
    <w:rsid w:val="144E5587"/>
    <w:rsid w:val="17208243"/>
    <w:rsid w:val="1740BA93"/>
    <w:rsid w:val="1825A08E"/>
    <w:rsid w:val="1B6BA7BA"/>
    <w:rsid w:val="1CCE78C0"/>
    <w:rsid w:val="1E87F658"/>
    <w:rsid w:val="21CA4382"/>
    <w:rsid w:val="23AB1103"/>
    <w:rsid w:val="248BFF83"/>
    <w:rsid w:val="28A29E44"/>
    <w:rsid w:val="295848E3"/>
    <w:rsid w:val="2AA79223"/>
    <w:rsid w:val="2B903C85"/>
    <w:rsid w:val="2BDE3784"/>
    <w:rsid w:val="2C1C7B3E"/>
    <w:rsid w:val="2C3E977D"/>
    <w:rsid w:val="2CF03A6D"/>
    <w:rsid w:val="2D28E1F7"/>
    <w:rsid w:val="2DD77137"/>
    <w:rsid w:val="305CF221"/>
    <w:rsid w:val="31E5BF96"/>
    <w:rsid w:val="33919392"/>
    <w:rsid w:val="3415071C"/>
    <w:rsid w:val="34A8F7AE"/>
    <w:rsid w:val="36830F54"/>
    <w:rsid w:val="37557E31"/>
    <w:rsid w:val="39AC39D9"/>
    <w:rsid w:val="3AE3A20C"/>
    <w:rsid w:val="3FB658C6"/>
    <w:rsid w:val="402FABCB"/>
    <w:rsid w:val="41BC4877"/>
    <w:rsid w:val="43D3365A"/>
    <w:rsid w:val="446638F4"/>
    <w:rsid w:val="464DCFDA"/>
    <w:rsid w:val="46B6F957"/>
    <w:rsid w:val="46D1A931"/>
    <w:rsid w:val="4C32FC77"/>
    <w:rsid w:val="4C6BD8C8"/>
    <w:rsid w:val="4F8AE7AC"/>
    <w:rsid w:val="54326648"/>
    <w:rsid w:val="543F75E2"/>
    <w:rsid w:val="556737CC"/>
    <w:rsid w:val="55CC545C"/>
    <w:rsid w:val="56E39518"/>
    <w:rsid w:val="56FE9CF0"/>
    <w:rsid w:val="5870FE77"/>
    <w:rsid w:val="58D47BB0"/>
    <w:rsid w:val="591F3088"/>
    <w:rsid w:val="591F3088"/>
    <w:rsid w:val="59F0D058"/>
    <w:rsid w:val="5A50CD0A"/>
    <w:rsid w:val="5A77D41D"/>
    <w:rsid w:val="5AB544E0"/>
    <w:rsid w:val="5E01E039"/>
    <w:rsid w:val="5E5CA878"/>
    <w:rsid w:val="5EEBE017"/>
    <w:rsid w:val="614D0FA8"/>
    <w:rsid w:val="617EB0EB"/>
    <w:rsid w:val="61B93D6E"/>
    <w:rsid w:val="6201C7C8"/>
    <w:rsid w:val="673C2D0A"/>
    <w:rsid w:val="6C3FC734"/>
    <w:rsid w:val="6C815FAB"/>
    <w:rsid w:val="6CC65602"/>
    <w:rsid w:val="70286C06"/>
    <w:rsid w:val="7139C729"/>
    <w:rsid w:val="74115149"/>
    <w:rsid w:val="7963AEAB"/>
    <w:rsid w:val="7A62C1E3"/>
    <w:rsid w:val="7B104EA5"/>
    <w:rsid w:val="7BAF2513"/>
    <w:rsid w:val="7CBA3C1F"/>
    <w:rsid w:val="7E8F9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F221"/>
  <w15:chartTrackingRefBased/>
  <w15:docId w15:val="{AB898A5B-6CFB-42C8-BF13-418AF29DB9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6E3951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6E3951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6E39518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56E3951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itle">
    <w:uiPriority w:val="10"/>
    <w:name w:val="Title"/>
    <w:basedOn w:val="Normal"/>
    <w:next w:val="Normal"/>
    <w:qFormat/>
    <w:rsid w:val="56E3951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56E39518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56E39518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6E39518"/>
    <w:pPr>
      <w:spacing w:after="100"/>
      <w:ind w:left="660"/>
    </w:pPr>
  </w:style>
  <w:style w:type="paragraph" w:styleId="Heading1">
    <w:uiPriority w:val="9"/>
    <w:name w:val="heading 1"/>
    <w:basedOn w:val="Normal"/>
    <w:next w:val="Normal"/>
    <w:qFormat/>
    <w:rsid w:val="56E395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56E39518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56E395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Quote">
    <w:uiPriority w:val="29"/>
    <w:name w:val="Quote"/>
    <w:basedOn w:val="Normal"/>
    <w:next w:val="Normal"/>
    <w:qFormat/>
    <w:rsid w:val="56E3951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SubtleReference">
    <w:uiPriority w:val="31"/>
    <w:name w:val="Subtle Reference"/>
    <w:basedOn w:val="DefaultParagraphFont"/>
    <w:qFormat/>
    <w:rsid w:val="56E39518"/>
    <w:rPr>
      <w:smallCaps w:val="1"/>
      <w:color w:val="5A5A5A"/>
    </w:rPr>
  </w:style>
  <w:style w:type="paragraph" w:styleId="FootnoteText">
    <w:uiPriority w:val="99"/>
    <w:name w:val="footnote text"/>
    <w:basedOn w:val="Normal"/>
    <w:semiHidden/>
    <w:unhideWhenUsed/>
    <w:rsid w:val="56E39518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56E39518"/>
    <w:rPr>
      <w:vertAlign w:val="superscript"/>
    </w:rPr>
  </w:style>
  <w:style w:type="paragraph" w:styleId="TOC2">
    <w:uiPriority w:val="39"/>
    <w:name w:val="toc 2"/>
    <w:basedOn w:val="Normal"/>
    <w:next w:val="Normal"/>
    <w:unhideWhenUsed/>
    <w:rsid w:val="56E39518"/>
    <w:pPr>
      <w:spacing w:after="100"/>
      <w:ind w:left="220"/>
    </w:pPr>
  </w:style>
  <w:style w:type="paragraph" w:styleId="EndnoteText">
    <w:uiPriority w:val="99"/>
    <w:name w:val="endnote text"/>
    <w:basedOn w:val="Normal"/>
    <w:semiHidden/>
    <w:unhideWhenUsed/>
    <w:rsid w:val="56E39518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56E39518"/>
    <w:rPr>
      <w:vertAlign w:val="superscript"/>
    </w:rPr>
  </w:style>
  <w:style w:type="paragraph" w:styleId="IntenseQuote">
    <w:uiPriority w:val="30"/>
    <w:name w:val="Intense Quote"/>
    <w:basedOn w:val="Normal"/>
    <w:next w:val="Normal"/>
    <w:qFormat/>
    <w:rsid w:val="0A52B3FB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endnotes" Target="endnotes.xml" Id="R6ad0d509a08d4680" /><Relationship Type="http://schemas.openxmlformats.org/officeDocument/2006/relationships/footnotes" Target="footnotes.xml" Id="R61e6260783494d9e" /><Relationship Type="http://schemas.openxmlformats.org/officeDocument/2006/relationships/numbering" Target="numbering.xml" Id="Rabb0de3be13140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2026-04-13T15:29:34.8553658Z</dcterms:created>
  <dcterms:modified xsi:type="dcterms:W3CDTF">2026-04-13T17:26:33.8653864Z</dcterms:modified>
  <dc:creator>Sandro Filipe</dc:creator>
  <lastModifiedBy>Sandro Filipe</lastModifiedBy>
</coreProperties>
</file>