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E68CC8" wp14:paraId="7CF19C61" wp14:textId="793D6C99">
      <w:pPr>
        <w:pStyle w:val="Title"/>
        <w:jc w:val="both"/>
        <w:rPr>
          <w:noProof w:val="0"/>
          <w:lang w:val="pt-BR"/>
        </w:rPr>
      </w:pPr>
      <w:r w:rsidRPr="03E68CC8" w:rsidR="36CC1628">
        <w:rPr>
          <w:noProof w:val="0"/>
          <w:lang w:val="pt-BR"/>
        </w:rPr>
        <w:t>Da Sentença</w:t>
      </w:r>
    </w:p>
    <w:sdt>
      <w:sdtPr>
        <w:id w:val="741818213"/>
        <w:docPartObj>
          <w:docPartGallery w:val="Table of Contents"/>
          <w:docPartUnique/>
        </w:docPartObj>
      </w:sdtPr>
      <w:sdtContent>
        <w:p xmlns:wp14="http://schemas.microsoft.com/office/word/2010/wordml" w:rsidP="03E68CC8" wp14:paraId="7EB96D01" wp14:textId="7FC622CD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28301748">
            <w:r w:rsidRPr="03E68CC8" w:rsidR="03E68CC8">
              <w:rPr>
                <w:rStyle w:val="Hyperlink"/>
              </w:rPr>
              <w:t>1. Considerações Preliminares: A Sentença como Ato Complexo e Terminativo</w:t>
            </w:r>
            <w:r>
              <w:tab/>
            </w:r>
            <w:r>
              <w:fldChar w:fldCharType="begin"/>
            </w:r>
            <w:r>
              <w:instrText xml:space="preserve">PAGEREF _Toc528301748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03E68CC8" wp14:paraId="156AA1E2" wp14:textId="33D263B1">
          <w:pPr>
            <w:pStyle w:val="TOC3"/>
            <w:tabs>
              <w:tab w:val="right" w:leader="dot" w:pos="9015"/>
            </w:tabs>
            <w:bidi w:val="0"/>
          </w:pPr>
          <w:hyperlink w:anchor="_Toc58267242">
            <w:r w:rsidRPr="03E68CC8" w:rsidR="03E68CC8">
              <w:rPr>
                <w:rStyle w:val="Hyperlink"/>
              </w:rPr>
              <w:t>2. Elaboração da Sentença: Estrutura e Conteúdo (arts. 658.º a 665.º)</w:t>
            </w:r>
            <w:r>
              <w:tab/>
            </w:r>
            <w:r>
              <w:fldChar w:fldCharType="begin"/>
            </w:r>
            <w:r>
              <w:instrText xml:space="preserve">PAGEREF _Toc58267242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3E68CC8" wp14:paraId="4F3DC568" wp14:textId="5A9190B2">
          <w:pPr>
            <w:pStyle w:val="TOC4"/>
            <w:tabs>
              <w:tab w:val="right" w:leader="dot" w:pos="9015"/>
            </w:tabs>
            <w:bidi w:val="0"/>
          </w:pPr>
          <w:hyperlink w:anchor="_Toc1983148424">
            <w:r w:rsidRPr="03E68CC8" w:rsidR="03E68CC8">
              <w:rPr>
                <w:rStyle w:val="Hyperlink"/>
              </w:rPr>
              <w:t>a) Fiscalização do Ministério Público (art. 658.º)</w:t>
            </w:r>
            <w:r>
              <w:tab/>
            </w:r>
            <w:r>
              <w:fldChar w:fldCharType="begin"/>
            </w:r>
            <w:r>
              <w:instrText xml:space="preserve">PAGEREF _Toc1983148424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3E68CC8" wp14:paraId="7433A9D5" wp14:textId="0A159570">
          <w:pPr>
            <w:pStyle w:val="TOC4"/>
            <w:tabs>
              <w:tab w:val="right" w:leader="dot" w:pos="9015"/>
            </w:tabs>
            <w:bidi w:val="0"/>
          </w:pPr>
          <w:hyperlink w:anchor="_Toc44459073">
            <w:r w:rsidRPr="03E68CC8" w:rsidR="03E68CC8">
              <w:rPr>
                <w:rStyle w:val="Hyperlink"/>
              </w:rPr>
              <w:t>b) Estrutura Formal da Sentença (art. 659.º)</w:t>
            </w:r>
            <w:r>
              <w:tab/>
            </w:r>
            <w:r>
              <w:fldChar w:fldCharType="begin"/>
            </w:r>
            <w:r>
              <w:instrText xml:space="preserve">PAGEREF _Toc44459073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03E68CC8" wp14:paraId="57A755EE" wp14:textId="524A896A">
          <w:pPr>
            <w:pStyle w:val="TOC4"/>
            <w:tabs>
              <w:tab w:val="right" w:leader="dot" w:pos="9015"/>
            </w:tabs>
            <w:bidi w:val="0"/>
          </w:pPr>
          <w:hyperlink w:anchor="_Toc1521762630">
            <w:r w:rsidRPr="03E68CC8" w:rsidR="03E68CC8">
              <w:rPr>
                <w:rStyle w:val="Hyperlink"/>
              </w:rPr>
              <w:t>c) Princípios Orientadores da Decisão (arts. 660.º a 665.º)</w:t>
            </w:r>
            <w:r>
              <w:tab/>
            </w:r>
            <w:r>
              <w:fldChar w:fldCharType="begin"/>
            </w:r>
            <w:r>
              <w:instrText xml:space="preserve">PAGEREF _Toc1521762630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E68CC8" wp14:paraId="211A89E4" wp14:textId="5C570D1E">
          <w:pPr>
            <w:pStyle w:val="TOC3"/>
            <w:tabs>
              <w:tab w:val="right" w:leader="dot" w:pos="9015"/>
            </w:tabs>
            <w:bidi w:val="0"/>
          </w:pPr>
          <w:hyperlink w:anchor="_Toc1307965891">
            <w:r w:rsidRPr="03E68CC8" w:rsidR="03E68CC8">
              <w:rPr>
                <w:rStyle w:val="Hyperlink"/>
              </w:rPr>
              <w:t>3. Vícios e Reforma da Sentença (arts. 666.º a 670.º)</w:t>
            </w:r>
            <w:r>
              <w:tab/>
            </w:r>
            <w:r>
              <w:fldChar w:fldCharType="begin"/>
            </w:r>
            <w:r>
              <w:instrText xml:space="preserve">PAGEREF _Toc1307965891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E68CC8" wp14:paraId="43323F37" wp14:textId="4ADF1D52">
          <w:pPr>
            <w:pStyle w:val="TOC4"/>
            <w:tabs>
              <w:tab w:val="right" w:leader="dot" w:pos="9015"/>
            </w:tabs>
            <w:bidi w:val="0"/>
          </w:pPr>
          <w:hyperlink w:anchor="_Toc902772961">
            <w:r w:rsidRPr="03E68CC8" w:rsidR="03E68CC8">
              <w:rPr>
                <w:rStyle w:val="Hyperlink"/>
              </w:rPr>
              <w:t>a) Extinção do Poder Jurisdicional e suas Limitações (art. 666.º)</w:t>
            </w:r>
            <w:r>
              <w:tab/>
            </w:r>
            <w:r>
              <w:fldChar w:fldCharType="begin"/>
            </w:r>
            <w:r>
              <w:instrText xml:space="preserve">PAGEREF _Toc902772961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03E68CC8" wp14:paraId="642853A6" wp14:textId="3CE3A3A2">
          <w:pPr>
            <w:pStyle w:val="TOC4"/>
            <w:tabs>
              <w:tab w:val="right" w:leader="dot" w:pos="9015"/>
            </w:tabs>
            <w:bidi w:val="0"/>
          </w:pPr>
          <w:hyperlink w:anchor="_Toc679224689">
            <w:r w:rsidRPr="03E68CC8" w:rsidR="03E68CC8">
              <w:rPr>
                <w:rStyle w:val="Hyperlink"/>
              </w:rPr>
              <w:t>b) Erros Materiais e Nulidades (arts. 667.º e 668.º)</w:t>
            </w:r>
            <w:r>
              <w:tab/>
            </w:r>
            <w:r>
              <w:fldChar w:fldCharType="begin"/>
            </w:r>
            <w:r>
              <w:instrText xml:space="preserve">PAGEREF _Toc679224689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E68CC8" wp14:paraId="557F8F20" wp14:textId="3D1BEE62">
          <w:pPr>
            <w:pStyle w:val="TOC4"/>
            <w:tabs>
              <w:tab w:val="right" w:leader="dot" w:pos="9015"/>
            </w:tabs>
            <w:bidi w:val="0"/>
          </w:pPr>
          <w:hyperlink w:anchor="_Toc832725639">
            <w:r w:rsidRPr="03E68CC8" w:rsidR="03E68CC8">
              <w:rPr>
                <w:rStyle w:val="Hyperlink"/>
              </w:rPr>
              <w:t>c) Esclarecimento e Reforma (arts. 669.º e 670.º)</w:t>
            </w:r>
            <w:r>
              <w:tab/>
            </w:r>
            <w:r>
              <w:fldChar w:fldCharType="begin"/>
            </w:r>
            <w:r>
              <w:instrText xml:space="preserve">PAGEREF _Toc832725639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E68CC8" wp14:paraId="42E627BD" wp14:textId="0CFD0505">
          <w:pPr>
            <w:pStyle w:val="TOC3"/>
            <w:tabs>
              <w:tab w:val="right" w:leader="dot" w:pos="9015"/>
            </w:tabs>
            <w:bidi w:val="0"/>
          </w:pPr>
          <w:hyperlink w:anchor="_Toc1045907782">
            <w:r w:rsidRPr="03E68CC8" w:rsidR="03E68CC8">
              <w:rPr>
                <w:rStyle w:val="Hyperlink"/>
              </w:rPr>
              <w:t>4. Efeitos da Sentença (arts. 671.º a 675.º)</w:t>
            </w:r>
            <w:r>
              <w:tab/>
            </w:r>
            <w:r>
              <w:fldChar w:fldCharType="begin"/>
            </w:r>
            <w:r>
              <w:instrText xml:space="preserve">PAGEREF _Toc1045907782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E68CC8" wp14:paraId="158FBE90" wp14:textId="6876A383">
          <w:pPr>
            <w:pStyle w:val="TOC4"/>
            <w:tabs>
              <w:tab w:val="right" w:leader="dot" w:pos="9015"/>
            </w:tabs>
            <w:bidi w:val="0"/>
          </w:pPr>
          <w:hyperlink w:anchor="_Toc2123169392">
            <w:r w:rsidRPr="03E68CC8" w:rsidR="03E68CC8">
              <w:rPr>
                <w:rStyle w:val="Hyperlink"/>
              </w:rPr>
              <w:t>a) Caso Julgado Material (art. 671.º)</w:t>
            </w:r>
            <w:r>
              <w:tab/>
            </w:r>
            <w:r>
              <w:fldChar w:fldCharType="begin"/>
            </w:r>
            <w:r>
              <w:instrText xml:space="preserve">PAGEREF _Toc2123169392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E68CC8" wp14:paraId="7D2EA32D" wp14:textId="6AA36131">
          <w:pPr>
            <w:pStyle w:val="TOC4"/>
            <w:tabs>
              <w:tab w:val="right" w:leader="dot" w:pos="9015"/>
            </w:tabs>
            <w:bidi w:val="0"/>
          </w:pPr>
          <w:hyperlink w:anchor="_Toc1037628612">
            <w:r w:rsidRPr="03E68CC8" w:rsidR="03E68CC8">
              <w:rPr>
                <w:rStyle w:val="Hyperlink"/>
              </w:rPr>
              <w:t>b) Caso Julgado Formal (art. 672.º)</w:t>
            </w:r>
            <w:r>
              <w:tab/>
            </w:r>
            <w:r>
              <w:fldChar w:fldCharType="begin"/>
            </w:r>
            <w:r>
              <w:instrText xml:space="preserve">PAGEREF _Toc1037628612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03E68CC8" wp14:paraId="548F73F1" wp14:textId="7DBD5E8F">
          <w:pPr>
            <w:pStyle w:val="TOC4"/>
            <w:tabs>
              <w:tab w:val="right" w:leader="dot" w:pos="9015"/>
            </w:tabs>
            <w:bidi w:val="0"/>
          </w:pPr>
          <w:hyperlink w:anchor="_Toc130517999">
            <w:r w:rsidRPr="03E68CC8" w:rsidR="03E68CC8">
              <w:rPr>
                <w:rStyle w:val="Hyperlink"/>
              </w:rPr>
              <w:t>c) Relevância Temporal e o Dogma da Prioridade (arts. 673.º e 675.º)</w:t>
            </w:r>
            <w:r>
              <w:tab/>
            </w:r>
            <w:r>
              <w:fldChar w:fldCharType="begin"/>
            </w:r>
            <w:r>
              <w:instrText xml:space="preserve">PAGEREF _Toc130517999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3E68CC8" wp14:paraId="5AF20E36" wp14:textId="19B70F51">
          <w:pPr>
            <w:pStyle w:val="TOC3"/>
            <w:tabs>
              <w:tab w:val="right" w:leader="dot" w:pos="9015"/>
            </w:tabs>
            <w:bidi w:val="0"/>
          </w:pPr>
          <w:hyperlink w:anchor="_Toc364110538">
            <w:r w:rsidRPr="03E68CC8" w:rsidR="03E68CC8">
              <w:rPr>
                <w:rStyle w:val="Hyperlink"/>
              </w:rPr>
              <w:t>5. A Proibição do Duplo Julgamento e a Extinção do Poder Jurisdicional</w:t>
            </w:r>
            <w:r>
              <w:tab/>
            </w:r>
            <w:r>
              <w:fldChar w:fldCharType="begin"/>
            </w:r>
            <w:r>
              <w:instrText xml:space="preserve">PAGEREF _Toc364110538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03E68CC8" wp14:paraId="562497E4" wp14:textId="35E3DFCE">
          <w:pPr>
            <w:pStyle w:val="TOC3"/>
            <w:tabs>
              <w:tab w:val="right" w:leader="dot" w:pos="9015"/>
            </w:tabs>
            <w:bidi w:val="0"/>
          </w:pPr>
          <w:hyperlink w:anchor="_Toc1658625585">
            <w:r w:rsidRPr="03E68CC8" w:rsidR="03E68CC8">
              <w:rPr>
                <w:rStyle w:val="Hyperlink"/>
              </w:rPr>
              <w:t>6. Conclusão</w:t>
            </w:r>
            <w:r>
              <w:tab/>
            </w:r>
            <w:r>
              <w:fldChar w:fldCharType="begin"/>
            </w:r>
            <w:r>
              <w:instrText xml:space="preserve">PAGEREF _Toc1658625585 \h</w:instrText>
            </w:r>
            <w:r>
              <w:fldChar w:fldCharType="separate"/>
            </w:r>
            <w:r w:rsidRPr="03E68CC8" w:rsidR="03E68CC8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03E68CC8" wp14:paraId="189D2357" wp14:textId="2A3A5CB9">
          <w:pPr>
            <w:bidi w:val="0"/>
            <w:jc w:val="both"/>
          </w:pPr>
          <w:r>
            <w:fldChar w:fldCharType="end"/>
          </w:r>
        </w:p>
      </w:sdtContent>
    </w:sdt>
    <w:p xmlns:wp14="http://schemas.microsoft.com/office/word/2010/wordml" w:rsidP="03E68CC8" wp14:paraId="4145E57F" wp14:textId="33440BBB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03E68CC8" wp14:paraId="3E1210B8" wp14:textId="08BF8BD3">
      <w:pPr>
        <w:jc w:val="both"/>
      </w:pPr>
      <w:r>
        <w:br w:type="page"/>
      </w:r>
    </w:p>
    <w:p xmlns:wp14="http://schemas.microsoft.com/office/word/2010/wordml" w:rsidP="03E68CC8" wp14:paraId="42783F49" wp14:textId="3B6D78BE">
      <w:pPr>
        <w:pStyle w:val="Heading1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bookmarkStart w:name="_Toc528301748" w:id="1447078618"/>
      <w:r w:rsidRPr="03E68CC8" w:rsidR="36CC1628">
        <w:rPr>
          <w:noProof w:val="0"/>
          <w:lang w:val="pt-BR"/>
        </w:rPr>
        <w:t>1. Considerações Preliminares: A Sentença como Ato Complexo e Terminativo</w:t>
      </w:r>
      <w:bookmarkEnd w:id="1447078618"/>
    </w:p>
    <w:p xmlns:wp14="http://schemas.microsoft.com/office/word/2010/wordml" w:rsidP="03E68CC8" wp14:paraId="018EF4A9" wp14:textId="7B79EF01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Capítulo V do Código de Processo Civil (CPC), nos artigos 658.º a 675.º, disciplina a fase final do processo de declaração, regulando a elaboração, os vícios, a reforma e os efeitos da sentença. A sentença, enquanto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03E68CC8" w:rsidR="4ACEEE45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jurisdicional por excelência, representa o culminar da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03E68CC8" w:rsidR="185E28DE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tividade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cognitiva do juiz e a concretização da tutela jurisdicional pretendida pelo autor. Trata-se de um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03E68CC8" w:rsidR="3681366B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complexo, que encerra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uma tríplice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dimensão:</w:t>
      </w:r>
    </w:p>
    <w:p xmlns:wp14="http://schemas.microsoft.com/office/word/2010/wordml" w:rsidP="03E68CC8" wp14:paraId="62C829F3" wp14:textId="3305961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094D1891">
        <w:rPr>
          <w:rFonts w:ascii="Aptos" w:hAnsi="Aptos" w:eastAsia="Aptos" w:cs="Aptos"/>
          <w:noProof w:val="0"/>
          <w:sz w:val="24"/>
          <w:szCs w:val="24"/>
          <w:lang w:val="pt-BR"/>
        </w:rPr>
        <w:t>D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eclaração do direito aplicável ao caso concreto;</w:t>
      </w:r>
    </w:p>
    <w:p xmlns:wp14="http://schemas.microsoft.com/office/word/2010/wordml" w:rsidP="03E68CC8" wp14:paraId="7EAAF615" wp14:textId="54BAB08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1507B338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ondenação ou absolvição da parte;</w:t>
      </w:r>
    </w:p>
    <w:p xmlns:wp14="http://schemas.microsoft.com/office/word/2010/wordml" w:rsidP="03E68CC8" wp14:paraId="0D28100D" wp14:textId="274D06C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2CEC6291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xtinção da instância, nos termos do artigo 287.º, alínea a).</w:t>
      </w:r>
    </w:p>
    <w:p xmlns:wp14="http://schemas.microsoft.com/office/word/2010/wordml" w:rsidP="03E68CC8" wp14:paraId="362B18FE" wp14:textId="703D03C2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sistemática do capítulo evidencia a preocupação do legislador com a correção e a estabilidade da decisão judicial, estabelecendo um rigoroso procedimento para a sua formação, desde a fiscalização do Ministério Público (art. 658.º) até aos mecanismos de correção de erros materiais e de suprimento de nulidades (arts. 667.º a 670.º). O capítulo culmina com a disciplina dos efeitos da sentença, designadamente a força do caso julgado material e formal, que asseguram a definitividade e a imutabilidade da decisão judicial (arts. 671.º a 675.º).</w:t>
      </w:r>
    </w:p>
    <w:p xmlns:wp14="http://schemas.microsoft.com/office/word/2010/wordml" w:rsidP="03E68CC8" wp14:paraId="346DFEA7" wp14:textId="332E54B8">
      <w:pPr>
        <w:pStyle w:val="Heading2"/>
      </w:pPr>
      <w:bookmarkStart w:name="_Toc58267242" w:id="1035665571"/>
      <w:r w:rsidRPr="03E68CC8" w:rsidR="36CC1628">
        <w:rPr>
          <w:noProof w:val="0"/>
          <w:lang w:val="pt-BR"/>
        </w:rPr>
        <w:t>2. Elaboração da Sentença: Estrutura e Conteúdo</w:t>
      </w:r>
      <w:bookmarkEnd w:id="1035665571"/>
    </w:p>
    <w:p xmlns:wp14="http://schemas.microsoft.com/office/word/2010/wordml" w:rsidP="03E68CC8" wp14:paraId="5591FAB7" wp14:textId="121705E5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983148424" w:id="1506950594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a) Fiscalização do Ministério Público (art. 658.º)</w:t>
      </w:r>
      <w:bookmarkEnd w:id="1506950594"/>
    </w:p>
    <w:p xmlns:wp14="http://schemas.microsoft.com/office/word/2010/wordml" w:rsidP="03E68CC8" wp14:paraId="24C60042" wp14:textId="4EEA3A99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processo, depois de concluída a discussão do aspecto jurídico, vai com vista ao Ministério Público para que este se pronuncie sobre a má-fé dos litigantes e promova o procedimento disciplinar contra funcionários negligentes. Esta intervenção revela a função de </w:t>
      </w:r>
      <w:r w:rsidRPr="03E68CC8" w:rsidR="36CC16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custos legis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Ministério Público, atuando como fiscal da legalidade e da regularidade do procedimento, mesmo em causas em que não seja parte.</w:t>
      </w:r>
    </w:p>
    <w:p xmlns:wp14="http://schemas.microsoft.com/office/word/2010/wordml" w:rsidP="03E68CC8" wp14:paraId="3B93A70E" wp14:textId="48871EB7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44459073" w:id="2049898852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 Estrutura Formal da Sentença (art. 659.º)</w:t>
      </w:r>
      <w:bookmarkEnd w:id="2049898852"/>
    </w:p>
    <w:p xmlns:wp14="http://schemas.microsoft.com/office/word/2010/wordml" w:rsidP="03E68CC8" wp14:paraId="18E4738D" wp14:textId="2E91990E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sentença obedece a uma estrutura tripartida:</w:t>
      </w:r>
    </w:p>
    <w:p xmlns:wp14="http://schemas.microsoft.com/office/word/2010/wordml" w:rsidP="03E68CC8" wp14:paraId="1CB61FB2" wp14:textId="3DBE2F3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Relatório: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Exposição concisa do pedido e dos seus fundamentos, dos fundamentos da defesa e das ocorrências processuais relevantes, concluindo com a descrição da causa tal como emergiu da discussão final.</w:t>
      </w:r>
    </w:p>
    <w:p xmlns:wp14="http://schemas.microsoft.com/office/word/2010/wordml" w:rsidP="03E68CC8" wp14:paraId="488BBB8F" wp14:textId="3053432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Fundamentação: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juiz deve tomar em consideração os factos provados por acordo, documentos ou confissão, e os que o tribunal coletivo deu como provados. De seguida, faz o exame crítico das provas e estabelece os factos que considera provados, interpretando e aplicando a lei a esses factos.</w:t>
      </w:r>
    </w:p>
    <w:p xmlns:wp14="http://schemas.microsoft.com/office/word/2010/wordml" w:rsidP="03E68CC8" wp14:paraId="08BD988E" wp14:textId="69EDF76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Decisão: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a parte dispositiva da sentença, onde o juiz conclui pela procedência ou improcedência do pedido, condenando ou absolvendo o réu.</w:t>
      </w:r>
    </w:p>
    <w:p xmlns:wp14="http://schemas.microsoft.com/office/word/2010/wordml" w:rsidP="03E68CC8" wp14:paraId="6E6F06BC" wp14:textId="72B1CCD0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521762630" w:id="120624670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 Princípios Orientadores da Decisão (arts. 660.º a 665.º)</w:t>
      </w:r>
      <w:bookmarkEnd w:id="120624670"/>
    </w:p>
    <w:p xmlns:wp14="http://schemas.microsoft.com/office/word/2010/wordml" w:rsidP="03E68CC8" wp14:paraId="5069DAFD" wp14:textId="6D6AF3D4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 conteúdo da sentença é balizado por princípios estruturantes do processo civil:</w:t>
      </w:r>
    </w:p>
    <w:p xmlns:wp14="http://schemas.microsoft.com/office/word/2010/wordml" w:rsidP="03E68CC8" wp14:paraId="79427CBD" wp14:textId="1D4EAE3A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Ordem de Julgamento (art. 660.º, n.º 1):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juiz deve conhecer, em primeiro lugar, das questões que possam conduzir à absolvição da instância (exce</w:t>
      </w:r>
      <w:r w:rsidRPr="03E68CC8" w:rsidR="75EBD03E">
        <w:rPr>
          <w:rFonts w:ascii="Aptos" w:hAnsi="Aptos" w:eastAsia="Aptos" w:cs="Aptos"/>
          <w:noProof w:val="0"/>
          <w:sz w:val="24"/>
          <w:szCs w:val="24"/>
          <w:lang w:val="pt-BR"/>
        </w:rPr>
        <w:t>p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ções dilatórias), e só depois apreciar o mérito da causa.</w:t>
      </w:r>
    </w:p>
    <w:p xmlns:wp14="http://schemas.microsoft.com/office/word/2010/wordml" w:rsidP="03E68CC8" wp14:paraId="544E7955" wp14:textId="4CF568F8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Limites da Condenação (art. 661.º):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sentença não pode condenar em quantidade superior ou em objeto diverso do que foi pedido </w:t>
      </w:r>
      <w:r w:rsidRPr="03E68CC8" w:rsidR="36CC1628">
        <w:rPr>
          <w:rStyle w:val="SubtleReference"/>
          <w:noProof w:val="0"/>
          <w:lang w:val="pt-BR"/>
        </w:rPr>
        <w:t>(</w:t>
      </w:r>
      <w:r w:rsidRPr="03E68CC8" w:rsidR="36CC1628">
        <w:rPr>
          <w:rStyle w:val="SubtleReference"/>
          <w:noProof w:val="0"/>
          <w:lang w:val="pt-BR"/>
        </w:rPr>
        <w:t>ne eat iudex ultra petita partium</w:t>
      </w:r>
      <w:r w:rsidRPr="03E68CC8" w:rsidR="36CC1628">
        <w:rPr>
          <w:rStyle w:val="SubtleReference"/>
          <w:noProof w:val="0"/>
          <w:lang w:val="pt-BR"/>
        </w:rPr>
        <w:t>)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4B8BA98B" wp14:textId="5C0262C2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Atendibilidade</w:t>
      </w: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dos Factos Supervenientes (art. 663.º):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sentença deve tomar em consideração os factos constitutivos, modificativos ou extintivos do direito que ocorram após a proposição da ação, de modo que a decisão corresponda à situação existente no momento do encerramento da discussão</w:t>
      </w:r>
      <w:r w:rsidRPr="03E68CC8">
        <w:rPr>
          <w:rStyle w:val="FootnoteReference"/>
          <w:rFonts w:ascii="Aptos" w:hAnsi="Aptos" w:eastAsia="Aptos" w:cs="Aptos"/>
          <w:noProof w:val="0"/>
          <w:sz w:val="24"/>
          <w:szCs w:val="24"/>
          <w:lang w:val="pt-BR"/>
        </w:rPr>
        <w:footnoteReference w:id="74"/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784D8A57" wp14:textId="3C813576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Independência do Juiz na Aplicação do Direito (art. 664.º):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juiz não está vinculado às alegações das partes quanto à indagação, interpretação e aplicação das regras de direito </w:t>
      </w:r>
      <w:r w:rsidRPr="03E68CC8" w:rsidR="36CC16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(</w:t>
      </w:r>
      <w:r w:rsidRPr="03E68CC8" w:rsidR="36CC16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iura novit curia</w:t>
      </w:r>
      <w:r w:rsidRPr="03E68CC8" w:rsidR="36CC16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)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 Contudo, só pode servir-se dos factos articulados pelas partes, salvo os factos notórios (art. 514.º).</w:t>
      </w:r>
    </w:p>
    <w:p xmlns:wp14="http://schemas.microsoft.com/office/word/2010/wordml" w:rsidP="03E68CC8" wp14:paraId="360FE19E" wp14:textId="74A36DC0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Uso Anormal do Processo (art. 665.º):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tribunal deve obstar ao objetivo anormal prosseguido pelas partes, quando se convença de que estas se serviram do processo para praticar um a</w:t>
      </w:r>
      <w:r w:rsidRPr="03E68CC8" w:rsidR="3C16181A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 simulado ou para conseguir um fim proibido por lei.</w:t>
      </w:r>
    </w:p>
    <w:p xmlns:wp14="http://schemas.microsoft.com/office/word/2010/wordml" w:rsidP="03E68CC8" wp14:paraId="398B04F3" wp14:textId="5A842B95">
      <w:pPr>
        <w:pStyle w:val="Heading1"/>
      </w:pPr>
      <w:bookmarkStart w:name="_Toc1307965891" w:id="1397900823"/>
      <w:r w:rsidRPr="03E68CC8" w:rsidR="36CC1628">
        <w:rPr>
          <w:noProof w:val="0"/>
          <w:lang w:val="pt-BR"/>
        </w:rPr>
        <w:t>3. Vícios e Reforma da Sentença</w:t>
      </w:r>
      <w:bookmarkEnd w:id="1397900823"/>
    </w:p>
    <w:p xmlns:wp14="http://schemas.microsoft.com/office/word/2010/wordml" w:rsidP="03E68CC8" wp14:paraId="5CFF2408" wp14:textId="2C438E0E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disciplina dos vícios e da reforma da sentença assenta na distinção entre erros materiais e nulidades, e na limitação do poder jurisdicional do juiz após a prolação da decisão.</w:t>
      </w:r>
    </w:p>
    <w:p xmlns:wp14="http://schemas.microsoft.com/office/word/2010/wordml" w:rsidP="03E68CC8" wp14:paraId="6E10F0C0" wp14:textId="38D1A5F0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902772961" w:id="114430047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a) Extinção do Poder Jurisdicional e suas Limitações (art. 666.º)</w:t>
      </w:r>
      <w:bookmarkEnd w:id="114430047"/>
    </w:p>
    <w:p xmlns:wp14="http://schemas.microsoft.com/office/word/2010/wordml" w:rsidP="03E68CC8" wp14:paraId="3F8C8887" wp14:textId="61768CBA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sentença, uma vez proferida, esgota imediatamente o poder jurisdicional do juiz quanto à matéria da causa. Este princípio, que consagra a </w:t>
      </w:r>
      <w:r w:rsidRPr="03E68CC8" w:rsidR="36CC16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preclusão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função jurisdicional, comporta, contudo, três exce</w:t>
      </w:r>
      <w:r w:rsidRPr="03E68CC8" w:rsidR="3452C17A">
        <w:rPr>
          <w:rFonts w:ascii="Aptos" w:hAnsi="Aptos" w:eastAsia="Aptos" w:cs="Aptos"/>
          <w:noProof w:val="0"/>
          <w:sz w:val="24"/>
          <w:szCs w:val="24"/>
          <w:lang w:val="pt-BR"/>
        </w:rPr>
        <w:t>p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ções, que permitem ao juiz:</w:t>
      </w:r>
    </w:p>
    <w:p xmlns:wp14="http://schemas.microsoft.com/office/word/2010/wordml" w:rsidP="03E68CC8" wp14:paraId="214854C1" wp14:textId="33441BD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Retificar erros materiais (art. 667.º).</w:t>
      </w:r>
    </w:p>
    <w:p xmlns:wp14="http://schemas.microsoft.com/office/word/2010/wordml" w:rsidP="03E68CC8" wp14:paraId="75BBA3CA" wp14:textId="2976EC03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Suprir nulidades (art. 668.º).</w:t>
      </w:r>
    </w:p>
    <w:p xmlns:wp14="http://schemas.microsoft.com/office/word/2010/wordml" w:rsidP="03E68CC8" wp14:paraId="55E97D7E" wp14:textId="0FCC371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Esclarecer dúvidas e reformar a sentença quanto a custas e multa (art. 669.º).</w:t>
      </w:r>
    </w:p>
    <w:p xmlns:wp14="http://schemas.microsoft.com/office/word/2010/wordml" w:rsidP="03E68CC8" wp14:paraId="36A1FA15" wp14:textId="215F3F3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natureza destas correções é meramente acessória, não podendo o juiz, sob o pretexto de as realizar, reexaminar o mérito da causa, sob pena de violação do caso julgado formal e de se proibir o duplo julgamento</w:t>
      </w:r>
      <w:r w:rsidRPr="03E68CC8">
        <w:rPr>
          <w:rStyle w:val="FootnoteReference"/>
          <w:rFonts w:ascii="Aptos" w:hAnsi="Aptos" w:eastAsia="Aptos" w:cs="Aptos"/>
          <w:noProof w:val="0"/>
          <w:sz w:val="24"/>
          <w:szCs w:val="24"/>
          <w:lang w:val="pt-BR"/>
        </w:rPr>
        <w:footnoteReference w:id="17158"/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6EB1C558" wp14:textId="6337BDFE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679224689" w:id="517815802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 Erros Materiais e Nulidades (arts. 667.º e 668.º)</w:t>
      </w:r>
      <w:bookmarkEnd w:id="517815802"/>
    </w:p>
    <w:p xmlns:wp14="http://schemas.microsoft.com/office/word/2010/wordml" w:rsidP="03E68CC8" wp14:paraId="0118B91A" wp14:textId="33920EB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Erros Materiais (art. 667.º):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os que resultam de lapso manifesto, como erros de escrita, de cálculo, ou omissões de menções obrigatórias (ex.: nome das partes, custas). São corrigíveis por simples despacho, a requerimento ou oficiosamente.</w:t>
      </w:r>
    </w:p>
    <w:p xmlns:wp14="http://schemas.microsoft.com/office/word/2010/wordml" w:rsidP="03E68CC8" wp14:paraId="62792351" wp14:textId="0FF25A93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Nulidades (art. 668.º):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vícios mais graves, que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afe</w:t>
      </w:r>
      <w:r w:rsidRPr="03E68CC8" w:rsidR="63FF06DF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tam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validade da decisão, como a falta de assinatura do juiz, a ausência de fundamentação, a oposição entre fundamentos e decisão, ou a condenação em obje</w:t>
      </w:r>
      <w:r w:rsidRPr="03E68CC8" w:rsidR="727524AC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 diverso do pedido. As nulidades das alíneas b) a e) do n.º 1 só podem ser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arguídas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perante o tribunal </w:t>
      </w:r>
      <w:r w:rsidRPr="03E68CC8" w:rsidR="36CC16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BR"/>
        </w:rPr>
        <w:t>a quo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a sentença não admitir recurso ordinário; caso contrário, devem ser invocadas em via de recurso (art. 668.º, n.º 3).</w:t>
      </w:r>
    </w:p>
    <w:p xmlns:wp14="http://schemas.microsoft.com/office/word/2010/wordml" w:rsidP="03E68CC8" wp14:paraId="4CD83A87" wp14:textId="3E7D4F75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832725639" w:id="1554560146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 Esclarecimento e Reforma (arts. 669.º e 670.º)</w:t>
      </w:r>
      <w:bookmarkEnd w:id="1554560146"/>
    </w:p>
    <w:p xmlns:wp14="http://schemas.microsoft.com/office/word/2010/wordml" w:rsidP="03E68CC8" wp14:paraId="6259AA00" wp14:textId="758A253F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 artigo 669.º permite às partes requerer o esclarecimento de obscuridades ou ambiguidades, ou a reforma da sentença quanto a custas e multa. Este pedido não tem efeito suspensivo e, se indeferido, não cabe recurso. Se deferido, a decisão é considerada complemento e parte integrante da sentença (art. 670.º, n.º 2), o que é relevante para a contagem dos prazos de recurso.</w:t>
      </w:r>
    </w:p>
    <w:p xmlns:wp14="http://schemas.microsoft.com/office/word/2010/wordml" w:rsidP="03E68CC8" wp14:paraId="57E7A143" wp14:textId="548BAE12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bookmarkStart w:name="_Toc1045907782" w:id="88059050"/>
      <w:r w:rsidRPr="03E68CC8" w:rsidR="36CC1628">
        <w:rPr>
          <w:noProof w:val="0"/>
          <w:lang w:val="pt-BR"/>
        </w:rPr>
        <w:t>4. Efeitos da Sentença (arts. 671.º a 675.º)</w:t>
      </w:r>
      <w:bookmarkEnd w:id="88059050"/>
    </w:p>
    <w:p xmlns:wp14="http://schemas.microsoft.com/office/word/2010/wordml" w:rsidP="03E68CC8" wp14:paraId="2E429BBC" wp14:textId="3C31016E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sentença produz dois tipos fundamentais de efeitos: o efeito processual, que extingue o poder jurisdicional, e o efeito substantivo, que cria o caso julgado material</w:t>
      </w:r>
      <w:r w:rsidRPr="03E68CC8">
        <w:rPr>
          <w:rStyle w:val="FootnoteReference"/>
          <w:rFonts w:ascii="Aptos" w:hAnsi="Aptos" w:eastAsia="Aptos" w:cs="Aptos"/>
          <w:noProof w:val="0"/>
          <w:sz w:val="24"/>
          <w:szCs w:val="24"/>
          <w:lang w:val="pt-BR"/>
        </w:rPr>
        <w:footnoteReference w:id="25919"/>
      </w:r>
      <w:r w:rsidRPr="03E68CC8" w:rsidR="6CF3F31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70909705" wp14:textId="4EDBA6E1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2123169392" w:id="1583863601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a) Caso Julgado Material (art. 671.º)</w:t>
      </w:r>
      <w:bookmarkEnd w:id="1583863601"/>
    </w:p>
    <w:p xmlns:wp14="http://schemas.microsoft.com/office/word/2010/wordml" w:rsidP="03E68CC8" wp14:paraId="1ADA82F2" wp14:textId="512D148D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decisão transitada em julgado adquire força obrigatória dentro do processo e fora dele, nos limites do pedido e da causa de pedir (art. 497.º e seguintes). O caso julgado material confere estabilidade e segurança às relações jurídicas, impedindo que a mesma questão seja novamente apreciada. As exce</w:t>
      </w:r>
      <w:r w:rsidRPr="03E68CC8" w:rsidR="27C9E794">
        <w:rPr>
          <w:rFonts w:ascii="Aptos" w:hAnsi="Aptos" w:eastAsia="Aptos" w:cs="Aptos"/>
          <w:noProof w:val="0"/>
          <w:sz w:val="24"/>
          <w:szCs w:val="24"/>
          <w:lang w:val="pt-BR"/>
        </w:rPr>
        <w:t>p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ções a este princípio são os recursos extraordinários (revisão e oposição de terceiro) e a possibilidade de alteração da sentença em ações de estado ou de prestações periódicas, quando se modifiquem as circunstâncias que determinaram a condenação.</w:t>
      </w:r>
    </w:p>
    <w:p xmlns:wp14="http://schemas.microsoft.com/office/word/2010/wordml" w:rsidP="03E68CC8" wp14:paraId="58E4DEE1" wp14:textId="04402262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037628612" w:id="1046010434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 Caso Julgado Formal (art. 672.º)</w:t>
      </w:r>
      <w:bookmarkEnd w:id="1046010434"/>
    </w:p>
    <w:p xmlns:wp14="http://schemas.microsoft.com/office/word/2010/wordml" w:rsidP="03E68CC8" wp14:paraId="0FA42FB5" wp14:textId="1B27AEBE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As decisões que recaiam unicamente sobre a relação processual (ex.: despachos interlocutórios) têm força obrigatória apenas dentro do processo, salvo se por sua natureza não admitirem recurso de agravo. O caso julgado formal preclui a discussão de questões processuais no mesmo processo, mas não obsta a que a questão seja suscitada em outro processo.</w:t>
      </w:r>
    </w:p>
    <w:p xmlns:wp14="http://schemas.microsoft.com/office/word/2010/wordml" w:rsidP="03E68CC8" wp14:paraId="14F3D465" wp14:textId="2FBC9268">
      <w:pPr>
        <w:pStyle w:val="Heading4"/>
        <w:spacing w:before="319" w:beforeAutospacing="off" w:after="319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bookmarkStart w:name="_Toc130517999" w:id="79083113"/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 Relevância Temporal e o Dogma da Prioridade (arts. 673.º e 675.º)</w:t>
      </w:r>
      <w:bookmarkEnd w:id="79083113"/>
    </w:p>
    <w:p xmlns:wp14="http://schemas.microsoft.com/office/word/2010/wordml" w:rsidP="03E68CC8" wp14:paraId="7C1C40EE" wp14:textId="2028086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 caso julgado material tem eficácia nos precisos termos em que a questão foi decidida (art. 673.º). Se a parte decaiu por não se verificar uma condição, por não ter decorrido um prazo ou por não ter sido praticado um facto, a sentença não obsta a que o pedido se renove quando esses pressupostos se verifiquem. Esta regra assegura que o caso julgado não prejudica direitos futuros, mas apenas a situação concreta que foi decidida</w:t>
      </w:r>
      <w:r w:rsidRPr="03E68CC8">
        <w:rPr>
          <w:rStyle w:val="FootnoteReference"/>
          <w:rFonts w:ascii="Aptos" w:hAnsi="Aptos" w:eastAsia="Aptos" w:cs="Aptos"/>
          <w:noProof w:val="0"/>
          <w:sz w:val="24"/>
          <w:szCs w:val="24"/>
          <w:lang w:val="pt-BR"/>
        </w:rPr>
        <w:footnoteReference w:id="20586"/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3A608D5E" wp14:textId="39348ED8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 artigo 675.º consagra o "dogma da prioridade" (ou princípio da prevalência do caso julgado anterior): havendo duas decisões contraditórias sobre a mesma pretensão, cumprir-se-á a que passou em julgado em primeiro lugar. Este princípio resolve o conflito entre decisões contraditórias, atribuindo prevalência à decisão que se tornou definitiva mais cedo, salvaguardando a segurança jurídica e a estabilidade das relações processuais.</w:t>
      </w:r>
    </w:p>
    <w:p xmlns:wp14="http://schemas.microsoft.com/office/word/2010/wordml" w:rsidP="03E68CC8" wp14:paraId="47669A64" wp14:textId="631B575C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bookmarkStart w:name="_Toc364110538" w:id="2110614517"/>
      <w:r w:rsidRPr="03E68CC8" w:rsidR="36CC1628">
        <w:rPr>
          <w:noProof w:val="0"/>
          <w:lang w:val="pt-BR"/>
        </w:rPr>
        <w:t>5. A Proibição do Duplo Julgamento e a Extinção do Poder Jurisdicional</w:t>
      </w:r>
      <w:bookmarkEnd w:id="2110614517"/>
    </w:p>
    <w:p xmlns:wp14="http://schemas.microsoft.com/office/word/2010/wordml" w:rsidP="03E68CC8" wp14:paraId="202B9501" wp14:textId="0438957F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sentença, enquanto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03E68CC8" w:rsidR="59A591A6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extingue a instância, não pode ser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obje</w:t>
      </w:r>
      <w:r w:rsidRPr="03E68CC8" w:rsidR="7946045B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um novo saneamento ou de uma nova apreciação de mérito no mesmo processo. A proibição do </w:t>
      </w:r>
      <w:r w:rsidRPr="03E68CC8" w:rsidR="36CC16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duplo julgamento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decorre dos artigos 671.º e 672.º, que estabelecem que a decisão transitada em julgado constitui caso julgado </w:t>
      </w: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material e formal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, respe</w:t>
      </w:r>
      <w:r w:rsidRPr="03E68CC8" w:rsidR="4DBE057A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tivamente. O juiz não pode, portanto, no mesmo processo, reabrir a discussão sobre matéria já decidida, sob pena de violar a coisa julgada. Esta proibição é uma concretização do princípio da segurança jurídica e da estabilidade das decisões judiciais.</w:t>
      </w:r>
    </w:p>
    <w:p xmlns:wp14="http://schemas.microsoft.com/office/word/2010/wordml" w:rsidP="03E68CC8" wp14:paraId="774600ED" wp14:textId="60FD4CF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artigo 666.º, ao estabelecer que </w:t>
      </w:r>
      <w:r w:rsidRPr="03E68CC8" w:rsidR="36CC1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"proferida a sentença, fica imediatamente esgotado o poder jurisdicional do juiz quanto à matéria da causa"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consagra a </w:t>
      </w:r>
      <w:r w:rsidRPr="03E68CC8" w:rsidR="36CC16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preclusão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função jurisdicional. Este esgotamento do poder jurisdicional não é absoluto, pois admite correções acessórias (erros materiais, nulidades, esclarecimentos), mas é irrevogável quanto ao mérito da causa. Este princípio está intrinsecamente ligado ao princípio dispositivo e ao dever de impulso processual das partes (art. 264.º), uma vez que é a atividade das partes que provoca e delimita a 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03E68CC8" w:rsidR="16606604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tuação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jurisdicional. O juiz, finda a sua tarefa de julgar, não pode, por iniciativa própria ou a requerimento das partes, reavaliar a matéria já decidida, salvo nas exceções legais</w:t>
      </w:r>
      <w:r w:rsidRPr="03E68CC8">
        <w:rPr>
          <w:rStyle w:val="FootnoteReference"/>
          <w:rFonts w:ascii="Aptos" w:hAnsi="Aptos" w:eastAsia="Aptos" w:cs="Aptos"/>
          <w:noProof w:val="0"/>
          <w:sz w:val="24"/>
          <w:szCs w:val="24"/>
          <w:lang w:val="pt-BR"/>
        </w:rPr>
        <w:footnoteReference w:id="13916"/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03E68CC8" wp14:paraId="6AD27E8C" wp14:textId="3C74ED20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p14:paraId="74CC22CF" wp14:textId="2F49C49A">
      <w:r>
        <w:br w:type="page"/>
      </w:r>
    </w:p>
    <w:p xmlns:wp14="http://schemas.microsoft.com/office/word/2010/wordml" w:rsidP="03E68CC8" wp14:paraId="490144B9" wp14:textId="1E50849A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bookmarkStart w:name="_Toc1658625585" w:id="364472481"/>
      <w:r w:rsidRPr="03E68CC8" w:rsidR="36CC1628">
        <w:rPr>
          <w:noProof w:val="0"/>
          <w:lang w:val="pt-BR"/>
        </w:rPr>
        <w:t>6. Conclusão</w:t>
      </w:r>
      <w:bookmarkEnd w:id="364472481"/>
    </w:p>
    <w:p xmlns:wp14="http://schemas.microsoft.com/office/word/2010/wordml" w:rsidP="03E68CC8" wp14:paraId="7B6AC1B2" wp14:textId="1E6D29BD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O Capítulo V do CPC, "Da Sentença", revela-se como um microcosmo do processo civil, onde se condensam os princípios fundamentais que orientam a função jurisdicional: a correção formal e substancial da decisão, a segurança jurídica e a estabilidade dos julgados, e a delimitação do poder do juiz. A sentença não é apenas o a</w:t>
      </w:r>
      <w:r w:rsidRPr="03E68CC8" w:rsidR="1CEA840C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 que põe termo à instância, mas o a</w:t>
      </w:r>
      <w:r w:rsidRPr="03E68CC8" w:rsidR="2FE14E76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to que realiza a justiça material, nos limites traçados pelo pedido e pela causa de pedir, e que, pelo trânsito em julgado, se torna imutável e vinculativa para as partes.</w:t>
      </w:r>
    </w:p>
    <w:p xmlns:wp14="http://schemas.microsoft.com/office/word/2010/wordml" w:rsidP="03E68CC8" wp14:paraId="1E207724" wp14:textId="509515C4">
      <w:pPr>
        <w:spacing w:before="240" w:beforeAutospacing="off" w:after="240" w:afterAutospacing="off"/>
        <w:jc w:val="both"/>
      </w:pP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A disciplina dos vícios da sentença, a distinção entre caso julgado material e formal, e a proibição do duplo julgamento são mecanismos essenciais para garantir a efe</w:t>
      </w:r>
      <w:r w:rsidRPr="03E68CC8" w:rsidR="05C0284D">
        <w:rPr>
          <w:rFonts w:ascii="Aptos" w:hAnsi="Aptos" w:eastAsia="Aptos" w:cs="Aptos"/>
          <w:noProof w:val="0"/>
          <w:sz w:val="24"/>
          <w:szCs w:val="24"/>
          <w:lang w:val="pt-BR"/>
        </w:rPr>
        <w:t>c</w:t>
      </w:r>
      <w:r w:rsidRPr="03E68CC8" w:rsidR="36CC1628">
        <w:rPr>
          <w:rFonts w:ascii="Aptos" w:hAnsi="Aptos" w:eastAsia="Aptos" w:cs="Aptos"/>
          <w:noProof w:val="0"/>
          <w:sz w:val="24"/>
          <w:szCs w:val="24"/>
          <w:lang w:val="pt-BR"/>
        </w:rPr>
        <w:t>tividade da tutela jurisdicional, evitando a perpetuação de litígios e assegurando que a decisão judicial, uma vez definitiva, se imponha como verdade legal. O artigo 666.º, ao declarar extinto o poder jurisdicional, com a ressalva das correções acessórias, sintetiza a tensão entre a necessidade de justiça (que exigiria uma revisão infinita) e a necessidade de paz social (que exige a definitividade da decisão). Esta tensão é resolvida pela lei processual a favor da estabilidade, consagrando o caso julgado como um pilar do Estado de Direito.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03E68CC8" w:rsidRDefault="03E68CC8" w14:paraId="5318B538" w14:textId="0A5FB36F">
      <w:pPr>
        <w:spacing w:after="0" w:line="240" w:lineRule="auto"/>
      </w:pPr>
      <w:r>
        <w:separator/>
      </w:r>
    </w:p>
  </w:footnote>
  <w:footnote w:type="continuationSeparator" w:id="0">
    <w:p w:rsidR="03E68CC8" w:rsidRDefault="03E68CC8" w14:paraId="12A461A6" w14:textId="4CE244A1">
      <w:pPr>
        <w:spacing w:after="0" w:line="240" w:lineRule="auto"/>
      </w:pPr>
      <w:r>
        <w:continuationSeparator/>
      </w:r>
    </w:p>
  </w:footnote>
  <w:footnote w:id="74">
    <w:p w:rsidR="03E68CC8" w:rsidP="03E68CC8" w:rsidRDefault="03E68CC8" w14:paraId="3AEEB066" w14:textId="2614FA11">
      <w:pPr>
        <w:pStyle w:val="FootnoteText"/>
        <w:bidi w:val="0"/>
        <w:ind w:firstLine="0"/>
        <w:jc w:val="both"/>
      </w:pPr>
      <w:r w:rsidRPr="03E68CC8">
        <w:rPr>
          <w:rStyle w:val="FootnoteReference"/>
          <w:rFonts w:ascii="Aptos" w:hAnsi="Aptos" w:eastAsia="Aptos" w:cs="Aptos"/>
          <w:sz w:val="20"/>
          <w:szCs w:val="20"/>
        </w:rPr>
        <w:footnoteRef/>
      </w:r>
      <w:r w:rsidRPr="03E68CC8" w:rsidR="03E68CC8">
        <w:rPr>
          <w:rFonts w:ascii="Aptos" w:hAnsi="Aptos" w:eastAsia="Aptos" w:cs="Aptos"/>
          <w:sz w:val="20"/>
          <w:szCs w:val="20"/>
        </w:rPr>
        <w:t xml:space="preserve"> A relevância temporal dos factos supervenientes (art. 663.º) é um corolário do princípio da adequação da decisão à realidade fática. O juiz deve considerar os factos ocorridos durante o processo, desde que tenham influência na relação controvertida. Esta regra não se confunde com a prescrição ou caducidade, que são institutos de direito substantivo que extingue o direito, mas com a necessidade de a decisão refletir a situação actual, evitando decisões inúteis ou injustas.</w:t>
      </w:r>
    </w:p>
  </w:footnote>
  <w:footnote w:id="17158">
    <w:p w:rsidR="03E68CC8" w:rsidP="03E68CC8" w:rsidRDefault="03E68CC8" w14:paraId="1B3CF61A" w14:textId="1023AB5A">
      <w:pPr>
        <w:pStyle w:val="FootnoteText"/>
        <w:bidi w:val="0"/>
        <w:ind w:firstLine="0"/>
        <w:jc w:val="both"/>
        <w:rPr>
          <w:rFonts w:ascii="Aptos" w:hAnsi="Aptos" w:eastAsia="Aptos"/>
          <w:noProof w:val="0"/>
          <w:sz w:val="20"/>
          <w:szCs w:val="20"/>
          <w:lang w:val="pt-BR"/>
        </w:rPr>
      </w:pPr>
      <w:r w:rsidRPr="03E68CC8">
        <w:rPr>
          <w:rStyle w:val="FootnoteReference"/>
          <w:rFonts w:ascii="Aptos" w:hAnsi="Aptos" w:eastAsia="Aptos" w:cs="Aptos"/>
          <w:sz w:val="20"/>
          <w:szCs w:val="20"/>
        </w:rPr>
        <w:footnoteRef/>
      </w:r>
      <w:r w:rsidRPr="03E68CC8" w:rsidR="03E68CC8">
        <w:rPr>
          <w:rFonts w:ascii="Aptos" w:hAnsi="Aptos" w:eastAsia="Aptos" w:cs="Aptos"/>
          <w:sz w:val="20"/>
          <w:szCs w:val="20"/>
        </w:rPr>
        <w:t xml:space="preserve"> </w:t>
      </w:r>
      <w:r w:rsidRPr="03E68CC8" w:rsidR="03E68CC8">
        <w:rPr>
          <w:rFonts w:ascii="Aptos" w:hAnsi="Aptos" w:eastAsia="Aptos" w:cs="Aptos"/>
          <w:noProof w:val="0"/>
          <w:sz w:val="20"/>
          <w:szCs w:val="20"/>
          <w:lang w:val="pt-BR"/>
        </w:rPr>
        <w:t>O artigo 666.º, ao esgotar o poder jurisdicional, impede que o juiz, sob o pretexto de corrigir erros, reabra o julgamento. A proibição do duplo julgamento (art. 671.º e 672.º) é uma garantia da segurança jurídica e da estabilidade das decisões, impedindo que a mesma questão seja julgada duas vezes no mesmo processo.</w:t>
      </w:r>
    </w:p>
  </w:footnote>
  <w:footnote w:id="25919">
    <w:p w:rsidR="03E68CC8" w:rsidP="03E68CC8" w:rsidRDefault="03E68CC8" w14:paraId="1C90B2DA" w14:textId="0B51CC0F">
      <w:pPr>
        <w:pStyle w:val="FootnoteText"/>
        <w:bidi w:val="0"/>
        <w:rPr>
          <w:rFonts w:ascii="Aptos" w:hAnsi="Aptos" w:eastAsia="Aptos"/>
          <w:noProof w:val="0"/>
          <w:sz w:val="20"/>
          <w:szCs w:val="20"/>
          <w:lang w:val="pt-BR"/>
        </w:rPr>
      </w:pPr>
      <w:r w:rsidRPr="03E68CC8">
        <w:rPr>
          <w:rStyle w:val="FootnoteReference"/>
        </w:rPr>
        <w:footnoteRef/>
      </w:r>
      <w:r w:rsidR="03E68CC8">
        <w:rPr/>
        <w:t xml:space="preserve"> </w:t>
      </w:r>
      <w:r w:rsidRPr="03E68CC8" w:rsidR="03E68CC8">
        <w:rPr>
          <w:rFonts w:ascii="Aptos" w:hAnsi="Aptos" w:eastAsia="Aptos"/>
          <w:noProof w:val="0"/>
          <w:sz w:val="20"/>
          <w:szCs w:val="20"/>
          <w:lang w:val="pt-BR"/>
        </w:rPr>
        <w:t>O efeito processual (art. 666.º) extingue o poder jurisdicional, enquanto o efeito substantivo (art. 671.º) cria a obrigação de cumprir a decisão e a preclusão da discussão sobre a mesma questão.</w:t>
      </w:r>
    </w:p>
  </w:footnote>
  <w:footnote w:id="20586">
    <w:p w:rsidR="03E68CC8" w:rsidP="03E68CC8" w:rsidRDefault="03E68CC8" w14:paraId="14BCCB97" w14:textId="54ADBEFB">
      <w:pPr>
        <w:pStyle w:val="FootnoteText"/>
        <w:bidi w:val="0"/>
        <w:jc w:val="both"/>
        <w:rPr>
          <w:rFonts w:ascii="Aptos" w:hAnsi="Aptos" w:eastAsia="Aptos"/>
          <w:noProof w:val="0"/>
          <w:sz w:val="20"/>
          <w:szCs w:val="20"/>
          <w:lang w:val="pt-BR"/>
        </w:rPr>
      </w:pPr>
      <w:r w:rsidRPr="03E68CC8">
        <w:rPr>
          <w:rStyle w:val="FootnoteReference"/>
        </w:rPr>
        <w:footnoteRef/>
      </w:r>
      <w:r w:rsidR="03E68CC8">
        <w:rPr/>
        <w:t xml:space="preserve"> </w:t>
      </w:r>
      <w:r w:rsidRPr="03E68CC8" w:rsidR="03E68CC8">
        <w:rPr>
          <w:rFonts w:ascii="Aptos" w:hAnsi="Aptos" w:eastAsia="Aptos"/>
          <w:noProof w:val="0"/>
          <w:sz w:val="20"/>
          <w:szCs w:val="20"/>
          <w:lang w:val="pt-BR"/>
        </w:rPr>
        <w:t>A regra do artigo 673.º é uma aplicação do princípio de que o caso julgado se limita ao que foi efetivamente decidido, não abrangendo situações futuras ou hipotéticas. O "não uso" do direito, ou seja, a inércia da parte, não é afetado pelo caso julgado, pois a prescrição e a caducidade são questões de direito substantivo que devem ser apreciadas autonomamente.</w:t>
      </w:r>
    </w:p>
  </w:footnote>
  <w:footnote w:id="13916">
    <w:p w:rsidR="03E68CC8" w:rsidP="03E68CC8" w:rsidRDefault="03E68CC8" w14:paraId="46DAE051" w14:textId="35F4A1A8">
      <w:pPr>
        <w:pStyle w:val="FootnoteText"/>
        <w:bidi w:val="0"/>
        <w:jc w:val="both"/>
        <w:rPr>
          <w:rFonts w:ascii="Aptos" w:hAnsi="Aptos" w:eastAsia="Aptos"/>
          <w:noProof w:val="0"/>
          <w:sz w:val="20"/>
          <w:szCs w:val="20"/>
          <w:lang w:val="pt-BR"/>
        </w:rPr>
      </w:pPr>
      <w:r w:rsidRPr="03E68CC8">
        <w:rPr>
          <w:rStyle w:val="FootnoteReference"/>
        </w:rPr>
        <w:footnoteRef/>
      </w:r>
      <w:r w:rsidR="03E68CC8">
        <w:rPr/>
        <w:t xml:space="preserve"> </w:t>
      </w:r>
      <w:r w:rsidRPr="03E68CC8" w:rsidR="03E68CC8">
        <w:rPr>
          <w:rFonts w:ascii="Aptos" w:hAnsi="Aptos" w:eastAsia="Aptos"/>
          <w:noProof w:val="0"/>
          <w:sz w:val="20"/>
          <w:szCs w:val="20"/>
          <w:lang w:val="pt-BR"/>
        </w:rPr>
        <w:t xml:space="preserve"> O artigo 666.º, com a remissão implícita para o artigo 264.º, que consagra o princípio dispositivo e o dever de impulso processual das partes, evidencia que o processo é um instrumento das partes, e que o juiz, após a sentença, não pode actuar oficiosamente para modificar a decisão, salvo nas hipóteses excepcionais previstas na lei (erros materiais, nulidades, esclarecimentos).</w:t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75fcb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590be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e4dec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ec7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bce2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ac6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d6f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C8F7D0"/>
    <w:rsid w:val="03E68CC8"/>
    <w:rsid w:val="05C0284D"/>
    <w:rsid w:val="066867D3"/>
    <w:rsid w:val="094D1891"/>
    <w:rsid w:val="1507B338"/>
    <w:rsid w:val="16606604"/>
    <w:rsid w:val="185E28DE"/>
    <w:rsid w:val="19F7EE95"/>
    <w:rsid w:val="1B77190C"/>
    <w:rsid w:val="1CEA840C"/>
    <w:rsid w:val="1DACE5AB"/>
    <w:rsid w:val="27C9E794"/>
    <w:rsid w:val="29DA4FFA"/>
    <w:rsid w:val="2B5AA9A6"/>
    <w:rsid w:val="2CEC6291"/>
    <w:rsid w:val="2D5C7C2E"/>
    <w:rsid w:val="2E4F6CC9"/>
    <w:rsid w:val="2FE14E76"/>
    <w:rsid w:val="3113E376"/>
    <w:rsid w:val="31BCDA56"/>
    <w:rsid w:val="31C8F7D0"/>
    <w:rsid w:val="3452C17A"/>
    <w:rsid w:val="3681366B"/>
    <w:rsid w:val="36CC1628"/>
    <w:rsid w:val="381F1AF3"/>
    <w:rsid w:val="3A858B04"/>
    <w:rsid w:val="3C16181A"/>
    <w:rsid w:val="3F711AB0"/>
    <w:rsid w:val="3F8B7232"/>
    <w:rsid w:val="4244A078"/>
    <w:rsid w:val="466B01D7"/>
    <w:rsid w:val="48B25B28"/>
    <w:rsid w:val="4ACEEE45"/>
    <w:rsid w:val="4DBE057A"/>
    <w:rsid w:val="4E7D3D80"/>
    <w:rsid w:val="515D3651"/>
    <w:rsid w:val="587C08D3"/>
    <w:rsid w:val="58F63A6A"/>
    <w:rsid w:val="59A591A6"/>
    <w:rsid w:val="5BCDDC22"/>
    <w:rsid w:val="63FF06DF"/>
    <w:rsid w:val="6542F230"/>
    <w:rsid w:val="69156342"/>
    <w:rsid w:val="6A20D31E"/>
    <w:rsid w:val="6A2EFF29"/>
    <w:rsid w:val="6A53ED3F"/>
    <w:rsid w:val="6CF3F31B"/>
    <w:rsid w:val="727524AC"/>
    <w:rsid w:val="75EBD03E"/>
    <w:rsid w:val="7677D450"/>
    <w:rsid w:val="789B7966"/>
    <w:rsid w:val="7946045B"/>
    <w:rsid w:val="7FE3E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B76A"/>
  <w15:chartTrackingRefBased/>
  <w15:docId w15:val="{C24A28EC-B921-48E0-9D3B-733F8643B9FD}"/>
  <w:footnotePr>
    <w:footnote w:id="-1"/>
    <w:footnote w:id="0"/>
  </w:foot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3E68C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E68C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E68CC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itle">
    <w:uiPriority w:val="10"/>
    <w:name w:val="Title"/>
    <w:basedOn w:val="Normal"/>
    <w:next w:val="Normal"/>
    <w:qFormat/>
    <w:rsid w:val="03E68CC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3E68CC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3E68C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3E68CC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3E68CC8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03E68CC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3E68CC8"/>
    <w:pPr>
      <w:spacing w:after="100"/>
      <w:ind w:left="660"/>
    </w:pPr>
  </w:style>
  <w:style w:type="character" w:styleId="SubtleReference">
    <w:uiPriority w:val="31"/>
    <w:name w:val="Subtle Reference"/>
    <w:basedOn w:val="DefaultParagraphFont"/>
    <w:qFormat/>
    <w:rsid w:val="03E68CC8"/>
    <w:rPr>
      <w:smallCaps w:val="1"/>
      <w:color w:val="5A5A5A"/>
    </w:rPr>
  </w:style>
  <w:style w:type="paragraph" w:styleId="FootnoteText">
    <w:uiPriority w:val="99"/>
    <w:name w:val="footnote text"/>
    <w:basedOn w:val="Normal"/>
    <w:semiHidden/>
    <w:unhideWhenUsed/>
    <w:rsid w:val="03E68CC8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03E68CC8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03E68CC8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03E68C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footnotes.xml" Id="Rc063300a80e648ba" /><Relationship Type="http://schemas.openxmlformats.org/officeDocument/2006/relationships/numbering" Target="numbering.xml" Id="R8294829c3e2e44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2026-06-23T20:57:48.1774672Z</dcterms:created>
  <dcterms:modified xsi:type="dcterms:W3CDTF">2026-06-25T17:50:01.9186100Z</dcterms:modified>
  <dc:creator>Sandro Filipe</dc:creator>
  <lastModifiedBy>Sandro Filipe</lastModifiedBy>
</coreProperties>
</file>