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B75570" wp14:paraId="3A136737" wp14:textId="063288ED">
      <w:pPr>
        <w:pStyle w:val="Title"/>
      </w:pPr>
      <w:r w:rsidRPr="13B75570" w:rsidR="118C2A30">
        <w:rPr>
          <w:noProof w:val="0"/>
          <w:lang w:val="pt-BR"/>
        </w:rPr>
        <w:t>Dos Recursos</w:t>
      </w:r>
    </w:p>
    <w:sdt>
      <w:sdtPr>
        <w:id w:val="121249318"/>
        <w:docPartObj>
          <w:docPartGallery w:val="Table of Contents"/>
          <w:docPartUnique/>
        </w:docPartObj>
      </w:sdtPr>
      <w:sdtContent>
        <w:p xmlns:wp14="http://schemas.microsoft.com/office/word/2010/wordml" w:rsidP="39FA0A2E" wp14:paraId="20BC6E9B" wp14:textId="0DA95B34">
          <w:pPr>
            <w:pStyle w:val="TOC1"/>
            <w:tabs>
              <w:tab w:val="right" w:leader="dot" w:pos="9015"/>
            </w:tabs>
          </w:pPr>
          <w:r>
            <w:fldChar w:fldCharType="begin"/>
          </w:r>
          <w:r>
            <w:instrText xml:space="preserve">TOC \o "1-9" \z \u \h</w:instrText>
          </w:r>
          <w:r>
            <w:fldChar w:fldCharType="separate"/>
          </w:r>
          <w:hyperlink w:anchor="_Toc1030713181">
            <w:r w:rsidRPr="39FA0A2E" w:rsidR="39FA0A2E">
              <w:rPr>
                <w:rStyle w:val="Hyperlink"/>
              </w:rPr>
              <w:t>1. Considerações Preliminares: A Impugnação como Garantia de Justiça</w:t>
            </w:r>
            <w:r>
              <w:tab/>
            </w:r>
            <w:r>
              <w:fldChar w:fldCharType="begin"/>
            </w:r>
            <w:r>
              <w:instrText xml:space="preserve">PAGEREF _Toc1030713181 \h</w:instrText>
            </w:r>
            <w:r>
              <w:fldChar w:fldCharType="separate"/>
            </w:r>
            <w:r w:rsidRPr="39FA0A2E" w:rsidR="39FA0A2E">
              <w:rPr>
                <w:rStyle w:val="Hyperlink"/>
              </w:rPr>
              <w:t>1</w:t>
            </w:r>
            <w:r>
              <w:fldChar w:fldCharType="end"/>
            </w:r>
          </w:hyperlink>
        </w:p>
        <w:p xmlns:wp14="http://schemas.microsoft.com/office/word/2010/wordml" w:rsidP="39FA0A2E" wp14:paraId="67236B75" wp14:textId="5A861F37">
          <w:pPr>
            <w:pStyle w:val="TOC1"/>
            <w:tabs>
              <w:tab w:val="right" w:leader="dot" w:pos="9015"/>
            </w:tabs>
          </w:pPr>
          <w:hyperlink w:anchor="_Toc1596201078">
            <w:r w:rsidRPr="39FA0A2E" w:rsidR="39FA0A2E">
              <w:rPr>
                <w:rStyle w:val="Hyperlink"/>
              </w:rPr>
              <w:t>2. Espécies de Recursos e Admissibilidade (arts. 676.º a 687.º)</w:t>
            </w:r>
            <w:r>
              <w:tab/>
            </w:r>
            <w:r>
              <w:fldChar w:fldCharType="begin"/>
            </w:r>
            <w:r>
              <w:instrText xml:space="preserve">PAGEREF _Toc1596201078 \h</w:instrText>
            </w:r>
            <w:r>
              <w:fldChar w:fldCharType="separate"/>
            </w:r>
            <w:r w:rsidRPr="39FA0A2E" w:rsidR="39FA0A2E">
              <w:rPr>
                <w:rStyle w:val="Hyperlink"/>
              </w:rPr>
              <w:t>1</w:t>
            </w:r>
            <w:r>
              <w:fldChar w:fldCharType="end"/>
            </w:r>
          </w:hyperlink>
        </w:p>
        <w:p xmlns:wp14="http://schemas.microsoft.com/office/word/2010/wordml" w:rsidP="39FA0A2E" wp14:paraId="0D9C64E2" wp14:textId="7FBD48B6">
          <w:pPr>
            <w:pStyle w:val="TOC4"/>
            <w:tabs>
              <w:tab w:val="right" w:leader="dot" w:pos="9015"/>
            </w:tabs>
          </w:pPr>
          <w:hyperlink w:anchor="_Toc1157978674">
            <w:r w:rsidRPr="39FA0A2E" w:rsidR="39FA0A2E">
              <w:rPr>
                <w:rStyle w:val="Hyperlink"/>
              </w:rPr>
              <w:t>a) Classificação dos Recursos (art. 676.º)</w:t>
            </w:r>
            <w:r>
              <w:tab/>
            </w:r>
            <w:r>
              <w:fldChar w:fldCharType="begin"/>
            </w:r>
            <w:r>
              <w:instrText xml:space="preserve">PAGEREF _Toc1157978674 \h</w:instrText>
            </w:r>
            <w:r>
              <w:fldChar w:fldCharType="separate"/>
            </w:r>
            <w:r w:rsidRPr="39FA0A2E" w:rsidR="39FA0A2E">
              <w:rPr>
                <w:rStyle w:val="Hyperlink"/>
              </w:rPr>
              <w:t>1</w:t>
            </w:r>
            <w:r>
              <w:fldChar w:fldCharType="end"/>
            </w:r>
          </w:hyperlink>
        </w:p>
        <w:p xmlns:wp14="http://schemas.microsoft.com/office/word/2010/wordml" w:rsidP="39FA0A2E" wp14:paraId="3B954D78" wp14:textId="702ABFBB">
          <w:pPr>
            <w:pStyle w:val="TOC4"/>
            <w:tabs>
              <w:tab w:val="right" w:leader="dot" w:pos="9015"/>
            </w:tabs>
          </w:pPr>
          <w:hyperlink w:anchor="_Toc1552226911">
            <w:r w:rsidRPr="39FA0A2E" w:rsidR="39FA0A2E">
              <w:rPr>
                <w:rStyle w:val="Hyperlink"/>
              </w:rPr>
              <w:t>b) Requisitos Gerais de Admissibilidade (arts. 678.º a 687.º)</w:t>
            </w:r>
            <w:r>
              <w:tab/>
            </w:r>
            <w:r>
              <w:fldChar w:fldCharType="begin"/>
            </w:r>
            <w:r>
              <w:instrText xml:space="preserve">PAGEREF _Toc1552226911 \h</w:instrText>
            </w:r>
            <w:r>
              <w:fldChar w:fldCharType="separate"/>
            </w:r>
            <w:r w:rsidRPr="39FA0A2E" w:rsidR="39FA0A2E">
              <w:rPr>
                <w:rStyle w:val="Hyperlink"/>
              </w:rPr>
              <w:t>2</w:t>
            </w:r>
            <w:r>
              <w:fldChar w:fldCharType="end"/>
            </w:r>
          </w:hyperlink>
        </w:p>
        <w:p xmlns:wp14="http://schemas.microsoft.com/office/word/2010/wordml" w:rsidP="39FA0A2E" wp14:paraId="736D604D" wp14:textId="68E4E257">
          <w:pPr>
            <w:pStyle w:val="TOC1"/>
            <w:tabs>
              <w:tab w:val="right" w:leader="dot" w:pos="9015"/>
            </w:tabs>
          </w:pPr>
          <w:hyperlink w:anchor="_Toc1544461397">
            <w:r w:rsidRPr="39FA0A2E" w:rsidR="39FA0A2E">
              <w:rPr>
                <w:rStyle w:val="Hyperlink"/>
              </w:rPr>
              <w:t>3. Recursos Ordinários: Apelação, Revista e Agravo</w:t>
            </w:r>
            <w:r>
              <w:tab/>
            </w:r>
            <w:r>
              <w:fldChar w:fldCharType="begin"/>
            </w:r>
            <w:r>
              <w:instrText xml:space="preserve">PAGEREF _Toc1544461397 \h</w:instrText>
            </w:r>
            <w:r>
              <w:fldChar w:fldCharType="separate"/>
            </w:r>
            <w:r w:rsidRPr="39FA0A2E" w:rsidR="39FA0A2E">
              <w:rPr>
                <w:rStyle w:val="Hyperlink"/>
              </w:rPr>
              <w:t>2</w:t>
            </w:r>
            <w:r>
              <w:fldChar w:fldCharType="end"/>
            </w:r>
          </w:hyperlink>
        </w:p>
        <w:p xmlns:wp14="http://schemas.microsoft.com/office/word/2010/wordml" w:rsidP="39FA0A2E" wp14:paraId="0651C9D5" wp14:textId="21C6408B">
          <w:pPr>
            <w:pStyle w:val="TOC4"/>
            <w:tabs>
              <w:tab w:val="right" w:leader="dot" w:pos="9015"/>
            </w:tabs>
          </w:pPr>
          <w:hyperlink w:anchor="_Toc1590407535">
            <w:r w:rsidRPr="39FA0A2E" w:rsidR="39FA0A2E">
              <w:rPr>
                <w:rStyle w:val="Hyperlink"/>
              </w:rPr>
              <w:t>a) Apelação (arts. 691.º a 720.º)</w:t>
            </w:r>
            <w:r>
              <w:tab/>
            </w:r>
            <w:r>
              <w:fldChar w:fldCharType="begin"/>
            </w:r>
            <w:r>
              <w:instrText xml:space="preserve">PAGEREF _Toc1590407535 \h</w:instrText>
            </w:r>
            <w:r>
              <w:fldChar w:fldCharType="separate"/>
            </w:r>
            <w:r w:rsidRPr="39FA0A2E" w:rsidR="39FA0A2E">
              <w:rPr>
                <w:rStyle w:val="Hyperlink"/>
              </w:rPr>
              <w:t>2</w:t>
            </w:r>
            <w:r>
              <w:fldChar w:fldCharType="end"/>
            </w:r>
          </w:hyperlink>
        </w:p>
        <w:p xmlns:wp14="http://schemas.microsoft.com/office/word/2010/wordml" w:rsidP="39FA0A2E" wp14:paraId="2CAF496D" wp14:textId="63271177">
          <w:pPr>
            <w:pStyle w:val="TOC4"/>
            <w:tabs>
              <w:tab w:val="right" w:leader="dot" w:pos="9015"/>
            </w:tabs>
          </w:pPr>
          <w:hyperlink w:anchor="_Toc299158257">
            <w:r w:rsidRPr="39FA0A2E" w:rsidR="39FA0A2E">
              <w:rPr>
                <w:rStyle w:val="Hyperlink"/>
              </w:rPr>
              <w:t>b) Recurso de Revista (arts. 721.º a 732.º)</w:t>
            </w:r>
            <w:r>
              <w:tab/>
            </w:r>
            <w:r>
              <w:fldChar w:fldCharType="begin"/>
            </w:r>
            <w:r>
              <w:instrText xml:space="preserve">PAGEREF _Toc299158257 \h</w:instrText>
            </w:r>
            <w:r>
              <w:fldChar w:fldCharType="separate"/>
            </w:r>
            <w:r w:rsidRPr="39FA0A2E" w:rsidR="39FA0A2E">
              <w:rPr>
                <w:rStyle w:val="Hyperlink"/>
              </w:rPr>
              <w:t>3</w:t>
            </w:r>
            <w:r>
              <w:fldChar w:fldCharType="end"/>
            </w:r>
          </w:hyperlink>
        </w:p>
        <w:p xmlns:wp14="http://schemas.microsoft.com/office/word/2010/wordml" w:rsidP="39FA0A2E" wp14:paraId="4D672362" wp14:textId="7E41E121">
          <w:pPr>
            <w:pStyle w:val="TOC4"/>
            <w:tabs>
              <w:tab w:val="right" w:leader="dot" w:pos="9015"/>
            </w:tabs>
          </w:pPr>
          <w:hyperlink w:anchor="_Toc2035419612">
            <w:r w:rsidRPr="39FA0A2E" w:rsidR="39FA0A2E">
              <w:rPr>
                <w:rStyle w:val="Hyperlink"/>
              </w:rPr>
              <w:t>c) Agravo (arts. 733.º a 762.º)</w:t>
            </w:r>
            <w:r>
              <w:tab/>
            </w:r>
            <w:r>
              <w:fldChar w:fldCharType="begin"/>
            </w:r>
            <w:r>
              <w:instrText xml:space="preserve">PAGEREF _Toc2035419612 \h</w:instrText>
            </w:r>
            <w:r>
              <w:fldChar w:fldCharType="separate"/>
            </w:r>
            <w:r w:rsidRPr="39FA0A2E" w:rsidR="39FA0A2E">
              <w:rPr>
                <w:rStyle w:val="Hyperlink"/>
              </w:rPr>
              <w:t>3</w:t>
            </w:r>
            <w:r>
              <w:fldChar w:fldCharType="end"/>
            </w:r>
          </w:hyperlink>
        </w:p>
        <w:p xmlns:wp14="http://schemas.microsoft.com/office/word/2010/wordml" w:rsidP="39FA0A2E" wp14:paraId="3609FA67" wp14:textId="55641C7F">
          <w:pPr>
            <w:pStyle w:val="TOC1"/>
            <w:tabs>
              <w:tab w:val="right" w:leader="dot" w:pos="9015"/>
            </w:tabs>
          </w:pPr>
          <w:hyperlink w:anchor="_Toc171605054">
            <w:r w:rsidRPr="39FA0A2E" w:rsidR="39FA0A2E">
              <w:rPr>
                <w:rStyle w:val="Hyperlink"/>
              </w:rPr>
              <w:t>4. Recursos Extraordinários: Revisão e Oposição de Terceiro (arts. 771.º a 782.º)</w:t>
            </w:r>
            <w:r>
              <w:tab/>
            </w:r>
            <w:r>
              <w:fldChar w:fldCharType="begin"/>
            </w:r>
            <w:r>
              <w:instrText xml:space="preserve">PAGEREF _Toc171605054 \h</w:instrText>
            </w:r>
            <w:r>
              <w:fldChar w:fldCharType="separate"/>
            </w:r>
            <w:r w:rsidRPr="39FA0A2E" w:rsidR="39FA0A2E">
              <w:rPr>
                <w:rStyle w:val="Hyperlink"/>
              </w:rPr>
              <w:t>4</w:t>
            </w:r>
            <w:r>
              <w:fldChar w:fldCharType="end"/>
            </w:r>
          </w:hyperlink>
        </w:p>
        <w:p xmlns:wp14="http://schemas.microsoft.com/office/word/2010/wordml" w:rsidP="39FA0A2E" wp14:paraId="2820CB9D" wp14:textId="2F6A6078">
          <w:pPr>
            <w:pStyle w:val="TOC4"/>
            <w:tabs>
              <w:tab w:val="right" w:leader="dot" w:pos="9015"/>
            </w:tabs>
          </w:pPr>
          <w:hyperlink w:anchor="_Toc89350739">
            <w:r w:rsidRPr="39FA0A2E" w:rsidR="39FA0A2E">
              <w:rPr>
                <w:rStyle w:val="Hyperlink"/>
              </w:rPr>
              <w:t>a) Revisão (arts. 771.º a 777.º)</w:t>
            </w:r>
            <w:r>
              <w:tab/>
            </w:r>
            <w:r>
              <w:fldChar w:fldCharType="begin"/>
            </w:r>
            <w:r>
              <w:instrText xml:space="preserve">PAGEREF _Toc89350739 \h</w:instrText>
            </w:r>
            <w:r>
              <w:fldChar w:fldCharType="separate"/>
            </w:r>
            <w:r w:rsidRPr="39FA0A2E" w:rsidR="39FA0A2E">
              <w:rPr>
                <w:rStyle w:val="Hyperlink"/>
              </w:rPr>
              <w:t>4</w:t>
            </w:r>
            <w:r>
              <w:fldChar w:fldCharType="end"/>
            </w:r>
          </w:hyperlink>
        </w:p>
        <w:p xmlns:wp14="http://schemas.microsoft.com/office/word/2010/wordml" w:rsidP="39FA0A2E" wp14:paraId="17D5DDCD" wp14:textId="21058600">
          <w:pPr>
            <w:pStyle w:val="TOC4"/>
            <w:tabs>
              <w:tab w:val="right" w:leader="dot" w:pos="9015"/>
            </w:tabs>
          </w:pPr>
          <w:hyperlink w:anchor="_Toc1865910695">
            <w:r w:rsidRPr="39FA0A2E" w:rsidR="39FA0A2E">
              <w:rPr>
                <w:rStyle w:val="Hyperlink"/>
              </w:rPr>
              <w:t>b) Oposição de Terceiro (arts. 778.º a 782.º)</w:t>
            </w:r>
            <w:r>
              <w:tab/>
            </w:r>
            <w:r>
              <w:fldChar w:fldCharType="begin"/>
            </w:r>
            <w:r>
              <w:instrText xml:space="preserve">PAGEREF _Toc1865910695 \h</w:instrText>
            </w:r>
            <w:r>
              <w:fldChar w:fldCharType="separate"/>
            </w:r>
            <w:r w:rsidRPr="39FA0A2E" w:rsidR="39FA0A2E">
              <w:rPr>
                <w:rStyle w:val="Hyperlink"/>
              </w:rPr>
              <w:t>4</w:t>
            </w:r>
            <w:r>
              <w:fldChar w:fldCharType="end"/>
            </w:r>
          </w:hyperlink>
        </w:p>
        <w:p xmlns:wp14="http://schemas.microsoft.com/office/word/2010/wordml" w:rsidP="39FA0A2E" wp14:paraId="4C0195E5" wp14:textId="0CE38486">
          <w:pPr>
            <w:pStyle w:val="TOC1"/>
            <w:tabs>
              <w:tab w:val="right" w:leader="dot" w:pos="9015"/>
            </w:tabs>
          </w:pPr>
          <w:hyperlink w:anchor="_Toc741105380">
            <w:r w:rsidRPr="39FA0A2E" w:rsidR="39FA0A2E">
              <w:rPr>
                <w:rStyle w:val="Hyperlink"/>
              </w:rPr>
              <w:t>5. O Recurso para o Tribunal Pleno (arts. 763.º a 770.º)</w:t>
            </w:r>
            <w:r>
              <w:tab/>
            </w:r>
            <w:r>
              <w:fldChar w:fldCharType="begin"/>
            </w:r>
            <w:r>
              <w:instrText xml:space="preserve">PAGEREF _Toc741105380 \h</w:instrText>
            </w:r>
            <w:r>
              <w:fldChar w:fldCharType="separate"/>
            </w:r>
            <w:r w:rsidRPr="39FA0A2E" w:rsidR="39FA0A2E">
              <w:rPr>
                <w:rStyle w:val="Hyperlink"/>
              </w:rPr>
              <w:t>4</w:t>
            </w:r>
            <w:r>
              <w:fldChar w:fldCharType="end"/>
            </w:r>
          </w:hyperlink>
        </w:p>
        <w:p xmlns:wp14="http://schemas.microsoft.com/office/word/2010/wordml" w:rsidP="39FA0A2E" wp14:paraId="2253F71A" wp14:textId="144CAC8D">
          <w:pPr>
            <w:pStyle w:val="TOC1"/>
            <w:tabs>
              <w:tab w:val="right" w:leader="dot" w:pos="9015"/>
            </w:tabs>
          </w:pPr>
          <w:hyperlink w:anchor="_Toc626058889">
            <w:r w:rsidRPr="39FA0A2E" w:rsidR="39FA0A2E">
              <w:rPr>
                <w:rStyle w:val="Hyperlink"/>
              </w:rPr>
              <w:t>6. Principais Efeitos dos Recursos: Devolutivo, Suspensivo e Translativos</w:t>
            </w:r>
            <w:r>
              <w:tab/>
            </w:r>
            <w:r>
              <w:fldChar w:fldCharType="begin"/>
            </w:r>
            <w:r>
              <w:instrText xml:space="preserve">PAGEREF _Toc626058889 \h</w:instrText>
            </w:r>
            <w:r>
              <w:fldChar w:fldCharType="separate"/>
            </w:r>
            <w:r w:rsidRPr="39FA0A2E" w:rsidR="39FA0A2E">
              <w:rPr>
                <w:rStyle w:val="Hyperlink"/>
              </w:rPr>
              <w:t>5</w:t>
            </w:r>
            <w:r>
              <w:fldChar w:fldCharType="end"/>
            </w:r>
          </w:hyperlink>
        </w:p>
        <w:p xmlns:wp14="http://schemas.microsoft.com/office/word/2010/wordml" w:rsidP="39FA0A2E" wp14:paraId="0B4489ED" wp14:textId="1A0B3AFC">
          <w:pPr>
            <w:pStyle w:val="TOC1"/>
            <w:tabs>
              <w:tab w:val="right" w:leader="dot" w:pos="9015"/>
            </w:tabs>
          </w:pPr>
          <w:hyperlink w:anchor="_Toc1530036554">
            <w:r w:rsidRPr="39FA0A2E" w:rsidR="39FA0A2E">
              <w:rPr>
                <w:rStyle w:val="Hyperlink"/>
              </w:rPr>
              <w:t>7. Conclusão</w:t>
            </w:r>
            <w:r>
              <w:tab/>
            </w:r>
            <w:r>
              <w:fldChar w:fldCharType="begin"/>
            </w:r>
            <w:r>
              <w:instrText xml:space="preserve">PAGEREF _Toc1530036554 \h</w:instrText>
            </w:r>
            <w:r>
              <w:fldChar w:fldCharType="separate"/>
            </w:r>
            <w:r w:rsidRPr="39FA0A2E" w:rsidR="39FA0A2E">
              <w:rPr>
                <w:rStyle w:val="Hyperlink"/>
              </w:rPr>
              <w:t>5</w:t>
            </w:r>
            <w:r>
              <w:fldChar w:fldCharType="end"/>
            </w:r>
          </w:hyperlink>
        </w:p>
        <w:p xmlns:wp14="http://schemas.microsoft.com/office/word/2010/wordml" wp14:paraId="39EE87C9" wp14:textId="3BAA3E01">
          <w:r>
            <w:fldChar w:fldCharType="end"/>
          </w:r>
        </w:p>
      </w:sdtContent>
    </w:sdt>
    <w:p xmlns:wp14="http://schemas.microsoft.com/office/word/2010/wordml" w:rsidP="13B75570" wp14:paraId="221EFD15" wp14:textId="64150DFD">
      <w:pPr>
        <w:pStyle w:val="Normal"/>
        <w:rPr>
          <w:noProof w:val="0"/>
          <w:lang w:val="pt-BR"/>
        </w:rPr>
      </w:pPr>
    </w:p>
    <w:p xmlns:wp14="http://schemas.microsoft.com/office/word/2010/wordml" w:rsidP="13B75570" wp14:paraId="1745C005" wp14:textId="12054FEC">
      <w:pPr>
        <w:pStyle w:val="Heading1"/>
        <w:rPr>
          <w:rFonts w:ascii="Times New Roman" w:hAnsi="Times New Roman" w:eastAsia="Times New Roman" w:cs="Times New Roman"/>
          <w:b w:val="1"/>
          <w:bCs w:val="1"/>
          <w:noProof w:val="0"/>
          <w:sz w:val="28"/>
          <w:szCs w:val="28"/>
          <w:lang w:val="pt-BR"/>
        </w:rPr>
      </w:pPr>
      <w:bookmarkStart w:name="_Toc1030713181" w:id="1474590307"/>
      <w:r w:rsidRPr="39FA0A2E" w:rsidR="118C2A30">
        <w:rPr>
          <w:noProof w:val="0"/>
          <w:lang w:val="pt-BR"/>
        </w:rPr>
        <w:t>1. Considerações Preliminares: A Impugnação como Garantia de Justiça</w:t>
      </w:r>
      <w:bookmarkEnd w:id="1474590307"/>
    </w:p>
    <w:p xmlns:wp14="http://schemas.microsoft.com/office/word/2010/wordml" w:rsidP="13B75570" wp14:paraId="6AF4C00B" wp14:textId="476EF7A4">
      <w:pPr>
        <w:spacing w:before="240" w:beforeAutospacing="off" w:after="240" w:afterAutospacing="off"/>
        <w:jc w:val="both"/>
      </w:pPr>
      <w:r w:rsidRPr="39FA0A2E" w:rsidR="118C2A30">
        <w:rPr>
          <w:rFonts w:ascii="Times New Roman" w:hAnsi="Times New Roman" w:eastAsia="Times New Roman" w:cs="Times New Roman"/>
          <w:noProof w:val="0"/>
          <w:sz w:val="24"/>
          <w:szCs w:val="24"/>
          <w:lang w:val="pt-BR"/>
        </w:rPr>
        <w:t>O Capítulo VI do</w:t>
      </w:r>
      <w:r w:rsidRPr="39FA0A2E" w:rsidR="57DCB10C">
        <w:rPr>
          <w:rFonts w:ascii="Times New Roman" w:hAnsi="Times New Roman" w:eastAsia="Times New Roman" w:cs="Times New Roman"/>
          <w:noProof w:val="0"/>
          <w:sz w:val="24"/>
          <w:szCs w:val="24"/>
          <w:lang w:val="pt-BR"/>
        </w:rPr>
        <w:t xml:space="preserve"> 2º Título (Do processo de declaração</w:t>
      </w:r>
      <w:r w:rsidRPr="39FA0A2E" w:rsidR="6F7B21BB">
        <w:rPr>
          <w:rFonts w:ascii="Times New Roman" w:hAnsi="Times New Roman" w:eastAsia="Times New Roman" w:cs="Times New Roman"/>
          <w:noProof w:val="0"/>
          <w:sz w:val="24"/>
          <w:szCs w:val="24"/>
          <w:lang w:val="pt-BR"/>
        </w:rPr>
        <w:t xml:space="preserve"> - Livro III</w:t>
      </w:r>
      <w:r w:rsidRPr="39FA0A2E" w:rsidR="57DCB10C">
        <w:rPr>
          <w:rFonts w:ascii="Times New Roman" w:hAnsi="Times New Roman" w:eastAsia="Times New Roman" w:cs="Times New Roman"/>
          <w:noProof w:val="0"/>
          <w:sz w:val="24"/>
          <w:szCs w:val="24"/>
          <w:lang w:val="pt-BR"/>
        </w:rPr>
        <w:t xml:space="preserve">) </w:t>
      </w:r>
      <w:r w:rsidRPr="39FA0A2E" w:rsidR="52DB181A">
        <w:rPr>
          <w:rFonts w:ascii="Times New Roman" w:hAnsi="Times New Roman" w:eastAsia="Times New Roman" w:cs="Times New Roman"/>
          <w:noProof w:val="0"/>
          <w:sz w:val="24"/>
          <w:szCs w:val="24"/>
          <w:lang w:val="pt-BR"/>
        </w:rPr>
        <w:t xml:space="preserve">do </w:t>
      </w:r>
      <w:r w:rsidRPr="39FA0A2E" w:rsidR="118C2A30">
        <w:rPr>
          <w:rFonts w:ascii="Times New Roman" w:hAnsi="Times New Roman" w:eastAsia="Times New Roman" w:cs="Times New Roman"/>
          <w:noProof w:val="0"/>
          <w:sz w:val="24"/>
          <w:szCs w:val="24"/>
          <w:lang w:val="pt-BR"/>
        </w:rPr>
        <w:t xml:space="preserve">Código de Processo Civil (CPC), nos artigos 676.º a 782.º, constitui o núcleo dogmático da impugnação das decisões judiciais, consagrando o princípio do </w:t>
      </w:r>
      <w:r w:rsidRPr="39FA0A2E" w:rsidR="118C2A30">
        <w:rPr>
          <w:rFonts w:ascii="Times New Roman" w:hAnsi="Times New Roman" w:eastAsia="Times New Roman" w:cs="Times New Roman"/>
          <w:i w:val="1"/>
          <w:iCs w:val="1"/>
          <w:noProof w:val="0"/>
          <w:sz w:val="24"/>
          <w:szCs w:val="24"/>
          <w:lang w:val="pt-BR"/>
        </w:rPr>
        <w:t>duplo grau de jurisdição</w:t>
      </w:r>
      <w:r w:rsidRPr="39FA0A2E" w:rsidR="118C2A30">
        <w:rPr>
          <w:rFonts w:ascii="Times New Roman" w:hAnsi="Times New Roman" w:eastAsia="Times New Roman" w:cs="Times New Roman"/>
          <w:noProof w:val="0"/>
          <w:sz w:val="24"/>
          <w:szCs w:val="24"/>
          <w:lang w:val="pt-BR"/>
        </w:rPr>
        <w:t xml:space="preserve"> como garantia fundamental do justo processo e da segurança jurídica. </w:t>
      </w:r>
      <w:r w:rsidRPr="39FA0A2E" w:rsidR="118C2A30">
        <w:rPr>
          <w:rFonts w:ascii="Times New Roman" w:hAnsi="Times New Roman" w:eastAsia="Times New Roman" w:cs="Times New Roman"/>
          <w:b w:val="1"/>
          <w:bCs w:val="1"/>
          <w:i w:val="1"/>
          <w:iCs w:val="1"/>
          <w:noProof w:val="0"/>
          <w:sz w:val="24"/>
          <w:szCs w:val="24"/>
          <w:lang w:val="pt-BR"/>
        </w:rPr>
        <w:t>O recurso</w:t>
      </w:r>
      <w:r w:rsidRPr="39FA0A2E" w:rsidR="118C2A30">
        <w:rPr>
          <w:rFonts w:ascii="Times New Roman" w:hAnsi="Times New Roman" w:eastAsia="Times New Roman" w:cs="Times New Roman"/>
          <w:b w:val="1"/>
          <w:bCs w:val="1"/>
          <w:i w:val="1"/>
          <w:iCs w:val="1"/>
          <w:noProof w:val="0"/>
          <w:sz w:val="24"/>
          <w:szCs w:val="24"/>
          <w:lang w:val="pt-BR"/>
        </w:rPr>
        <w:t xml:space="preserve"> é o meio processual que a lei coloca à disposição das </w:t>
      </w:r>
      <w:r w:rsidRPr="39FA0A2E" w:rsidR="39592626">
        <w:rPr>
          <w:rFonts w:ascii="Times New Roman" w:hAnsi="Times New Roman" w:eastAsia="Times New Roman" w:cs="Times New Roman"/>
          <w:b w:val="1"/>
          <w:bCs w:val="1"/>
          <w:i w:val="1"/>
          <w:iCs w:val="1"/>
          <w:noProof w:val="0"/>
          <w:sz w:val="24"/>
          <w:szCs w:val="24"/>
          <w:lang w:val="pt-BR"/>
        </w:rPr>
        <w:t>partes, a</w:t>
      </w:r>
      <w:r w:rsidRPr="39FA0A2E" w:rsidR="118C2A30">
        <w:rPr>
          <w:rFonts w:ascii="Times New Roman" w:hAnsi="Times New Roman" w:eastAsia="Times New Roman" w:cs="Times New Roman"/>
          <w:b w:val="1"/>
          <w:bCs w:val="1"/>
          <w:i w:val="1"/>
          <w:iCs w:val="1"/>
          <w:noProof w:val="0"/>
          <w:sz w:val="24"/>
          <w:szCs w:val="24"/>
          <w:lang w:val="pt-BR"/>
        </w:rPr>
        <w:t xml:space="preserve"> viabilizar, dentro da mesma relação jurídica processual, a anulação, a reforma, a integração ou o aclaramento da decisão judicial impugnada</w:t>
      </w:r>
      <w:r w:rsidRPr="39FA0A2E" w:rsidR="118C2A30">
        <w:rPr>
          <w:rFonts w:ascii="Times New Roman" w:hAnsi="Times New Roman" w:eastAsia="Times New Roman" w:cs="Times New Roman"/>
          <w:noProof w:val="0"/>
          <w:sz w:val="24"/>
          <w:szCs w:val="24"/>
          <w:lang w:val="pt-BR"/>
        </w:rPr>
        <w:t xml:space="preserve">. Trata-se de um remédio jurídico que visa corrigir, invalidar ou esclarecer decisões que se afigurem injustas, ilegais ou obscuras, assegurando a tutela jurisdicional </w:t>
      </w:r>
      <w:r w:rsidRPr="39FA0A2E" w:rsidR="2545726D">
        <w:rPr>
          <w:rFonts w:ascii="Times New Roman" w:hAnsi="Times New Roman" w:eastAsia="Times New Roman" w:cs="Times New Roman"/>
          <w:noProof w:val="0"/>
          <w:sz w:val="24"/>
          <w:szCs w:val="24"/>
          <w:lang w:val="pt-BR"/>
        </w:rPr>
        <w:t>efetiva</w:t>
      </w:r>
      <w:r w:rsidRPr="39FA0A2E" w:rsidR="118C2A30">
        <w:rPr>
          <w:rFonts w:ascii="Times New Roman" w:hAnsi="Times New Roman" w:eastAsia="Times New Roman" w:cs="Times New Roman"/>
          <w:noProof w:val="0"/>
          <w:sz w:val="24"/>
          <w:szCs w:val="24"/>
          <w:lang w:val="pt-BR"/>
        </w:rPr>
        <w:t xml:space="preserve"> e a uniformização da interpretação do direito.</w:t>
      </w:r>
    </w:p>
    <w:p xmlns:wp14="http://schemas.microsoft.com/office/word/2010/wordml" w:rsidP="13B75570" wp14:paraId="7243F782" wp14:textId="36302DE8">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A sistemática do capítulo revela uma arquitetura complexa, que distingue os recursos ordinários (apelação, revista e agravo) dos recursos extraordinários (revisão e oposição de terceiro), estabelecendo para cada um regimes próprios de interposição, efeitos, subida e julgamento. O legislador, ao longo de mais de cem artigos, disciplina minuciosamente a impugnação, desde a sua admissibilidade até ao trânsito em julgado, garantindo que a decisão final seja o resultado de um processo dialético e contraditório.</w:t>
      </w:r>
    </w:p>
    <w:p xmlns:wp14="http://schemas.microsoft.com/office/word/2010/wordml" w:rsidP="39FA0A2E" wp14:paraId="30244FB2" wp14:textId="73470357">
      <w:pPr>
        <w:pStyle w:val="Heading1"/>
        <w:rPr>
          <w:rFonts w:ascii="Times New Roman" w:hAnsi="Times New Roman" w:eastAsia="Times New Roman" w:cs="Times New Roman"/>
          <w:b w:val="1"/>
          <w:bCs w:val="1"/>
          <w:noProof w:val="0"/>
          <w:sz w:val="28"/>
          <w:szCs w:val="28"/>
          <w:lang w:val="pt-BR"/>
        </w:rPr>
      </w:pPr>
      <w:bookmarkStart w:name="_Toc1596201078" w:id="1060648080"/>
      <w:r w:rsidRPr="39FA0A2E" w:rsidR="118C2A30">
        <w:rPr>
          <w:noProof w:val="0"/>
          <w:lang w:val="pt-BR"/>
        </w:rPr>
        <w:t>2. Espécies de Recursos e Admissibilidade (arts. 676.º a 687.º)</w:t>
      </w:r>
      <w:bookmarkEnd w:id="1060648080"/>
    </w:p>
    <w:p xmlns:wp14="http://schemas.microsoft.com/office/word/2010/wordml" w:rsidP="13B75570" wp14:paraId="40B701DB" wp14:textId="465D61CA">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1157978674" w:id="1926906649"/>
      <w:r w:rsidRPr="39FA0A2E" w:rsidR="118C2A30">
        <w:rPr>
          <w:rFonts w:ascii="Times New Roman" w:hAnsi="Times New Roman" w:eastAsia="Times New Roman" w:cs="Times New Roman"/>
          <w:b w:val="1"/>
          <w:bCs w:val="1"/>
          <w:noProof w:val="0"/>
          <w:sz w:val="24"/>
          <w:szCs w:val="24"/>
          <w:lang w:val="pt-BR"/>
        </w:rPr>
        <w:t>a) Classificação dos Recursos (art. 676.º)</w:t>
      </w:r>
      <w:bookmarkEnd w:id="1926906649"/>
    </w:p>
    <w:p xmlns:wp14="http://schemas.microsoft.com/office/word/2010/wordml" w:rsidP="13B75570" wp14:paraId="64E4275D" wp14:textId="6DA7E578">
      <w:pPr>
        <w:spacing w:before="240" w:beforeAutospacing="off" w:after="240" w:afterAutospacing="off"/>
        <w:jc w:val="both"/>
      </w:pPr>
      <w:r w:rsidRPr="39FA0A2E" w:rsidR="118C2A30">
        <w:rPr>
          <w:rFonts w:ascii="Times New Roman" w:hAnsi="Times New Roman" w:eastAsia="Times New Roman" w:cs="Times New Roman"/>
          <w:noProof w:val="0"/>
          <w:sz w:val="24"/>
          <w:szCs w:val="24"/>
          <w:lang w:val="pt-BR"/>
        </w:rPr>
        <w:t xml:space="preserve">O artigo 676.º, n.º 2, estabelece a bipartição fundamental dos recursos em </w:t>
      </w:r>
      <w:r w:rsidRPr="39FA0A2E" w:rsidR="118C2A30">
        <w:rPr>
          <w:rFonts w:ascii="Times New Roman" w:hAnsi="Times New Roman" w:eastAsia="Times New Roman" w:cs="Times New Roman"/>
          <w:b w:val="1"/>
          <w:bCs w:val="1"/>
          <w:noProof w:val="0"/>
          <w:sz w:val="24"/>
          <w:szCs w:val="24"/>
          <w:lang w:val="pt-BR"/>
        </w:rPr>
        <w:t>ordinários</w:t>
      </w:r>
      <w:r w:rsidRPr="39FA0A2E" w:rsidR="118C2A30">
        <w:rPr>
          <w:rFonts w:ascii="Times New Roman" w:hAnsi="Times New Roman" w:eastAsia="Times New Roman" w:cs="Times New Roman"/>
          <w:noProof w:val="0"/>
          <w:sz w:val="24"/>
          <w:szCs w:val="24"/>
          <w:lang w:val="pt-BR"/>
        </w:rPr>
        <w:t xml:space="preserve"> e </w:t>
      </w:r>
      <w:r w:rsidRPr="39FA0A2E" w:rsidR="118C2A30">
        <w:rPr>
          <w:rFonts w:ascii="Times New Roman" w:hAnsi="Times New Roman" w:eastAsia="Times New Roman" w:cs="Times New Roman"/>
          <w:b w:val="1"/>
          <w:bCs w:val="1"/>
          <w:noProof w:val="0"/>
          <w:sz w:val="24"/>
          <w:szCs w:val="24"/>
          <w:lang w:val="pt-BR"/>
        </w:rPr>
        <w:t>extraordinários</w:t>
      </w:r>
      <w:r w:rsidRPr="39FA0A2E" w:rsidR="118C2A30">
        <w:rPr>
          <w:rFonts w:ascii="Times New Roman" w:hAnsi="Times New Roman" w:eastAsia="Times New Roman" w:cs="Times New Roman"/>
          <w:noProof w:val="0"/>
          <w:sz w:val="24"/>
          <w:szCs w:val="24"/>
          <w:lang w:val="pt-BR"/>
        </w:rPr>
        <w:t xml:space="preserve">. Esta classificação assenta na natureza do vício impugnado e na amplitude dos poderes de cognição do tribunal </w:t>
      </w:r>
      <w:r w:rsidRPr="39FA0A2E" w:rsidR="118C2A30">
        <w:rPr>
          <w:rFonts w:ascii="Times New Roman" w:hAnsi="Times New Roman" w:eastAsia="Times New Roman" w:cs="Times New Roman"/>
          <w:b w:val="1"/>
          <w:bCs w:val="1"/>
          <w:i w:val="1"/>
          <w:iCs w:val="1"/>
          <w:noProof w:val="0"/>
          <w:sz w:val="24"/>
          <w:szCs w:val="24"/>
          <w:lang w:val="pt-BR"/>
        </w:rPr>
        <w:t>ad quem</w:t>
      </w:r>
      <w:r w:rsidRPr="39FA0A2E" w:rsidR="118C2A30">
        <w:rPr>
          <w:rFonts w:ascii="Times New Roman" w:hAnsi="Times New Roman" w:eastAsia="Times New Roman" w:cs="Times New Roman"/>
          <w:noProof w:val="0"/>
          <w:sz w:val="24"/>
          <w:szCs w:val="24"/>
          <w:lang w:val="pt-BR"/>
        </w:rPr>
        <w:t>:</w:t>
      </w:r>
    </w:p>
    <w:p xmlns:wp14="http://schemas.microsoft.com/office/word/2010/wordml" w:rsidP="13B75570" wp14:paraId="24A19348" wp14:textId="6F9CB60F">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pt-BR"/>
        </w:rPr>
      </w:pPr>
      <w:r w:rsidRPr="13B75570" w:rsidR="118C2A30">
        <w:rPr>
          <w:rFonts w:ascii="Times New Roman" w:hAnsi="Times New Roman" w:eastAsia="Times New Roman" w:cs="Times New Roman"/>
          <w:b w:val="1"/>
          <w:bCs w:val="1"/>
          <w:noProof w:val="0"/>
          <w:sz w:val="24"/>
          <w:szCs w:val="24"/>
          <w:lang w:val="pt-BR"/>
        </w:rPr>
        <w:t>Recursos Ordinários (Apelação, Revista e Agravo):</w:t>
      </w:r>
      <w:r w:rsidRPr="13B75570" w:rsidR="118C2A30">
        <w:rPr>
          <w:rFonts w:ascii="Times New Roman" w:hAnsi="Times New Roman" w:eastAsia="Times New Roman" w:cs="Times New Roman"/>
          <w:noProof w:val="0"/>
          <w:sz w:val="24"/>
          <w:szCs w:val="24"/>
          <w:lang w:val="pt-BR"/>
        </w:rPr>
        <w:t xml:space="preserve"> São meios de impugnação típicos que permitem um reexame amplo da decisão, tanto de facto como de direito. Caracterizam-se pela sua generalidade, sendo interpostos contra decisões definitivas ou interlocutórias com força de definitivas, e pela sua natureza substitutiva, permitindo ao tribunal superior proferir nova decisão sobre a matéria recorrida.</w:t>
      </w:r>
    </w:p>
    <w:p xmlns:wp14="http://schemas.microsoft.com/office/word/2010/wordml" w:rsidP="13B75570" wp14:paraId="7DA54ABA" wp14:textId="75AC3D27">
      <w:pPr>
        <w:pStyle w:val="ListParagraph"/>
        <w:numPr>
          <w:ilvl w:val="0"/>
          <w:numId w:val="1"/>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Recursos Extraordinários (Revisão e Oposição de Terceiro):</w:t>
      </w:r>
      <w:r w:rsidRPr="39FA0A2E" w:rsidR="118C2A30">
        <w:rPr>
          <w:rFonts w:ascii="Times New Roman" w:hAnsi="Times New Roman" w:eastAsia="Times New Roman" w:cs="Times New Roman"/>
          <w:noProof w:val="0"/>
          <w:sz w:val="24"/>
          <w:szCs w:val="24"/>
          <w:lang w:val="pt-BR"/>
        </w:rPr>
        <w:t xml:space="preserve"> São meios de impugnação atípicos, restritos a fundamentos específicos e taxativamente previstos na lei, e que não se destinam a um reexame do mérito, mas a invalidar a decisão por vícios graves ou a tutelar direitos de terceiros prejudicados. A sua interposição é exce</w:t>
      </w:r>
      <w:r w:rsidRPr="39FA0A2E" w:rsidR="6E2D3BBC">
        <w:rPr>
          <w:rFonts w:ascii="Times New Roman" w:hAnsi="Times New Roman" w:eastAsia="Times New Roman" w:cs="Times New Roman"/>
          <w:noProof w:val="0"/>
          <w:sz w:val="24"/>
          <w:szCs w:val="24"/>
          <w:lang w:val="pt-BR"/>
        </w:rPr>
        <w:t>p</w:t>
      </w:r>
      <w:r w:rsidRPr="39FA0A2E" w:rsidR="118C2A30">
        <w:rPr>
          <w:rFonts w:ascii="Times New Roman" w:hAnsi="Times New Roman" w:eastAsia="Times New Roman" w:cs="Times New Roman"/>
          <w:noProof w:val="0"/>
          <w:sz w:val="24"/>
          <w:szCs w:val="24"/>
          <w:lang w:val="pt-BR"/>
        </w:rPr>
        <w:t>cional e sujeita a prazos mais curtos.</w:t>
      </w:r>
    </w:p>
    <w:p xmlns:wp14="http://schemas.microsoft.com/office/word/2010/wordml" w:rsidP="13B75570" wp14:paraId="274F1EBA" wp14:textId="49119156">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1552226911" w:id="1672088212"/>
      <w:r w:rsidRPr="39FA0A2E" w:rsidR="118C2A30">
        <w:rPr>
          <w:rFonts w:ascii="Times New Roman" w:hAnsi="Times New Roman" w:eastAsia="Times New Roman" w:cs="Times New Roman"/>
          <w:b w:val="1"/>
          <w:bCs w:val="1"/>
          <w:noProof w:val="0"/>
          <w:sz w:val="24"/>
          <w:szCs w:val="24"/>
          <w:lang w:val="pt-BR"/>
        </w:rPr>
        <w:t>b) Requisitos Gerais de Admissibilidade (arts. 678.º a 687.º)</w:t>
      </w:r>
      <w:bookmarkEnd w:id="1672088212"/>
    </w:p>
    <w:p xmlns:wp14="http://schemas.microsoft.com/office/word/2010/wordml" w:rsidP="13B75570" wp14:paraId="69BEF91F" wp14:textId="0C777A49">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O direito de recorrer não é absoluto, estando condicionado à verificação de determinados pressupostos objetivos e subjetivos:</w:t>
      </w:r>
    </w:p>
    <w:p xmlns:wp14="http://schemas.microsoft.com/office/word/2010/wordml" w:rsidP="39FA0A2E" wp14:paraId="78BB5D0E" wp14:textId="6F9FC106">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Sujeitos Legitimados (arts. 680.º e 682.º):</w:t>
      </w:r>
      <w:r w:rsidRPr="39FA0A2E" w:rsidR="118C2A30">
        <w:rPr>
          <w:rFonts w:ascii="Times New Roman" w:hAnsi="Times New Roman" w:eastAsia="Times New Roman" w:cs="Times New Roman"/>
          <w:noProof w:val="0"/>
          <w:sz w:val="24"/>
          <w:szCs w:val="24"/>
          <w:lang w:val="pt-BR"/>
        </w:rPr>
        <w:t xml:space="preserve"> Só podem recorrer as partes que tenham ficado vencidas, ou seja, aquelas cuja pretensão foi total ou parcialmente julgada improcedente (art. 680.º, n.º 1). O Ministério Público, mesmo quando não seja parte, pode recorrer em defesa da legalidade (art. 681.º, n.º 4). O artigo 682.º admite o recurso subordinado, que pode ser interposto no prazo de cinco dias a contar da notificação do despacho que admita o recurso da parte contrária.</w:t>
      </w:r>
    </w:p>
    <w:p xmlns:wp14="http://schemas.microsoft.com/office/word/2010/wordml" w:rsidP="39FA0A2E" wp14:paraId="122CF14F" wp14:textId="6C9CF166">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Tempestividade (art. 685.º):</w:t>
      </w:r>
      <w:r w:rsidRPr="39FA0A2E" w:rsidR="118C2A30">
        <w:rPr>
          <w:rFonts w:ascii="Times New Roman" w:hAnsi="Times New Roman" w:eastAsia="Times New Roman" w:cs="Times New Roman"/>
          <w:noProof w:val="0"/>
          <w:sz w:val="24"/>
          <w:szCs w:val="24"/>
          <w:lang w:val="pt-BR"/>
        </w:rPr>
        <w:t xml:space="preserve"> O prazo para a interposição dos recursos é, em regra, de oito dias, contados da notificação da decisão. Este prazo é peremptório, sendo a sua inobservância causa de deserção do recurso.</w:t>
      </w:r>
    </w:p>
    <w:p xmlns:wp14="http://schemas.microsoft.com/office/word/2010/wordml" w:rsidP="39FA0A2E" wp14:paraId="549E9CED" wp14:textId="07E3336F">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Obje</w:t>
      </w:r>
      <w:r w:rsidRPr="39FA0A2E" w:rsidR="7FEE13F6">
        <w:rPr>
          <w:rFonts w:ascii="Times New Roman" w:hAnsi="Times New Roman" w:eastAsia="Times New Roman" w:cs="Times New Roman"/>
          <w:b w:val="1"/>
          <w:bCs w:val="1"/>
          <w:noProof w:val="0"/>
          <w:sz w:val="24"/>
          <w:szCs w:val="24"/>
          <w:lang w:val="pt-BR"/>
        </w:rPr>
        <w:t>c</w:t>
      </w:r>
      <w:r w:rsidRPr="39FA0A2E" w:rsidR="118C2A30">
        <w:rPr>
          <w:rFonts w:ascii="Times New Roman" w:hAnsi="Times New Roman" w:eastAsia="Times New Roman" w:cs="Times New Roman"/>
          <w:b w:val="1"/>
          <w:bCs w:val="1"/>
          <w:noProof w:val="0"/>
          <w:sz w:val="24"/>
          <w:szCs w:val="24"/>
          <w:lang w:val="pt-BR"/>
        </w:rPr>
        <w:t>to Recorrível (</w:t>
      </w:r>
      <w:r w:rsidRPr="39FA0A2E" w:rsidR="118C2A30">
        <w:rPr>
          <w:rFonts w:ascii="Times New Roman" w:hAnsi="Times New Roman" w:eastAsia="Times New Roman" w:cs="Times New Roman"/>
          <w:b w:val="1"/>
          <w:bCs w:val="1"/>
          <w:noProof w:val="0"/>
          <w:sz w:val="24"/>
          <w:szCs w:val="24"/>
          <w:lang w:val="pt-BR"/>
        </w:rPr>
        <w:t>arts</w:t>
      </w:r>
      <w:r w:rsidRPr="39FA0A2E" w:rsidR="118C2A30">
        <w:rPr>
          <w:rFonts w:ascii="Times New Roman" w:hAnsi="Times New Roman" w:eastAsia="Times New Roman" w:cs="Times New Roman"/>
          <w:b w:val="1"/>
          <w:bCs w:val="1"/>
          <w:noProof w:val="0"/>
          <w:sz w:val="24"/>
          <w:szCs w:val="24"/>
          <w:lang w:val="pt-BR"/>
        </w:rPr>
        <w:t>. 678.º e 679.º):</w:t>
      </w:r>
      <w:r w:rsidRPr="39FA0A2E" w:rsidR="118C2A30">
        <w:rPr>
          <w:rFonts w:ascii="Times New Roman" w:hAnsi="Times New Roman" w:eastAsia="Times New Roman" w:cs="Times New Roman"/>
          <w:noProof w:val="0"/>
          <w:sz w:val="24"/>
          <w:szCs w:val="24"/>
          <w:lang w:val="pt-BR"/>
        </w:rPr>
        <w:t xml:space="preserve"> Só admitem recurso ordinário as decisões proferidas em causas de valor superior à alçada do tribunal de que se recorre (art. 678.º, n.º 1). Os despachos de mero expediente e os proferidos no uso de poder discricionário são irrecorríveis (art. 679.º).</w:t>
      </w:r>
    </w:p>
    <w:p xmlns:wp14="http://schemas.microsoft.com/office/word/2010/wordml" w:rsidP="39FA0A2E" wp14:paraId="03124124" wp14:textId="73D312E8">
      <w:pPr>
        <w:pStyle w:val="ListParagraph"/>
        <w:numPr>
          <w:ilvl w:val="0"/>
          <w:numId w:val="5"/>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Interposição e Despacho de Admissão (art. 687.º):</w:t>
      </w:r>
      <w:r w:rsidRPr="39FA0A2E" w:rsidR="118C2A30">
        <w:rPr>
          <w:rFonts w:ascii="Times New Roman" w:hAnsi="Times New Roman" w:eastAsia="Times New Roman" w:cs="Times New Roman"/>
          <w:noProof w:val="0"/>
          <w:sz w:val="24"/>
          <w:szCs w:val="24"/>
          <w:lang w:val="pt-BR"/>
        </w:rPr>
        <w:t xml:space="preserve"> O recurso interpõe-se por requerimento dirigido ao tribunal </w:t>
      </w:r>
      <w:r w:rsidRPr="39FA0A2E" w:rsidR="118C2A30">
        <w:rPr>
          <w:rFonts w:ascii="Times New Roman" w:hAnsi="Times New Roman" w:eastAsia="Times New Roman" w:cs="Times New Roman"/>
          <w:b w:val="1"/>
          <w:bCs w:val="1"/>
          <w:i w:val="1"/>
          <w:iCs w:val="1"/>
          <w:noProof w:val="0"/>
          <w:sz w:val="24"/>
          <w:szCs w:val="24"/>
          <w:lang w:val="pt-BR"/>
        </w:rPr>
        <w:t>a quo</w:t>
      </w:r>
      <w:r w:rsidRPr="39FA0A2E" w:rsidR="118C2A30">
        <w:rPr>
          <w:rFonts w:ascii="Times New Roman" w:hAnsi="Times New Roman" w:eastAsia="Times New Roman" w:cs="Times New Roman"/>
          <w:noProof w:val="0"/>
          <w:sz w:val="24"/>
          <w:szCs w:val="24"/>
          <w:lang w:val="pt-BR"/>
        </w:rPr>
        <w:t xml:space="preserve"> (art. 687.º, n.º 1). O juiz, no despacho liminar, deve apreciar os pressupostos de admissibilidade, admitindo ou não o recurso. Contra o despacho de indeferimento cabe reclamação para o presidente do tribunal superior (art. 688.º).</w:t>
      </w:r>
    </w:p>
    <w:p xmlns:wp14="http://schemas.microsoft.com/office/word/2010/wordml" w:rsidP="39FA0A2E" wp14:paraId="68B9FDB9" wp14:textId="4AB7549F">
      <w:pPr>
        <w:pStyle w:val="Heading1"/>
        <w:rPr>
          <w:rFonts w:ascii="Times New Roman" w:hAnsi="Times New Roman" w:eastAsia="Times New Roman" w:cs="Times New Roman"/>
          <w:b w:val="1"/>
          <w:bCs w:val="1"/>
          <w:noProof w:val="0"/>
          <w:sz w:val="28"/>
          <w:szCs w:val="28"/>
          <w:lang w:val="pt-BR"/>
        </w:rPr>
      </w:pPr>
      <w:bookmarkStart w:name="_Toc1544461397" w:id="1921374459"/>
      <w:r w:rsidRPr="39FA0A2E" w:rsidR="118C2A30">
        <w:rPr>
          <w:noProof w:val="0"/>
          <w:lang w:val="pt-BR"/>
        </w:rPr>
        <w:t>3. Recursos Ordinários: Apelação, Revista e Agravo</w:t>
      </w:r>
      <w:bookmarkEnd w:id="1921374459"/>
    </w:p>
    <w:p xmlns:wp14="http://schemas.microsoft.com/office/word/2010/wordml" w:rsidP="13B75570" wp14:paraId="63DD6017" wp14:textId="1229B397">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1590407535" w:id="2025579752"/>
      <w:r w:rsidRPr="39FA0A2E" w:rsidR="118C2A30">
        <w:rPr>
          <w:rFonts w:ascii="Times New Roman" w:hAnsi="Times New Roman" w:eastAsia="Times New Roman" w:cs="Times New Roman"/>
          <w:b w:val="1"/>
          <w:bCs w:val="1"/>
          <w:noProof w:val="0"/>
          <w:sz w:val="24"/>
          <w:szCs w:val="24"/>
          <w:lang w:val="pt-BR"/>
        </w:rPr>
        <w:t>a) Apelação (arts. 691.º a 720.º)</w:t>
      </w:r>
      <w:bookmarkEnd w:id="2025579752"/>
    </w:p>
    <w:p xmlns:wp14="http://schemas.microsoft.com/office/word/2010/wordml" w:rsidP="13B75570" wp14:paraId="2206D74B" wp14:textId="7E74F928">
      <w:pPr>
        <w:spacing w:before="240" w:beforeAutospacing="off" w:after="240" w:afterAutospacing="off"/>
        <w:jc w:val="both"/>
      </w:pPr>
      <w:r w:rsidRPr="39FA0A2E" w:rsidR="118C2A30">
        <w:rPr>
          <w:rFonts w:ascii="Times New Roman" w:hAnsi="Times New Roman" w:eastAsia="Times New Roman" w:cs="Times New Roman"/>
          <w:noProof w:val="0"/>
          <w:sz w:val="24"/>
          <w:szCs w:val="24"/>
          <w:lang w:val="pt-BR"/>
        </w:rPr>
        <w:t xml:space="preserve">A apelação é o recurso ordinário por excelência, que tem por </w:t>
      </w:r>
      <w:r w:rsidRPr="39FA0A2E" w:rsidR="118C2A30">
        <w:rPr>
          <w:rFonts w:ascii="Times New Roman" w:hAnsi="Times New Roman" w:eastAsia="Times New Roman" w:cs="Times New Roman"/>
          <w:noProof w:val="0"/>
          <w:sz w:val="24"/>
          <w:szCs w:val="24"/>
          <w:lang w:val="pt-BR"/>
        </w:rPr>
        <w:t>obje</w:t>
      </w:r>
      <w:r w:rsidRPr="39FA0A2E" w:rsidR="7760391F">
        <w:rPr>
          <w:rFonts w:ascii="Times New Roman" w:hAnsi="Times New Roman" w:eastAsia="Times New Roman" w:cs="Times New Roman"/>
          <w:noProof w:val="0"/>
          <w:sz w:val="24"/>
          <w:szCs w:val="24"/>
          <w:lang w:val="pt-BR"/>
        </w:rPr>
        <w:t>c</w:t>
      </w:r>
      <w:r w:rsidRPr="39FA0A2E" w:rsidR="118C2A30">
        <w:rPr>
          <w:rFonts w:ascii="Times New Roman" w:hAnsi="Times New Roman" w:eastAsia="Times New Roman" w:cs="Times New Roman"/>
          <w:noProof w:val="0"/>
          <w:sz w:val="24"/>
          <w:szCs w:val="24"/>
          <w:lang w:val="pt-BR"/>
        </w:rPr>
        <w:t>to</w:t>
      </w:r>
      <w:r w:rsidRPr="39FA0A2E" w:rsidR="118C2A30">
        <w:rPr>
          <w:rFonts w:ascii="Times New Roman" w:hAnsi="Times New Roman" w:eastAsia="Times New Roman" w:cs="Times New Roman"/>
          <w:noProof w:val="0"/>
          <w:sz w:val="24"/>
          <w:szCs w:val="24"/>
          <w:lang w:val="pt-BR"/>
        </w:rPr>
        <w:t xml:space="preserve"> a impugnação de sentenças</w:t>
      </w:r>
      <w:r w:rsidRPr="39FA0A2E" w:rsidR="01ED7945">
        <w:rPr>
          <w:rFonts w:ascii="Times New Roman" w:hAnsi="Times New Roman" w:eastAsia="Times New Roman" w:cs="Times New Roman"/>
          <w:noProof w:val="0"/>
          <w:sz w:val="24"/>
          <w:szCs w:val="24"/>
          <w:lang w:val="pt-BR"/>
        </w:rPr>
        <w:t xml:space="preserve"> </w:t>
      </w:r>
      <w:r w:rsidRPr="39FA0A2E" w:rsidR="118C2A30">
        <w:rPr>
          <w:rFonts w:ascii="Times New Roman" w:hAnsi="Times New Roman" w:eastAsia="Times New Roman" w:cs="Times New Roman"/>
          <w:noProof w:val="0"/>
          <w:sz w:val="24"/>
          <w:szCs w:val="24"/>
          <w:lang w:val="pt-BR"/>
        </w:rPr>
        <w:t>e de despachos saneadores que conheçam do mérito da causa (art. 691.º, n.º 1), bem como das decisões sobre exce</w:t>
      </w:r>
      <w:r w:rsidRPr="39FA0A2E" w:rsidR="12A3F90A">
        <w:rPr>
          <w:rFonts w:ascii="Times New Roman" w:hAnsi="Times New Roman" w:eastAsia="Times New Roman" w:cs="Times New Roman"/>
          <w:noProof w:val="0"/>
          <w:sz w:val="24"/>
          <w:szCs w:val="24"/>
          <w:lang w:val="pt-BR"/>
        </w:rPr>
        <w:t>p</w:t>
      </w:r>
      <w:r w:rsidRPr="39FA0A2E" w:rsidR="118C2A30">
        <w:rPr>
          <w:rFonts w:ascii="Times New Roman" w:hAnsi="Times New Roman" w:eastAsia="Times New Roman" w:cs="Times New Roman"/>
          <w:noProof w:val="0"/>
          <w:sz w:val="24"/>
          <w:szCs w:val="24"/>
          <w:lang w:val="pt-BR"/>
        </w:rPr>
        <w:t xml:space="preserve">ções peremptórias (art. 691.º, n.º 2). A sua natureza é amplamente devolutiva, permitindo ao tribunal </w:t>
      </w:r>
      <w:r w:rsidRPr="39FA0A2E" w:rsidR="118C2A30">
        <w:rPr>
          <w:rFonts w:ascii="Times New Roman" w:hAnsi="Times New Roman" w:eastAsia="Times New Roman" w:cs="Times New Roman"/>
          <w:b w:val="1"/>
          <w:bCs w:val="1"/>
          <w:i w:val="1"/>
          <w:iCs w:val="1"/>
          <w:noProof w:val="0"/>
          <w:sz w:val="24"/>
          <w:szCs w:val="24"/>
          <w:lang w:val="pt-BR"/>
        </w:rPr>
        <w:t>ad quem</w:t>
      </w:r>
      <w:r w:rsidRPr="39FA0A2E" w:rsidR="118C2A30">
        <w:rPr>
          <w:rFonts w:ascii="Times New Roman" w:hAnsi="Times New Roman" w:eastAsia="Times New Roman" w:cs="Times New Roman"/>
          <w:noProof w:val="0"/>
          <w:sz w:val="24"/>
          <w:szCs w:val="24"/>
          <w:lang w:val="pt-BR"/>
        </w:rPr>
        <w:t xml:space="preserve"> reapreciar a matéria de facto e de direito, nos limites do pedido e da causa de pedir, e em conformidade com as conclusões do recorrente (</w:t>
      </w:r>
      <w:r w:rsidRPr="39FA0A2E" w:rsidR="118C2A30">
        <w:rPr>
          <w:rFonts w:ascii="Times New Roman" w:hAnsi="Times New Roman" w:eastAsia="Times New Roman" w:cs="Times New Roman"/>
          <w:noProof w:val="0"/>
          <w:sz w:val="24"/>
          <w:szCs w:val="24"/>
          <w:lang w:val="pt-BR"/>
        </w:rPr>
        <w:t>arts</w:t>
      </w:r>
      <w:r w:rsidRPr="39FA0A2E" w:rsidR="118C2A30">
        <w:rPr>
          <w:rFonts w:ascii="Times New Roman" w:hAnsi="Times New Roman" w:eastAsia="Times New Roman" w:cs="Times New Roman"/>
          <w:noProof w:val="0"/>
          <w:sz w:val="24"/>
          <w:szCs w:val="24"/>
          <w:lang w:val="pt-BR"/>
        </w:rPr>
        <w:t>. 684.º, n.º 3 e 690.º, n.º 1).</w:t>
      </w:r>
    </w:p>
    <w:p xmlns:wp14="http://schemas.microsoft.com/office/word/2010/wordml" w:rsidP="13B75570" wp14:paraId="74762492" wp14:textId="35E94F03">
      <w:pPr>
        <w:spacing w:before="240" w:beforeAutospacing="off" w:after="240" w:afterAutospacing="off"/>
        <w:jc w:val="both"/>
      </w:pPr>
      <w:r w:rsidRPr="39FA0A2E" w:rsidR="118C2A30">
        <w:rPr>
          <w:rFonts w:ascii="Times New Roman" w:hAnsi="Times New Roman" w:eastAsia="Times New Roman" w:cs="Times New Roman"/>
          <w:noProof w:val="0"/>
          <w:sz w:val="24"/>
          <w:szCs w:val="24"/>
          <w:lang w:val="pt-BR"/>
        </w:rPr>
        <w:t xml:space="preserve">O regime dos </w:t>
      </w:r>
      <w:r w:rsidRPr="39FA0A2E" w:rsidR="118C2A30">
        <w:rPr>
          <w:rFonts w:ascii="Times New Roman" w:hAnsi="Times New Roman" w:eastAsia="Times New Roman" w:cs="Times New Roman"/>
          <w:b w:val="1"/>
          <w:bCs w:val="1"/>
          <w:noProof w:val="0"/>
          <w:sz w:val="24"/>
          <w:szCs w:val="24"/>
          <w:lang w:val="pt-BR"/>
        </w:rPr>
        <w:t>efeitos da apelação</w:t>
      </w:r>
      <w:r w:rsidRPr="39FA0A2E" w:rsidR="118C2A30">
        <w:rPr>
          <w:rFonts w:ascii="Times New Roman" w:hAnsi="Times New Roman" w:eastAsia="Times New Roman" w:cs="Times New Roman"/>
          <w:noProof w:val="0"/>
          <w:sz w:val="24"/>
          <w:szCs w:val="24"/>
          <w:lang w:val="pt-BR"/>
        </w:rPr>
        <w:t xml:space="preserve"> encontra-se nos artigos 692.º a 697.º. A regra geral é a do </w:t>
      </w:r>
      <w:r w:rsidRPr="39FA0A2E" w:rsidR="118C2A30">
        <w:rPr>
          <w:rFonts w:ascii="Times New Roman" w:hAnsi="Times New Roman" w:eastAsia="Times New Roman" w:cs="Times New Roman"/>
          <w:b w:val="1"/>
          <w:bCs w:val="1"/>
          <w:noProof w:val="0"/>
          <w:sz w:val="24"/>
          <w:szCs w:val="24"/>
          <w:lang w:val="pt-BR"/>
        </w:rPr>
        <w:t>efeito suspensivo</w:t>
      </w:r>
      <w:r w:rsidRPr="39FA0A2E" w:rsidR="118C2A30">
        <w:rPr>
          <w:rFonts w:ascii="Times New Roman" w:hAnsi="Times New Roman" w:eastAsia="Times New Roman" w:cs="Times New Roman"/>
          <w:noProof w:val="0"/>
          <w:sz w:val="24"/>
          <w:szCs w:val="24"/>
          <w:lang w:val="pt-BR"/>
        </w:rPr>
        <w:t xml:space="preserve"> (art. 692.º, </w:t>
      </w:r>
      <w:r w:rsidRPr="39FA0A2E" w:rsidR="118C2A30">
        <w:rPr>
          <w:rFonts w:ascii="Times New Roman" w:hAnsi="Times New Roman" w:eastAsia="Times New Roman" w:cs="Times New Roman"/>
          <w:noProof w:val="0"/>
          <w:sz w:val="24"/>
          <w:szCs w:val="24"/>
          <w:lang w:val="pt-BR"/>
        </w:rPr>
        <w:t>n.ºs</w:t>
      </w:r>
      <w:r w:rsidRPr="39FA0A2E" w:rsidR="118C2A30">
        <w:rPr>
          <w:rFonts w:ascii="Times New Roman" w:hAnsi="Times New Roman" w:eastAsia="Times New Roman" w:cs="Times New Roman"/>
          <w:noProof w:val="0"/>
          <w:sz w:val="24"/>
          <w:szCs w:val="24"/>
          <w:lang w:val="pt-BR"/>
        </w:rPr>
        <w:t xml:space="preserve"> 1 e 2), que impede a execução provisória da sentença enquanto o recurso estiver pendente. Contudo, a lei estabelece importantes exce</w:t>
      </w:r>
      <w:r w:rsidRPr="39FA0A2E" w:rsidR="64802899">
        <w:rPr>
          <w:rFonts w:ascii="Times New Roman" w:hAnsi="Times New Roman" w:eastAsia="Times New Roman" w:cs="Times New Roman"/>
          <w:noProof w:val="0"/>
          <w:sz w:val="24"/>
          <w:szCs w:val="24"/>
          <w:lang w:val="pt-BR"/>
        </w:rPr>
        <w:t>p</w:t>
      </w:r>
      <w:r w:rsidRPr="39FA0A2E" w:rsidR="118C2A30">
        <w:rPr>
          <w:rFonts w:ascii="Times New Roman" w:hAnsi="Times New Roman" w:eastAsia="Times New Roman" w:cs="Times New Roman"/>
          <w:noProof w:val="0"/>
          <w:sz w:val="24"/>
          <w:szCs w:val="24"/>
          <w:lang w:val="pt-BR"/>
        </w:rPr>
        <w:t xml:space="preserve">ções de </w:t>
      </w:r>
      <w:r w:rsidRPr="39FA0A2E" w:rsidR="118C2A30">
        <w:rPr>
          <w:rFonts w:ascii="Times New Roman" w:hAnsi="Times New Roman" w:eastAsia="Times New Roman" w:cs="Times New Roman"/>
          <w:b w:val="1"/>
          <w:bCs w:val="1"/>
          <w:noProof w:val="0"/>
          <w:sz w:val="24"/>
          <w:szCs w:val="24"/>
          <w:lang w:val="pt-BR"/>
        </w:rPr>
        <w:t>efeito meramente devolutivo</w:t>
      </w:r>
      <w:r w:rsidRPr="39FA0A2E" w:rsidR="118C2A30">
        <w:rPr>
          <w:rFonts w:ascii="Times New Roman" w:hAnsi="Times New Roman" w:eastAsia="Times New Roman" w:cs="Times New Roman"/>
          <w:noProof w:val="0"/>
          <w:sz w:val="24"/>
          <w:szCs w:val="24"/>
          <w:lang w:val="pt-BR"/>
        </w:rPr>
        <w:t xml:space="preserve">, nos casos da alínea a) do n.º 2 do art. 692.º </w:t>
      </w:r>
      <w:r w:rsidRPr="39FA0A2E" w:rsidR="118C2A30">
        <w:rPr>
          <w:rFonts w:ascii="Times New Roman" w:hAnsi="Times New Roman" w:eastAsia="Times New Roman" w:cs="Times New Roman"/>
          <w:b w:val="1"/>
          <w:bCs w:val="1"/>
          <w:noProof w:val="0"/>
          <w:sz w:val="24"/>
          <w:szCs w:val="24"/>
          <w:lang w:val="pt-BR"/>
        </w:rPr>
        <w:t>(sentenças fundadas em títulos executivos extrajudiciais)</w:t>
      </w:r>
      <w:r w:rsidRPr="39FA0A2E" w:rsidR="118C2A30">
        <w:rPr>
          <w:rFonts w:ascii="Times New Roman" w:hAnsi="Times New Roman" w:eastAsia="Times New Roman" w:cs="Times New Roman"/>
          <w:noProof w:val="0"/>
          <w:sz w:val="24"/>
          <w:szCs w:val="24"/>
          <w:lang w:val="pt-BR"/>
        </w:rPr>
        <w:t xml:space="preserve">, alínea b) </w:t>
      </w:r>
      <w:r w:rsidRPr="39FA0A2E" w:rsidR="118C2A30">
        <w:rPr>
          <w:rFonts w:ascii="Times New Roman" w:hAnsi="Times New Roman" w:eastAsia="Times New Roman" w:cs="Times New Roman"/>
          <w:b w:val="1"/>
          <w:bCs w:val="1"/>
          <w:noProof w:val="0"/>
          <w:sz w:val="24"/>
          <w:szCs w:val="24"/>
          <w:lang w:val="pt-BR"/>
        </w:rPr>
        <w:t>(providências urgentes)</w:t>
      </w:r>
      <w:r w:rsidRPr="39FA0A2E" w:rsidR="118C2A30">
        <w:rPr>
          <w:rFonts w:ascii="Times New Roman" w:hAnsi="Times New Roman" w:eastAsia="Times New Roman" w:cs="Times New Roman"/>
          <w:noProof w:val="0"/>
          <w:sz w:val="24"/>
          <w:szCs w:val="24"/>
          <w:lang w:val="pt-BR"/>
        </w:rPr>
        <w:t xml:space="preserve">, alínea c) </w:t>
      </w:r>
      <w:r w:rsidRPr="39FA0A2E" w:rsidR="118C2A30">
        <w:rPr>
          <w:rFonts w:ascii="Times New Roman" w:hAnsi="Times New Roman" w:eastAsia="Times New Roman" w:cs="Times New Roman"/>
          <w:b w:val="1"/>
          <w:bCs w:val="1"/>
          <w:noProof w:val="0"/>
          <w:sz w:val="24"/>
          <w:szCs w:val="24"/>
          <w:lang w:val="pt-BR"/>
        </w:rPr>
        <w:t>(alimentos e contribuições do cônjuge)</w:t>
      </w:r>
      <w:r w:rsidRPr="39FA0A2E" w:rsidR="118C2A30">
        <w:rPr>
          <w:rFonts w:ascii="Times New Roman" w:hAnsi="Times New Roman" w:eastAsia="Times New Roman" w:cs="Times New Roman"/>
          <w:noProof w:val="0"/>
          <w:sz w:val="24"/>
          <w:szCs w:val="24"/>
          <w:lang w:val="pt-BR"/>
        </w:rPr>
        <w:t xml:space="preserve"> e alínea d) </w:t>
      </w:r>
      <w:r w:rsidRPr="39FA0A2E" w:rsidR="118C2A30">
        <w:rPr>
          <w:rFonts w:ascii="Times New Roman" w:hAnsi="Times New Roman" w:eastAsia="Times New Roman" w:cs="Times New Roman"/>
          <w:b w:val="1"/>
          <w:bCs w:val="1"/>
          <w:noProof w:val="0"/>
          <w:sz w:val="24"/>
          <w:szCs w:val="24"/>
          <w:lang w:val="pt-BR"/>
        </w:rPr>
        <w:t>(quando a execução provisória possa causar prejuízo considerável ao vencedor)</w:t>
      </w:r>
      <w:r w:rsidRPr="39FA0A2E" w:rsidR="118C2A30">
        <w:rPr>
          <w:rFonts w:ascii="Times New Roman" w:hAnsi="Times New Roman" w:eastAsia="Times New Roman" w:cs="Times New Roman"/>
          <w:noProof w:val="0"/>
          <w:sz w:val="24"/>
          <w:szCs w:val="24"/>
          <w:lang w:val="pt-BR"/>
        </w:rPr>
        <w:t xml:space="preserve">. O princípio </w:t>
      </w:r>
      <w:r w:rsidRPr="39FA0A2E" w:rsidR="118C2A30">
        <w:rPr>
          <w:rFonts w:ascii="Times New Roman" w:hAnsi="Times New Roman" w:eastAsia="Times New Roman" w:cs="Times New Roman"/>
          <w:b w:val="1"/>
          <w:bCs w:val="1"/>
          <w:i w:val="1"/>
          <w:iCs w:val="1"/>
          <w:noProof w:val="0"/>
          <w:sz w:val="24"/>
          <w:szCs w:val="24"/>
          <w:lang w:val="pt-BR"/>
        </w:rPr>
        <w:t xml:space="preserve">tantum </w:t>
      </w:r>
      <w:r w:rsidRPr="39FA0A2E" w:rsidR="118C2A30">
        <w:rPr>
          <w:rFonts w:ascii="Times New Roman" w:hAnsi="Times New Roman" w:eastAsia="Times New Roman" w:cs="Times New Roman"/>
          <w:b w:val="1"/>
          <w:bCs w:val="1"/>
          <w:i w:val="1"/>
          <w:iCs w:val="1"/>
          <w:noProof w:val="0"/>
          <w:sz w:val="24"/>
          <w:szCs w:val="24"/>
          <w:lang w:val="pt-BR"/>
        </w:rPr>
        <w:t>devolutum</w:t>
      </w:r>
      <w:r w:rsidRPr="39FA0A2E" w:rsidR="118C2A30">
        <w:rPr>
          <w:rFonts w:ascii="Times New Roman" w:hAnsi="Times New Roman" w:eastAsia="Times New Roman" w:cs="Times New Roman"/>
          <w:b w:val="1"/>
          <w:bCs w:val="1"/>
          <w:i w:val="1"/>
          <w:iCs w:val="1"/>
          <w:noProof w:val="0"/>
          <w:sz w:val="24"/>
          <w:szCs w:val="24"/>
          <w:lang w:val="pt-BR"/>
        </w:rPr>
        <w:t xml:space="preserve"> quantum </w:t>
      </w:r>
      <w:r w:rsidRPr="39FA0A2E" w:rsidR="118C2A30">
        <w:rPr>
          <w:rFonts w:ascii="Times New Roman" w:hAnsi="Times New Roman" w:eastAsia="Times New Roman" w:cs="Times New Roman"/>
          <w:b w:val="1"/>
          <w:bCs w:val="1"/>
          <w:i w:val="1"/>
          <w:iCs w:val="1"/>
          <w:noProof w:val="0"/>
          <w:sz w:val="24"/>
          <w:szCs w:val="24"/>
          <w:lang w:val="pt-BR"/>
        </w:rPr>
        <w:t>appellatum</w:t>
      </w:r>
      <w:r w:rsidRPr="39FA0A2E" w:rsidR="118C2A30">
        <w:rPr>
          <w:rFonts w:ascii="Times New Roman" w:hAnsi="Times New Roman" w:eastAsia="Times New Roman" w:cs="Times New Roman"/>
          <w:noProof w:val="0"/>
          <w:sz w:val="24"/>
          <w:szCs w:val="24"/>
          <w:lang w:val="pt-BR"/>
        </w:rPr>
        <w:t xml:space="preserve"> significa que o tribunal superior só conhece da matéria impugnada, e dentro dos limites das conclusões do apelante, não podendo conhecer de questões não suscitadas, salvo as de conhecimento oficioso (art. 660.º, n.º 2).</w:t>
      </w:r>
    </w:p>
    <w:p xmlns:wp14="http://schemas.microsoft.com/office/word/2010/wordml" w:rsidP="13B75570" wp14:paraId="39E81B41" wp14:textId="33C3A9C2">
      <w:pPr>
        <w:spacing w:before="240" w:beforeAutospacing="off" w:after="240" w:afterAutospacing="off"/>
        <w:jc w:val="both"/>
      </w:pPr>
      <w:r w:rsidRPr="39FA0A2E" w:rsidR="118C2A30">
        <w:rPr>
          <w:rFonts w:ascii="Times New Roman" w:hAnsi="Times New Roman" w:eastAsia="Times New Roman" w:cs="Times New Roman"/>
          <w:noProof w:val="0"/>
          <w:sz w:val="24"/>
          <w:szCs w:val="24"/>
          <w:lang w:val="pt-BR"/>
        </w:rPr>
        <w:t xml:space="preserve">O </w:t>
      </w:r>
      <w:r w:rsidRPr="39FA0A2E" w:rsidR="118C2A30">
        <w:rPr>
          <w:rFonts w:ascii="Times New Roman" w:hAnsi="Times New Roman" w:eastAsia="Times New Roman" w:cs="Times New Roman"/>
          <w:b w:val="1"/>
          <w:bCs w:val="1"/>
          <w:noProof w:val="0"/>
          <w:sz w:val="24"/>
          <w:szCs w:val="24"/>
          <w:lang w:val="pt-BR"/>
        </w:rPr>
        <w:t>julgamento da apelação</w:t>
      </w:r>
      <w:r w:rsidRPr="39FA0A2E" w:rsidR="118C2A30">
        <w:rPr>
          <w:rFonts w:ascii="Times New Roman" w:hAnsi="Times New Roman" w:eastAsia="Times New Roman" w:cs="Times New Roman"/>
          <w:noProof w:val="0"/>
          <w:sz w:val="24"/>
          <w:szCs w:val="24"/>
          <w:lang w:val="pt-BR"/>
        </w:rPr>
        <w:t xml:space="preserve"> (</w:t>
      </w:r>
      <w:r w:rsidRPr="39FA0A2E" w:rsidR="118C2A30">
        <w:rPr>
          <w:rFonts w:ascii="Times New Roman" w:hAnsi="Times New Roman" w:eastAsia="Times New Roman" w:cs="Times New Roman"/>
          <w:noProof w:val="0"/>
          <w:sz w:val="24"/>
          <w:szCs w:val="24"/>
          <w:lang w:val="pt-BR"/>
        </w:rPr>
        <w:t>arts</w:t>
      </w:r>
      <w:r w:rsidRPr="39FA0A2E" w:rsidR="118C2A30">
        <w:rPr>
          <w:rFonts w:ascii="Times New Roman" w:hAnsi="Times New Roman" w:eastAsia="Times New Roman" w:cs="Times New Roman"/>
          <w:noProof w:val="0"/>
          <w:sz w:val="24"/>
          <w:szCs w:val="24"/>
          <w:lang w:val="pt-BR"/>
        </w:rPr>
        <w:t xml:space="preserve">. 700.º a 720.º) obedece a uma tramitação complexa, que inclui o exame preliminar do relator, a apresentação de alegações, a vista ao Ministério Público e aos juízes adjuntos, e a discussão em conferência. O artigo 712.º estabelece o princípio da </w:t>
      </w:r>
      <w:r w:rsidRPr="39FA0A2E" w:rsidR="118C2A30">
        <w:rPr>
          <w:rFonts w:ascii="Times New Roman" w:hAnsi="Times New Roman" w:eastAsia="Times New Roman" w:cs="Times New Roman"/>
          <w:b w:val="1"/>
          <w:bCs w:val="1"/>
          <w:noProof w:val="0"/>
          <w:sz w:val="24"/>
          <w:szCs w:val="24"/>
          <w:lang w:val="pt-BR"/>
        </w:rPr>
        <w:t>irrevisibilidade</w:t>
      </w:r>
      <w:r w:rsidRPr="39FA0A2E" w:rsidR="118C2A30">
        <w:rPr>
          <w:rFonts w:ascii="Times New Roman" w:hAnsi="Times New Roman" w:eastAsia="Times New Roman" w:cs="Times New Roman"/>
          <w:b w:val="1"/>
          <w:bCs w:val="1"/>
          <w:noProof w:val="0"/>
          <w:sz w:val="24"/>
          <w:szCs w:val="24"/>
          <w:lang w:val="pt-BR"/>
        </w:rPr>
        <w:t xml:space="preserve"> da decisão da matéria de facto pelo tribunal de recurso</w:t>
      </w:r>
      <w:r w:rsidRPr="39FA0A2E" w:rsidR="118C2A30">
        <w:rPr>
          <w:rFonts w:ascii="Times New Roman" w:hAnsi="Times New Roman" w:eastAsia="Times New Roman" w:cs="Times New Roman"/>
          <w:noProof w:val="0"/>
          <w:sz w:val="24"/>
          <w:szCs w:val="24"/>
          <w:lang w:val="pt-BR"/>
        </w:rPr>
        <w:t>, salvo nos casos exce</w:t>
      </w:r>
      <w:r w:rsidRPr="39FA0A2E" w:rsidR="5ACCA6DF">
        <w:rPr>
          <w:rFonts w:ascii="Times New Roman" w:hAnsi="Times New Roman" w:eastAsia="Times New Roman" w:cs="Times New Roman"/>
          <w:noProof w:val="0"/>
          <w:sz w:val="24"/>
          <w:szCs w:val="24"/>
          <w:lang w:val="pt-BR"/>
        </w:rPr>
        <w:t>p</w:t>
      </w:r>
      <w:r w:rsidRPr="39FA0A2E" w:rsidR="118C2A30">
        <w:rPr>
          <w:rFonts w:ascii="Times New Roman" w:hAnsi="Times New Roman" w:eastAsia="Times New Roman" w:cs="Times New Roman"/>
          <w:noProof w:val="0"/>
          <w:sz w:val="24"/>
          <w:szCs w:val="24"/>
          <w:lang w:val="pt-BR"/>
        </w:rPr>
        <w:t xml:space="preserve">cionais aí previstos (deficiência, obscuridade ou contradição das respostas aos quesitos; ausência de fundamentação; ou apresentação de documento novo superveniente). Este princípio, que decorre do sistema da </w:t>
      </w:r>
      <w:r w:rsidRPr="39FA0A2E" w:rsidR="118C2A30">
        <w:rPr>
          <w:rFonts w:ascii="Times New Roman" w:hAnsi="Times New Roman" w:eastAsia="Times New Roman" w:cs="Times New Roman"/>
          <w:i w:val="1"/>
          <w:iCs w:val="1"/>
          <w:noProof w:val="0"/>
          <w:sz w:val="24"/>
          <w:szCs w:val="24"/>
          <w:lang w:val="pt-BR"/>
        </w:rPr>
        <w:t>imediação</w:t>
      </w:r>
      <w:r w:rsidRPr="39FA0A2E" w:rsidR="118C2A30">
        <w:rPr>
          <w:rFonts w:ascii="Times New Roman" w:hAnsi="Times New Roman" w:eastAsia="Times New Roman" w:cs="Times New Roman"/>
          <w:noProof w:val="0"/>
          <w:sz w:val="24"/>
          <w:szCs w:val="24"/>
          <w:lang w:val="pt-BR"/>
        </w:rPr>
        <w:t xml:space="preserve"> e da </w:t>
      </w:r>
      <w:r w:rsidRPr="39FA0A2E" w:rsidR="118C2A30">
        <w:rPr>
          <w:rFonts w:ascii="Times New Roman" w:hAnsi="Times New Roman" w:eastAsia="Times New Roman" w:cs="Times New Roman"/>
          <w:i w:val="1"/>
          <w:iCs w:val="1"/>
          <w:noProof w:val="0"/>
          <w:sz w:val="24"/>
          <w:szCs w:val="24"/>
          <w:lang w:val="pt-BR"/>
        </w:rPr>
        <w:t>colegialidade</w:t>
      </w:r>
      <w:r w:rsidRPr="39FA0A2E" w:rsidR="118C2A30">
        <w:rPr>
          <w:rFonts w:ascii="Times New Roman" w:hAnsi="Times New Roman" w:eastAsia="Times New Roman" w:cs="Times New Roman"/>
          <w:noProof w:val="0"/>
          <w:sz w:val="24"/>
          <w:szCs w:val="24"/>
          <w:lang w:val="pt-BR"/>
        </w:rPr>
        <w:t xml:space="preserve"> consagrado no Capítulo IV, confere ao tribunal </w:t>
      </w:r>
      <w:r w:rsidRPr="39FA0A2E" w:rsidR="118C2A30">
        <w:rPr>
          <w:rFonts w:ascii="Times New Roman" w:hAnsi="Times New Roman" w:eastAsia="Times New Roman" w:cs="Times New Roman"/>
          <w:noProof w:val="0"/>
          <w:sz w:val="24"/>
          <w:szCs w:val="24"/>
          <w:lang w:val="pt-BR"/>
        </w:rPr>
        <w:t>cole</w:t>
      </w:r>
      <w:r w:rsidRPr="39FA0A2E" w:rsidR="71FD2180">
        <w:rPr>
          <w:rFonts w:ascii="Times New Roman" w:hAnsi="Times New Roman" w:eastAsia="Times New Roman" w:cs="Times New Roman"/>
          <w:noProof w:val="0"/>
          <w:sz w:val="24"/>
          <w:szCs w:val="24"/>
          <w:lang w:val="pt-BR"/>
        </w:rPr>
        <w:t>c</w:t>
      </w:r>
      <w:r w:rsidRPr="39FA0A2E" w:rsidR="118C2A30">
        <w:rPr>
          <w:rFonts w:ascii="Times New Roman" w:hAnsi="Times New Roman" w:eastAsia="Times New Roman" w:cs="Times New Roman"/>
          <w:noProof w:val="0"/>
          <w:sz w:val="24"/>
          <w:szCs w:val="24"/>
          <w:lang w:val="pt-BR"/>
        </w:rPr>
        <w:t>tivo</w:t>
      </w:r>
      <w:r w:rsidRPr="39FA0A2E" w:rsidR="118C2A30">
        <w:rPr>
          <w:rFonts w:ascii="Times New Roman" w:hAnsi="Times New Roman" w:eastAsia="Times New Roman" w:cs="Times New Roman"/>
          <w:noProof w:val="0"/>
          <w:sz w:val="24"/>
          <w:szCs w:val="24"/>
          <w:lang w:val="pt-BR"/>
        </w:rPr>
        <w:t xml:space="preserve"> da primeira instância uma especial autoridade na apreciação da prova, que só pode ser afastada em casos de manifesto erro ou de vícios formais.</w:t>
      </w:r>
    </w:p>
    <w:p xmlns:wp14="http://schemas.microsoft.com/office/word/2010/wordml" w:rsidP="13B75570" wp14:paraId="60F003E6" wp14:textId="35E10736">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299158257" w:id="2041509055"/>
      <w:r w:rsidRPr="39FA0A2E" w:rsidR="118C2A30">
        <w:rPr>
          <w:rFonts w:ascii="Times New Roman" w:hAnsi="Times New Roman" w:eastAsia="Times New Roman" w:cs="Times New Roman"/>
          <w:b w:val="1"/>
          <w:bCs w:val="1"/>
          <w:noProof w:val="0"/>
          <w:sz w:val="24"/>
          <w:szCs w:val="24"/>
          <w:lang w:val="pt-BR"/>
        </w:rPr>
        <w:t>b) Recurso de Revista (arts. 721.º a 732.º)</w:t>
      </w:r>
      <w:bookmarkEnd w:id="2041509055"/>
    </w:p>
    <w:p xmlns:wp14="http://schemas.microsoft.com/office/word/2010/wordml" w:rsidP="13B75570" wp14:paraId="1D508D67" wp14:textId="513D7E0C">
      <w:pPr>
        <w:spacing w:before="240" w:beforeAutospacing="off" w:after="240" w:afterAutospacing="off"/>
        <w:jc w:val="both"/>
      </w:pPr>
      <w:r w:rsidRPr="39FA0A2E" w:rsidR="118C2A30">
        <w:rPr>
          <w:rFonts w:ascii="Times New Roman" w:hAnsi="Times New Roman" w:eastAsia="Times New Roman" w:cs="Times New Roman"/>
          <w:noProof w:val="0"/>
          <w:sz w:val="24"/>
          <w:szCs w:val="24"/>
          <w:lang w:val="pt-BR"/>
        </w:rPr>
        <w:t xml:space="preserve">O recurso de revista é o recurso ordinário interposto para o Tribunal Supremo, das decisões da Relação que conheçam do mérito da causa (art. 721.º, n.º 1). O seu fundamento específico é a </w:t>
      </w:r>
      <w:r w:rsidRPr="39FA0A2E" w:rsidR="118C2A30">
        <w:rPr>
          <w:rFonts w:ascii="Times New Roman" w:hAnsi="Times New Roman" w:eastAsia="Times New Roman" w:cs="Times New Roman"/>
          <w:b w:val="1"/>
          <w:bCs w:val="1"/>
          <w:noProof w:val="0"/>
          <w:sz w:val="24"/>
          <w:szCs w:val="24"/>
          <w:lang w:val="pt-BR"/>
        </w:rPr>
        <w:t>violação da lei substantiva</w:t>
      </w:r>
      <w:r w:rsidRPr="39FA0A2E" w:rsidR="118C2A30">
        <w:rPr>
          <w:rFonts w:ascii="Times New Roman" w:hAnsi="Times New Roman" w:eastAsia="Times New Roman" w:cs="Times New Roman"/>
          <w:noProof w:val="0"/>
          <w:sz w:val="24"/>
          <w:szCs w:val="24"/>
          <w:lang w:val="pt-BR"/>
        </w:rPr>
        <w:t xml:space="preserve"> (art. 721.º, n.º 2), que pode consistir em erro de interpretação ou de aplicação, ou em erro de determinação da norma aplicável. O erro na apreciação das provas e na fixação dos factos materiais não pode ser objeto de revista, salvo se houver ofensa de uma disposição expressa de lei que exija certa espécie de prova (art. 722.º, n.º 2). A revista, à semelhança da apelação, tem, em regra, efeito meramente devolutivo (art. 723.º), salvo em questões de estado de pessoas. O julgamento, que exige três votos conformes para haver vencimento (art. 728.º, n.º 1), revela a especial natureza do Tribunal Supremo como órgão de uniformização da jurisprudência e de garantia da corre</w:t>
      </w:r>
      <w:r w:rsidRPr="39FA0A2E" w:rsidR="7B43F5F6">
        <w:rPr>
          <w:rFonts w:ascii="Times New Roman" w:hAnsi="Times New Roman" w:eastAsia="Times New Roman" w:cs="Times New Roman"/>
          <w:noProof w:val="0"/>
          <w:sz w:val="24"/>
          <w:szCs w:val="24"/>
          <w:lang w:val="pt-BR"/>
        </w:rPr>
        <w:t>c</w:t>
      </w:r>
      <w:r w:rsidRPr="39FA0A2E" w:rsidR="118C2A30">
        <w:rPr>
          <w:rFonts w:ascii="Times New Roman" w:hAnsi="Times New Roman" w:eastAsia="Times New Roman" w:cs="Times New Roman"/>
          <w:noProof w:val="0"/>
          <w:sz w:val="24"/>
          <w:szCs w:val="24"/>
          <w:lang w:val="pt-BR"/>
        </w:rPr>
        <w:t>ta aplicação do direito material.</w:t>
      </w:r>
    </w:p>
    <w:p xmlns:wp14="http://schemas.microsoft.com/office/word/2010/wordml" w:rsidP="13B75570" wp14:paraId="19315808" wp14:textId="5267F27E">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2035419612" w:id="1624110394"/>
      <w:r w:rsidRPr="39FA0A2E" w:rsidR="118C2A30">
        <w:rPr>
          <w:rFonts w:ascii="Times New Roman" w:hAnsi="Times New Roman" w:eastAsia="Times New Roman" w:cs="Times New Roman"/>
          <w:b w:val="1"/>
          <w:bCs w:val="1"/>
          <w:noProof w:val="0"/>
          <w:sz w:val="24"/>
          <w:szCs w:val="24"/>
          <w:lang w:val="pt-BR"/>
        </w:rPr>
        <w:t>c) Agravo (arts. 733.º a 762.º)</w:t>
      </w:r>
      <w:bookmarkEnd w:id="1624110394"/>
    </w:p>
    <w:p xmlns:wp14="http://schemas.microsoft.com/office/word/2010/wordml" w:rsidP="13B75570" wp14:paraId="640BCA4F" wp14:textId="76D45FBE">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 xml:space="preserve">O agravo é o recurso ordinário que cabe de todas as decisões suscetíveis de recurso de que não caiba apelação (art. 733.º). Trata-se de um recurso de natureza eminentemente incidental, interposto de despachos interlocutórios e de decisões que não ponham termo ao processo, mas que podem causar prejuízo irreparável ou de difícil reparação a uma das partes. O agravo distingue-se pela sua </w:t>
      </w:r>
      <w:r w:rsidRPr="13B75570" w:rsidR="118C2A30">
        <w:rPr>
          <w:rFonts w:ascii="Times New Roman" w:hAnsi="Times New Roman" w:eastAsia="Times New Roman" w:cs="Times New Roman"/>
          <w:b w:val="1"/>
          <w:bCs w:val="1"/>
          <w:noProof w:val="0"/>
          <w:sz w:val="24"/>
          <w:szCs w:val="24"/>
          <w:lang w:val="pt-BR"/>
        </w:rPr>
        <w:t>variedade de regimes de subida e efeitos</w:t>
      </w:r>
      <w:r w:rsidRPr="13B75570" w:rsidR="118C2A30">
        <w:rPr>
          <w:rFonts w:ascii="Times New Roman" w:hAnsi="Times New Roman" w:eastAsia="Times New Roman" w:cs="Times New Roman"/>
          <w:noProof w:val="0"/>
          <w:sz w:val="24"/>
          <w:szCs w:val="24"/>
          <w:lang w:val="pt-BR"/>
        </w:rPr>
        <w:t>, que são fixados pelo juiz no despacho de admissão (art. 741.º):</w:t>
      </w:r>
    </w:p>
    <w:p xmlns:wp14="http://schemas.microsoft.com/office/word/2010/wordml" w:rsidP="39FA0A2E" wp14:paraId="0E9DC4C7" wp14:textId="1DB30470">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Subida Imediata e nos Próprios Autos (arts. 734.º, al. a) e 736.º, al. a):</w:t>
      </w:r>
      <w:r w:rsidRPr="39FA0A2E" w:rsidR="118C2A30">
        <w:rPr>
          <w:rFonts w:ascii="Times New Roman" w:hAnsi="Times New Roman" w:eastAsia="Times New Roman" w:cs="Times New Roman"/>
          <w:noProof w:val="0"/>
          <w:sz w:val="24"/>
          <w:szCs w:val="24"/>
          <w:lang w:val="pt-BR"/>
        </w:rPr>
        <w:t xml:space="preserve"> Ocorre, por exemplo, quando o agravo é interposto de decisão que ponha termo ao processo, ou de despacho que julgue o tribunal absolutamente incompetente.</w:t>
      </w:r>
    </w:p>
    <w:p xmlns:wp14="http://schemas.microsoft.com/office/word/2010/wordml" w:rsidP="39FA0A2E" wp14:paraId="411A8FEA" wp14:textId="073476DC">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Subida Imediata e em Separado (art. 737.º):</w:t>
      </w:r>
      <w:r w:rsidRPr="39FA0A2E" w:rsidR="118C2A30">
        <w:rPr>
          <w:rFonts w:ascii="Times New Roman" w:hAnsi="Times New Roman" w:eastAsia="Times New Roman" w:cs="Times New Roman"/>
          <w:noProof w:val="0"/>
          <w:sz w:val="24"/>
          <w:szCs w:val="24"/>
          <w:lang w:val="pt-BR"/>
        </w:rPr>
        <w:t xml:space="preserve"> É o regime geral dos agravos não compreendidos no artigo 736.º.</w:t>
      </w:r>
    </w:p>
    <w:p xmlns:wp14="http://schemas.microsoft.com/office/word/2010/wordml" w:rsidP="39FA0A2E" wp14:paraId="192EA736" wp14:textId="699AD583">
      <w:pPr>
        <w:pStyle w:val="ListParagraph"/>
        <w:numPr>
          <w:ilvl w:val="0"/>
          <w:numId w:val="6"/>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Subida Diferida (art. 735.º):</w:t>
      </w:r>
      <w:r w:rsidRPr="39FA0A2E" w:rsidR="118C2A30">
        <w:rPr>
          <w:rFonts w:ascii="Times New Roman" w:hAnsi="Times New Roman" w:eastAsia="Times New Roman" w:cs="Times New Roman"/>
          <w:noProof w:val="0"/>
          <w:sz w:val="24"/>
          <w:szCs w:val="24"/>
          <w:lang w:val="pt-BR"/>
        </w:rPr>
        <w:t xml:space="preserve"> Os agravos que não sobem imediatamente sobem com o primeiro recurso que, depois de interpostos, haja de subir imediatamente, ou com a decisão final, se não houver outro recurso.</w:t>
      </w:r>
    </w:p>
    <w:p xmlns:wp14="http://schemas.microsoft.com/office/word/2010/wordml" w:rsidP="13B75570" wp14:paraId="334B5CFD" wp14:textId="744F5DCE">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 xml:space="preserve">Quanto aos </w:t>
      </w:r>
      <w:r w:rsidRPr="13B75570" w:rsidR="118C2A30">
        <w:rPr>
          <w:rFonts w:ascii="Times New Roman" w:hAnsi="Times New Roman" w:eastAsia="Times New Roman" w:cs="Times New Roman"/>
          <w:b w:val="1"/>
          <w:bCs w:val="1"/>
          <w:noProof w:val="0"/>
          <w:sz w:val="24"/>
          <w:szCs w:val="24"/>
          <w:lang w:val="pt-BR"/>
        </w:rPr>
        <w:t>efeitos</w:t>
      </w:r>
      <w:r w:rsidRPr="13B75570" w:rsidR="118C2A30">
        <w:rPr>
          <w:rFonts w:ascii="Times New Roman" w:hAnsi="Times New Roman" w:eastAsia="Times New Roman" w:cs="Times New Roman"/>
          <w:noProof w:val="0"/>
          <w:sz w:val="24"/>
          <w:szCs w:val="24"/>
          <w:lang w:val="pt-BR"/>
        </w:rPr>
        <w:t xml:space="preserve">, os agravos que sobem imediatamente nos próprios autos têm efeito suspensivo (art. 740.º, n.º 1). Os restantes só têm efeito suspensivo nos casos taxativos do n.º 2 do artigo 740.º, ou quando o juiz o atribua, reconhecendo que a execução imediata do despacho pode causar prejuízo irreparável (n.º 3). O julgamento do agravo segue, na parte aplicável, o regime da apelação (art. 749.º), mas o artigo 762.º confere ao tribunal </w:t>
      </w:r>
      <w:r w:rsidRPr="13B75570" w:rsidR="118C2A30">
        <w:rPr>
          <w:rFonts w:ascii="Times New Roman" w:hAnsi="Times New Roman" w:eastAsia="Times New Roman" w:cs="Times New Roman"/>
          <w:i w:val="1"/>
          <w:iCs w:val="1"/>
          <w:noProof w:val="0"/>
          <w:sz w:val="24"/>
          <w:szCs w:val="24"/>
          <w:lang w:val="pt-BR"/>
        </w:rPr>
        <w:t>ad quem</w:t>
      </w:r>
      <w:r w:rsidRPr="13B75570" w:rsidR="118C2A30">
        <w:rPr>
          <w:rFonts w:ascii="Times New Roman" w:hAnsi="Times New Roman" w:eastAsia="Times New Roman" w:cs="Times New Roman"/>
          <w:noProof w:val="0"/>
          <w:sz w:val="24"/>
          <w:szCs w:val="24"/>
          <w:lang w:val="pt-BR"/>
        </w:rPr>
        <w:t xml:space="preserve"> poderes especiais para conhecer do mérito da causa quando o juiz </w:t>
      </w:r>
      <w:r w:rsidRPr="13B75570" w:rsidR="118C2A30">
        <w:rPr>
          <w:rFonts w:ascii="Times New Roman" w:hAnsi="Times New Roman" w:eastAsia="Times New Roman" w:cs="Times New Roman"/>
          <w:i w:val="1"/>
          <w:iCs w:val="1"/>
          <w:noProof w:val="0"/>
          <w:sz w:val="24"/>
          <w:szCs w:val="24"/>
          <w:lang w:val="pt-BR"/>
        </w:rPr>
        <w:t>a quo</w:t>
      </w:r>
      <w:r w:rsidRPr="13B75570" w:rsidR="118C2A30">
        <w:rPr>
          <w:rFonts w:ascii="Times New Roman" w:hAnsi="Times New Roman" w:eastAsia="Times New Roman" w:cs="Times New Roman"/>
          <w:noProof w:val="0"/>
          <w:sz w:val="24"/>
          <w:szCs w:val="24"/>
          <w:lang w:val="pt-BR"/>
        </w:rPr>
        <w:t xml:space="preserve"> tiver deixado de o fazer.</w:t>
      </w:r>
    </w:p>
    <w:p xmlns:wp14="http://schemas.microsoft.com/office/word/2010/wordml" w:rsidP="39FA0A2E" wp14:paraId="5775EB50" wp14:textId="4EAB9201">
      <w:pPr>
        <w:pStyle w:val="Heading1"/>
        <w:rPr>
          <w:rFonts w:ascii="Times New Roman" w:hAnsi="Times New Roman" w:eastAsia="Times New Roman" w:cs="Times New Roman"/>
          <w:b w:val="1"/>
          <w:bCs w:val="1"/>
          <w:noProof w:val="0"/>
          <w:sz w:val="28"/>
          <w:szCs w:val="28"/>
          <w:lang w:val="pt-BR"/>
        </w:rPr>
      </w:pPr>
      <w:bookmarkStart w:name="_Toc171605054" w:id="1713165961"/>
      <w:r w:rsidRPr="39FA0A2E" w:rsidR="118C2A30">
        <w:rPr>
          <w:noProof w:val="0"/>
          <w:lang w:val="pt-BR"/>
        </w:rPr>
        <w:t>4. Recursos Extraordinários: Revisão e Oposição de Terceiro (arts. 771.º a 782.º)</w:t>
      </w:r>
      <w:bookmarkEnd w:id="1713165961"/>
    </w:p>
    <w:p xmlns:wp14="http://schemas.microsoft.com/office/word/2010/wordml" w:rsidP="13B75570" wp14:paraId="564D97A3" wp14:textId="7CDC2C7C">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89350739" w:id="1218994899"/>
      <w:r w:rsidRPr="39FA0A2E" w:rsidR="118C2A30">
        <w:rPr>
          <w:rFonts w:ascii="Times New Roman" w:hAnsi="Times New Roman" w:eastAsia="Times New Roman" w:cs="Times New Roman"/>
          <w:b w:val="1"/>
          <w:bCs w:val="1"/>
          <w:noProof w:val="0"/>
          <w:sz w:val="24"/>
          <w:szCs w:val="24"/>
          <w:lang w:val="pt-BR"/>
        </w:rPr>
        <w:t>a) Revisão (arts. 771.º a 777.º)</w:t>
      </w:r>
      <w:bookmarkEnd w:id="1218994899"/>
    </w:p>
    <w:p xmlns:wp14="http://schemas.microsoft.com/office/word/2010/wordml" w:rsidP="13B75570" wp14:paraId="311BDD12" wp14:textId="682DA439">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O recurso de revisão é um meio excecional de impugnação de decisões transitadas em julgado, fundado em vícios graves que afetam a justiça ou a verdade da decisão. Os fundamentos do recurso são taxativos (art. 771.º), incluindo a prevaricação, concussão ou corrupção do juiz, a falsidade de documento ou depoimento, a apresentação de documento novo, a nulidade da confissão, desistência ou transação, e a contradição com caso julgado anterior. O prazo para a interposição é de trinta dias, contados do trânsito em julgado da sentença que funda a revisão ou do conhecimento do facto que serve de base (art. 772.º, n.º 2). O recurso não tem efeito suspensivo (art. 774.º, n.º 4) e, se procedente, pode levar à revogação da decisão e à repetição do julgamento (art. 776.º). A revisão não se confunde com o recurso de aclaração, previsto no artigo 669.º, que visa apenas esclarecer obscuridades ou ambiguidades da decisão, e não a sua reforma ou anulação.</w:t>
      </w:r>
    </w:p>
    <w:p xmlns:wp14="http://schemas.microsoft.com/office/word/2010/wordml" w:rsidP="13B75570" wp14:paraId="2A624C3C" wp14:textId="336B9DA5">
      <w:pPr>
        <w:pStyle w:val="Heading4"/>
        <w:spacing w:before="319" w:beforeAutospacing="off" w:after="319" w:afterAutospacing="off"/>
        <w:jc w:val="both"/>
        <w:rPr>
          <w:rFonts w:ascii="Times New Roman" w:hAnsi="Times New Roman" w:eastAsia="Times New Roman" w:cs="Times New Roman"/>
          <w:b w:val="1"/>
          <w:bCs w:val="1"/>
          <w:noProof w:val="0"/>
          <w:sz w:val="24"/>
          <w:szCs w:val="24"/>
          <w:lang w:val="pt-BR"/>
        </w:rPr>
      </w:pPr>
      <w:bookmarkStart w:name="_Toc1865910695" w:id="1310804274"/>
      <w:r w:rsidRPr="39FA0A2E" w:rsidR="118C2A30">
        <w:rPr>
          <w:rFonts w:ascii="Times New Roman" w:hAnsi="Times New Roman" w:eastAsia="Times New Roman" w:cs="Times New Roman"/>
          <w:b w:val="1"/>
          <w:bCs w:val="1"/>
          <w:noProof w:val="0"/>
          <w:sz w:val="24"/>
          <w:szCs w:val="24"/>
          <w:lang w:val="pt-BR"/>
        </w:rPr>
        <w:t>b) Oposição de Terceiro (arts. 778.º a 782.º)</w:t>
      </w:r>
      <w:bookmarkEnd w:id="1310804274"/>
    </w:p>
    <w:p xmlns:wp14="http://schemas.microsoft.com/office/word/2010/wordml" w:rsidP="13B75570" wp14:paraId="06E9F196" wp14:textId="72AE78EA">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A oposição de terceiro é um recurso extraordinário que visa proteger os direitos de quem, não tendo sido parte no processo, foi prejudicado por uma decisão que resultou de simulação processual das partes (art. 778.º, n.º 1). O recurso é interposto no prazo de três meses a contar do trânsito em julgado da decisão final da ação de simulação (art. 780.º, n.º 1). Tal como a revisão, não tem efeito suspensivo (art. 781.º, n.º 3) e segue os termos do agravo quando dirigido a tribunal superior (art. 782.º, n.º 1). A oposição de terceiro é um mecanismo de tutela da justiça, impedindo que a fraude processual produza efeitos prejudiciais a terceiros alheios ao litígio.</w:t>
      </w:r>
    </w:p>
    <w:p xmlns:wp14="http://schemas.microsoft.com/office/word/2010/wordml" w:rsidP="39FA0A2E" wp14:paraId="496D12B9" wp14:textId="134B303F">
      <w:pPr>
        <w:pStyle w:val="Heading1"/>
        <w:rPr>
          <w:rFonts w:ascii="Times New Roman" w:hAnsi="Times New Roman" w:eastAsia="Times New Roman" w:cs="Times New Roman"/>
          <w:b w:val="1"/>
          <w:bCs w:val="1"/>
          <w:noProof w:val="0"/>
          <w:sz w:val="28"/>
          <w:szCs w:val="28"/>
          <w:lang w:val="pt-BR"/>
        </w:rPr>
      </w:pPr>
      <w:bookmarkStart w:name="_Toc741105380" w:id="121528500"/>
      <w:r w:rsidRPr="39FA0A2E" w:rsidR="118C2A30">
        <w:rPr>
          <w:noProof w:val="0"/>
          <w:lang w:val="pt-BR"/>
        </w:rPr>
        <w:t>5. O Recurso para o Tribunal Pleno (arts. 763.º a 770.º)</w:t>
      </w:r>
      <w:bookmarkEnd w:id="121528500"/>
    </w:p>
    <w:p xmlns:wp14="http://schemas.microsoft.com/office/word/2010/wordml" w:rsidP="13B75570" wp14:paraId="77EFE7BB" wp14:textId="3C3FBC99">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 xml:space="preserve">O recurso para o tribunal pleno é um remédio processual de natureza extraordinária, que visa a </w:t>
      </w:r>
      <w:r w:rsidRPr="13B75570" w:rsidR="118C2A30">
        <w:rPr>
          <w:rFonts w:ascii="Times New Roman" w:hAnsi="Times New Roman" w:eastAsia="Times New Roman" w:cs="Times New Roman"/>
          <w:b w:val="1"/>
          <w:bCs w:val="1"/>
          <w:noProof w:val="0"/>
          <w:sz w:val="24"/>
          <w:szCs w:val="24"/>
          <w:lang w:val="pt-BR"/>
        </w:rPr>
        <w:t>uniformização da jurisprudência</w:t>
      </w:r>
      <w:r w:rsidRPr="13B75570" w:rsidR="118C2A30">
        <w:rPr>
          <w:rFonts w:ascii="Times New Roman" w:hAnsi="Times New Roman" w:eastAsia="Times New Roman" w:cs="Times New Roman"/>
          <w:noProof w:val="0"/>
          <w:sz w:val="24"/>
          <w:szCs w:val="24"/>
          <w:lang w:val="pt-BR"/>
        </w:rPr>
        <w:t xml:space="preserve"> do Tribunal Supremo. O seu fundamento é a existência de dois acórdãos do Supremo que, no domínio da mesma legislação, tenham proferido soluções opostas sobre a mesma questão fundamental de direito (art. 763.º, n.º 1). O recurso é interposto do acórdão proferido em último lugar, e não tem efeito suspensivo (art. 765.º, n.º 1). O julgamento do conflito de jurisprudência, que exige a intervenção de pelo menos quatro quintos dos magistrados que compõem as secções do tribunal (art. 768.º, n.º 1), culmina na lavratura de um assento, publicado no Diário da República, que fixa a interpretação correta da norma controvertida (art. 769.º). Este recurso, embora de aplicação prática pouco frequente, cumpre uma função essencial de garantia da segurança jurídica e da igualdade de tratamento dos cidadãos perante a lei.</w:t>
      </w:r>
    </w:p>
    <w:p xmlns:wp14="http://schemas.microsoft.com/office/word/2010/wordml" w:rsidP="39FA0A2E" wp14:paraId="192B59EC" wp14:textId="40CEA264">
      <w:pPr>
        <w:pStyle w:val="Heading1"/>
        <w:rPr>
          <w:rFonts w:ascii="Times New Roman" w:hAnsi="Times New Roman" w:eastAsia="Times New Roman" w:cs="Times New Roman"/>
          <w:b w:val="1"/>
          <w:bCs w:val="1"/>
          <w:noProof w:val="0"/>
          <w:sz w:val="28"/>
          <w:szCs w:val="28"/>
          <w:lang w:val="pt-BR"/>
        </w:rPr>
      </w:pPr>
      <w:bookmarkStart w:name="_Toc626058889" w:id="1734493586"/>
      <w:r w:rsidRPr="39FA0A2E" w:rsidR="118C2A30">
        <w:rPr>
          <w:noProof w:val="0"/>
          <w:lang w:val="pt-BR"/>
        </w:rPr>
        <w:t>6. Principais Efeitos dos Recursos: Devolutivo, Suspensivo e Translativos</w:t>
      </w:r>
      <w:bookmarkEnd w:id="1734493586"/>
    </w:p>
    <w:p xmlns:wp14="http://schemas.microsoft.com/office/word/2010/wordml" w:rsidP="13B75570" wp14:paraId="2822185D" wp14:textId="4801F543">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A compreensão do sistema recursivo exige a distinção entre os três principais efeitos dos recursos, que se projetam de forma distinta em cada espécie de impugnação:</w:t>
      </w:r>
    </w:p>
    <w:p xmlns:wp14="http://schemas.microsoft.com/office/word/2010/wordml" w:rsidP="13B75570" wp14:paraId="0350D283" wp14:textId="66340366">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pt-BR"/>
        </w:rPr>
      </w:pPr>
      <w:r w:rsidRPr="39FA0A2E" w:rsidR="118C2A30">
        <w:rPr>
          <w:rFonts w:ascii="Times New Roman" w:hAnsi="Times New Roman" w:eastAsia="Times New Roman" w:cs="Times New Roman"/>
          <w:b w:val="1"/>
          <w:bCs w:val="1"/>
          <w:noProof w:val="0"/>
          <w:sz w:val="24"/>
          <w:szCs w:val="24"/>
          <w:lang w:val="pt-BR"/>
        </w:rPr>
        <w:t>Efeito Devolutivo:</w:t>
      </w:r>
      <w:r w:rsidRPr="39FA0A2E" w:rsidR="118C2A30">
        <w:rPr>
          <w:rFonts w:ascii="Times New Roman" w:hAnsi="Times New Roman" w:eastAsia="Times New Roman" w:cs="Times New Roman"/>
          <w:noProof w:val="0"/>
          <w:sz w:val="24"/>
          <w:szCs w:val="24"/>
          <w:lang w:val="pt-BR"/>
        </w:rPr>
        <w:t xml:space="preserve"> Consiste na transferência do conhecimento da matéria impugnada para o tribunal superior. O princípio </w:t>
      </w:r>
      <w:r w:rsidRPr="39FA0A2E" w:rsidR="118C2A30">
        <w:rPr>
          <w:rStyle w:val="SubtleReference"/>
          <w:noProof w:val="0"/>
          <w:lang w:val="pt-BR"/>
        </w:rPr>
        <w:t>tantum devolutum quantum appellatum</w:t>
      </w:r>
      <w:r w:rsidRPr="39FA0A2E" w:rsidR="118C2A30">
        <w:rPr>
          <w:rFonts w:ascii="Times New Roman" w:hAnsi="Times New Roman" w:eastAsia="Times New Roman" w:cs="Times New Roman"/>
          <w:noProof w:val="0"/>
          <w:sz w:val="24"/>
          <w:szCs w:val="24"/>
          <w:lang w:val="pt-BR"/>
        </w:rPr>
        <w:t xml:space="preserve"> </w:t>
      </w:r>
      <w:r w:rsidRPr="39FA0A2E" w:rsidR="118C2A30">
        <w:rPr>
          <w:rFonts w:ascii="Times New Roman" w:hAnsi="Times New Roman" w:eastAsia="Times New Roman" w:cs="Times New Roman"/>
          <w:b w:val="1"/>
          <w:bCs w:val="1"/>
          <w:i w:val="1"/>
          <w:iCs w:val="1"/>
          <w:noProof w:val="0"/>
          <w:sz w:val="24"/>
          <w:szCs w:val="24"/>
          <w:lang w:val="pt-BR"/>
        </w:rPr>
        <w:t xml:space="preserve">(ou </w:t>
      </w:r>
      <w:r w:rsidRPr="39FA0A2E" w:rsidR="118C2A30">
        <w:rPr>
          <w:rFonts w:ascii="Times New Roman" w:hAnsi="Times New Roman" w:eastAsia="Times New Roman" w:cs="Times New Roman"/>
          <w:b w:val="1"/>
          <w:bCs w:val="1"/>
          <w:i w:val="1"/>
          <w:iCs w:val="1"/>
          <w:noProof w:val="0"/>
          <w:sz w:val="24"/>
          <w:szCs w:val="24"/>
          <w:lang w:val="pt-BR"/>
        </w:rPr>
        <w:t>tantum devolutum quantum devolutum</w:t>
      </w:r>
      <w:r w:rsidRPr="39FA0A2E" w:rsidR="118C2A30">
        <w:rPr>
          <w:rFonts w:ascii="Times New Roman" w:hAnsi="Times New Roman" w:eastAsia="Times New Roman" w:cs="Times New Roman"/>
          <w:b w:val="1"/>
          <w:bCs w:val="1"/>
          <w:i w:val="1"/>
          <w:iCs w:val="1"/>
          <w:noProof w:val="0"/>
          <w:sz w:val="24"/>
          <w:szCs w:val="24"/>
          <w:lang w:val="pt-BR"/>
        </w:rPr>
        <w:t>)</w:t>
      </w:r>
      <w:r w:rsidRPr="39FA0A2E" w:rsidR="118C2A30">
        <w:rPr>
          <w:rFonts w:ascii="Times New Roman" w:hAnsi="Times New Roman" w:eastAsia="Times New Roman" w:cs="Times New Roman"/>
          <w:noProof w:val="0"/>
          <w:sz w:val="24"/>
          <w:szCs w:val="24"/>
          <w:lang w:val="pt-BR"/>
        </w:rPr>
        <w:t xml:space="preserve"> significa que o tribunal </w:t>
      </w:r>
      <w:r w:rsidRPr="39FA0A2E" w:rsidR="118C2A30">
        <w:rPr>
          <w:rFonts w:ascii="Times New Roman" w:hAnsi="Times New Roman" w:eastAsia="Times New Roman" w:cs="Times New Roman"/>
          <w:b w:val="1"/>
          <w:bCs w:val="1"/>
          <w:i w:val="1"/>
          <w:iCs w:val="1"/>
          <w:noProof w:val="0"/>
          <w:sz w:val="24"/>
          <w:szCs w:val="24"/>
          <w:lang w:val="pt-BR"/>
        </w:rPr>
        <w:t>ad quem</w:t>
      </w:r>
      <w:r w:rsidRPr="39FA0A2E" w:rsidR="118C2A30">
        <w:rPr>
          <w:rFonts w:ascii="Times New Roman" w:hAnsi="Times New Roman" w:eastAsia="Times New Roman" w:cs="Times New Roman"/>
          <w:noProof w:val="0"/>
          <w:sz w:val="24"/>
          <w:szCs w:val="24"/>
          <w:lang w:val="pt-BR"/>
        </w:rPr>
        <w:t xml:space="preserve"> só pode conhecer das questões que foram expressamente submetidas à sua apreciação pelo recorrente, nas suas conclusões (art. 690.º, n.º 1). O efeito devolutivo é inerente a todos os recursos, sendo a sua amplitude variável em função do tipo de recurso e da sua fundamentação.</w:t>
      </w:r>
    </w:p>
    <w:p xmlns:wp14="http://schemas.microsoft.com/office/word/2010/wordml" w:rsidP="13B75570" wp14:paraId="5ACF32EF" wp14:textId="26EE497A">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pt-BR"/>
        </w:rPr>
      </w:pPr>
      <w:r w:rsidRPr="13B75570" w:rsidR="118C2A30">
        <w:rPr>
          <w:rFonts w:ascii="Times New Roman" w:hAnsi="Times New Roman" w:eastAsia="Times New Roman" w:cs="Times New Roman"/>
          <w:b w:val="1"/>
          <w:bCs w:val="1"/>
          <w:noProof w:val="0"/>
          <w:sz w:val="24"/>
          <w:szCs w:val="24"/>
          <w:lang w:val="pt-BR"/>
        </w:rPr>
        <w:t>Efeito Suspensivo:</w:t>
      </w:r>
      <w:r w:rsidRPr="13B75570" w:rsidR="118C2A30">
        <w:rPr>
          <w:rFonts w:ascii="Times New Roman" w:hAnsi="Times New Roman" w:eastAsia="Times New Roman" w:cs="Times New Roman"/>
          <w:noProof w:val="0"/>
          <w:sz w:val="24"/>
          <w:szCs w:val="24"/>
          <w:lang w:val="pt-BR"/>
        </w:rPr>
        <w:t xml:space="preserve"> Impede a execução provisória da decisão recorrida enquanto o recurso estiver pendente. Este efeito é a regra geral para a apelação (art. 692.º, n.ºs 1 e 2), mas a exceção para o agravo, que só o tem nos casos taxativos do artigo 740.º. O efeito suspensivo visa evitar que a execução de uma decisão que venha a ser revogada cause prejuízos irreparáveis à parte vencida.</w:t>
      </w:r>
    </w:p>
    <w:p xmlns:wp14="http://schemas.microsoft.com/office/word/2010/wordml" w:rsidP="13B75570" wp14:paraId="7399164B" wp14:textId="735DCA4B">
      <w:pPr>
        <w:pStyle w:val="ListParagraph"/>
        <w:numPr>
          <w:ilvl w:val="0"/>
          <w:numId w:val="4"/>
        </w:numPr>
        <w:spacing w:before="0" w:beforeAutospacing="off" w:after="0" w:afterAutospacing="off"/>
        <w:jc w:val="both"/>
        <w:rPr>
          <w:rFonts w:ascii="Times New Roman" w:hAnsi="Times New Roman" w:eastAsia="Times New Roman" w:cs="Times New Roman"/>
          <w:noProof w:val="0"/>
          <w:sz w:val="24"/>
          <w:szCs w:val="24"/>
          <w:lang w:val="pt-BR"/>
        </w:rPr>
      </w:pPr>
      <w:r w:rsidRPr="13B75570" w:rsidR="118C2A30">
        <w:rPr>
          <w:rFonts w:ascii="Times New Roman" w:hAnsi="Times New Roman" w:eastAsia="Times New Roman" w:cs="Times New Roman"/>
          <w:b w:val="1"/>
          <w:bCs w:val="1"/>
          <w:noProof w:val="0"/>
          <w:sz w:val="24"/>
          <w:szCs w:val="24"/>
          <w:lang w:val="pt-BR"/>
        </w:rPr>
        <w:t>Efeito Translaticio (ou Translativo):</w:t>
      </w:r>
      <w:r w:rsidRPr="13B75570" w:rsidR="118C2A30">
        <w:rPr>
          <w:rFonts w:ascii="Times New Roman" w:hAnsi="Times New Roman" w:eastAsia="Times New Roman" w:cs="Times New Roman"/>
          <w:noProof w:val="0"/>
          <w:sz w:val="24"/>
          <w:szCs w:val="24"/>
          <w:lang w:val="pt-BR"/>
        </w:rPr>
        <w:t xml:space="preserve"> Implica que o tribunal de recurso pode conhecer de questões que não foram suscitadas na primeira instância, mas que são de conhecimento oficioso, como a exceção de caso julgado, a incompetência absoluta ou a nulidade do processo (arts. 495.º, 500.º e 660.º, n.º 2). Este efeito, que decorre do </w:t>
      </w:r>
      <w:r w:rsidRPr="13B75570" w:rsidR="118C2A30">
        <w:rPr>
          <w:rFonts w:ascii="Times New Roman" w:hAnsi="Times New Roman" w:eastAsia="Times New Roman" w:cs="Times New Roman"/>
          <w:i w:val="1"/>
          <w:iCs w:val="1"/>
          <w:noProof w:val="0"/>
          <w:sz w:val="24"/>
          <w:szCs w:val="24"/>
          <w:lang w:val="pt-BR"/>
        </w:rPr>
        <w:t>poder inquisitório</w:t>
      </w:r>
      <w:r w:rsidRPr="13B75570" w:rsidR="118C2A30">
        <w:rPr>
          <w:rFonts w:ascii="Times New Roman" w:hAnsi="Times New Roman" w:eastAsia="Times New Roman" w:cs="Times New Roman"/>
          <w:noProof w:val="0"/>
          <w:sz w:val="24"/>
          <w:szCs w:val="24"/>
          <w:lang w:val="pt-BR"/>
        </w:rPr>
        <w:t xml:space="preserve"> do juiz (art. 264.º, n.º 3), confere ao tribunal </w:t>
      </w:r>
      <w:r w:rsidRPr="13B75570" w:rsidR="118C2A30">
        <w:rPr>
          <w:rFonts w:ascii="Times New Roman" w:hAnsi="Times New Roman" w:eastAsia="Times New Roman" w:cs="Times New Roman"/>
          <w:i w:val="1"/>
          <w:iCs w:val="1"/>
          <w:noProof w:val="0"/>
          <w:sz w:val="24"/>
          <w:szCs w:val="24"/>
          <w:lang w:val="pt-BR"/>
        </w:rPr>
        <w:t>ad quem</w:t>
      </w:r>
      <w:r w:rsidRPr="13B75570" w:rsidR="118C2A30">
        <w:rPr>
          <w:rFonts w:ascii="Times New Roman" w:hAnsi="Times New Roman" w:eastAsia="Times New Roman" w:cs="Times New Roman"/>
          <w:noProof w:val="0"/>
          <w:sz w:val="24"/>
          <w:szCs w:val="24"/>
          <w:lang w:val="pt-BR"/>
        </w:rPr>
        <w:t xml:space="preserve"> a faculdade de, mesmo em grau de recurso, assegurar a legalidade do processo e a justiça da decisão.</w:t>
      </w:r>
    </w:p>
    <w:p xmlns:wp14="http://schemas.microsoft.com/office/word/2010/wordml" w:rsidP="39FA0A2E" wp14:paraId="3DF3B346" wp14:textId="558C0CB6">
      <w:pPr>
        <w:pStyle w:val="Heading1"/>
        <w:rPr>
          <w:rFonts w:ascii="Times New Roman" w:hAnsi="Times New Roman" w:eastAsia="Times New Roman" w:cs="Times New Roman"/>
          <w:b w:val="1"/>
          <w:bCs w:val="1"/>
          <w:noProof w:val="0"/>
          <w:sz w:val="28"/>
          <w:szCs w:val="28"/>
          <w:lang w:val="pt-BR"/>
        </w:rPr>
      </w:pPr>
      <w:bookmarkStart w:name="_Toc1530036554" w:id="1647553568"/>
      <w:r w:rsidRPr="39FA0A2E" w:rsidR="118C2A30">
        <w:rPr>
          <w:noProof w:val="0"/>
          <w:lang w:val="pt-BR"/>
        </w:rPr>
        <w:t>7. Conclusão</w:t>
      </w:r>
      <w:bookmarkEnd w:id="1647553568"/>
    </w:p>
    <w:p xmlns:wp14="http://schemas.microsoft.com/office/word/2010/wordml" w:rsidP="13B75570" wp14:paraId="1433014B" wp14:textId="03D9D076">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O Capítulo VI do CPC, "Dos Recursos", constitui um edifício dogmático de grande complexidade e rigor, que assegura a efetividade do direito fundamental ao recurso e a correção das decisões judiciais. A distinção entre recursos ordinários e extraordinários, a disciplina dos seus efeitos e regimes de subida, e a criação de mecanismos de uniformização da jurisprudência revelam a preocupação do legislador em conciliar a necessidade de justiça do caso concreto com a exigência de segurança jurídica e de estabilidade do ordenamento. Ao longo deste capítulo, o legislador estabelece as regras do jogo processual, permitindo às partes e ao Ministério Público exercer o seu direito de impugnação, mas delimitando rigorosamente os seus contornos, de modo a evitar abusos e a garantir a celeridade e a eficácia da prestação jurisdicional.</w:t>
      </w:r>
    </w:p>
    <w:p xmlns:wp14="http://schemas.microsoft.com/office/word/2010/wordml" w:rsidP="13B75570" wp14:paraId="311B29D4" wp14:textId="281E6BE1">
      <w:pPr>
        <w:spacing w:before="240" w:beforeAutospacing="off" w:after="240" w:afterAutospacing="off"/>
        <w:jc w:val="both"/>
      </w:pPr>
      <w:r w:rsidRPr="13B75570" w:rsidR="118C2A30">
        <w:rPr>
          <w:rFonts w:ascii="Times New Roman" w:hAnsi="Times New Roman" w:eastAsia="Times New Roman" w:cs="Times New Roman"/>
          <w:noProof w:val="0"/>
          <w:sz w:val="24"/>
          <w:szCs w:val="24"/>
          <w:lang w:val="pt-BR"/>
        </w:rPr>
        <w:t xml:space="preserve">O recurso, na sua essência, não é um fim em si mesmo, mas um instrumento ao serviço da justiça e do Estado de Direito. A sua correta compreensão e aplicação exige do operador jurídico um conhecimento profundo das suas nuances, desde a tempestividade e a legitimidade até aos efeitos e aos poderes do tribunal </w:t>
      </w:r>
      <w:r w:rsidRPr="13B75570" w:rsidR="118C2A30">
        <w:rPr>
          <w:rFonts w:ascii="Times New Roman" w:hAnsi="Times New Roman" w:eastAsia="Times New Roman" w:cs="Times New Roman"/>
          <w:i w:val="1"/>
          <w:iCs w:val="1"/>
          <w:noProof w:val="0"/>
          <w:sz w:val="24"/>
          <w:szCs w:val="24"/>
          <w:lang w:val="pt-BR"/>
        </w:rPr>
        <w:t>ad quem</w:t>
      </w:r>
      <w:r w:rsidRPr="13B75570" w:rsidR="118C2A30">
        <w:rPr>
          <w:rFonts w:ascii="Times New Roman" w:hAnsi="Times New Roman" w:eastAsia="Times New Roman" w:cs="Times New Roman"/>
          <w:noProof w:val="0"/>
          <w:sz w:val="24"/>
          <w:szCs w:val="24"/>
          <w:lang w:val="pt-BR"/>
        </w:rPr>
        <w:t>. A jurisprudência do Tribunal Supremo, ao aplicar e interpretar estas normas, tem vindo a consolidar um sistema de impugnação que, embora complexo, se revela essencial para a garantia da tutela jurisdicional efetiva e para a evolução do direito processual civil angolano, como se pode verificar nos recentes acórdãos que tratam da alteração do efeito dos recursos e da admissibilidade da apelação em procedimentos cautelares.</w:t>
      </w:r>
    </w:p>
    <w:p xmlns:wp14="http://schemas.microsoft.com/office/word/2010/wordml" w:rsidP="13B75570" wp14:paraId="1E207724" wp14:textId="407BA421">
      <w:pPr>
        <w:pStyle w:val="Normal"/>
        <w:jc w:val="both"/>
        <w:rPr>
          <w:rFonts w:ascii="Times New Roman" w:hAnsi="Times New Roman" w:eastAsia="Times New Roman" w:cs="Times New Roman"/>
          <w:noProof w:val="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a2bb0ab"/>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bf626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0bc2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c226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40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4d0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64CFAA"/>
    <w:rsid w:val="01ED7945"/>
    <w:rsid w:val="049FAC70"/>
    <w:rsid w:val="0A5781AE"/>
    <w:rsid w:val="0BDF2F35"/>
    <w:rsid w:val="118C2A30"/>
    <w:rsid w:val="12A3F90A"/>
    <w:rsid w:val="13B75570"/>
    <w:rsid w:val="14E245C6"/>
    <w:rsid w:val="1B855832"/>
    <w:rsid w:val="1C47ED2E"/>
    <w:rsid w:val="1C9C85AB"/>
    <w:rsid w:val="20770635"/>
    <w:rsid w:val="2545726D"/>
    <w:rsid w:val="2664CFAA"/>
    <w:rsid w:val="38BD3C86"/>
    <w:rsid w:val="39592626"/>
    <w:rsid w:val="39AD7A2F"/>
    <w:rsid w:val="39FA0A2E"/>
    <w:rsid w:val="3C0D5085"/>
    <w:rsid w:val="3DC0D0B0"/>
    <w:rsid w:val="3E2AAFDD"/>
    <w:rsid w:val="4B2AC696"/>
    <w:rsid w:val="4C7C8247"/>
    <w:rsid w:val="52DB181A"/>
    <w:rsid w:val="57DCB10C"/>
    <w:rsid w:val="5ACCA6DF"/>
    <w:rsid w:val="5CC30CC7"/>
    <w:rsid w:val="5EACDACD"/>
    <w:rsid w:val="60BEEEFC"/>
    <w:rsid w:val="64802899"/>
    <w:rsid w:val="654C09A1"/>
    <w:rsid w:val="69B013BB"/>
    <w:rsid w:val="6E2D3BBC"/>
    <w:rsid w:val="6EC83A26"/>
    <w:rsid w:val="6F7B21BB"/>
    <w:rsid w:val="6FFD9635"/>
    <w:rsid w:val="71B7C237"/>
    <w:rsid w:val="71FD2180"/>
    <w:rsid w:val="7760391F"/>
    <w:rsid w:val="7B43F5F6"/>
    <w:rsid w:val="7B852C0C"/>
    <w:rsid w:val="7C7C57CA"/>
    <w:rsid w:val="7FEE13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14FF"/>
  <w15:chartTrackingRefBased/>
  <w15:docId w15:val="{1B9C8BD8-182F-4277-AFD4-C7DA05BABC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3B755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B7557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3B75570"/>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3B75570"/>
    <w:pPr>
      <w:spacing/>
      <w:ind w:left="720"/>
      <w:contextualSpacing/>
    </w:pPr>
  </w:style>
  <w:style w:type="paragraph" w:styleId="Title">
    <w:uiPriority w:val="10"/>
    <w:name w:val="Title"/>
    <w:basedOn w:val="Normal"/>
    <w:next w:val="Normal"/>
    <w:qFormat/>
    <w:rsid w:val="13B7557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13B75570"/>
    <w:rPr>
      <w:color w:val="467886"/>
      <w:u w:val="single"/>
    </w:rPr>
  </w:style>
  <w:style w:type="paragraph" w:styleId="TOC3">
    <w:uiPriority w:val="39"/>
    <w:name w:val="toc 3"/>
    <w:basedOn w:val="Normal"/>
    <w:next w:val="Normal"/>
    <w:unhideWhenUsed/>
    <w:rsid w:val="13B75570"/>
    <w:pPr>
      <w:spacing w:after="100"/>
      <w:ind w:left="440"/>
    </w:pPr>
  </w:style>
  <w:style w:type="paragraph" w:styleId="TOC4">
    <w:uiPriority w:val="39"/>
    <w:name w:val="toc 4"/>
    <w:basedOn w:val="Normal"/>
    <w:next w:val="Normal"/>
    <w:unhideWhenUsed/>
    <w:rsid w:val="13B75570"/>
    <w:pPr>
      <w:spacing w:after="100"/>
      <w:ind w:left="660"/>
    </w:pPr>
  </w:style>
  <w:style w:type="paragraph" w:styleId="Heading1">
    <w:uiPriority w:val="9"/>
    <w:name w:val="heading 1"/>
    <w:basedOn w:val="Normal"/>
    <w:next w:val="Normal"/>
    <w:qFormat/>
    <w:rsid w:val="13B755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SubtleReference">
    <w:uiPriority w:val="31"/>
    <w:name w:val="Subtle Reference"/>
    <w:basedOn w:val="DefaultParagraphFont"/>
    <w:qFormat/>
    <w:rsid w:val="39FA0A2E"/>
    <w:rPr>
      <w:smallCaps w:val="1"/>
      <w:color w:val="5A5A5A"/>
    </w:rPr>
  </w:style>
  <w:style w:type="paragraph" w:styleId="TOC1">
    <w:uiPriority w:val="39"/>
    <w:name w:val="toc 1"/>
    <w:basedOn w:val="Normal"/>
    <w:next w:val="Normal"/>
    <w:unhideWhenUsed/>
    <w:rsid w:val="39FA0A2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c449d53642a43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2026-06-25T19:03:11.6826713Z</dcterms:created>
  <dcterms:modified xsi:type="dcterms:W3CDTF">2026-06-26T19:04:06.2664078Z</dcterms:modified>
  <dc:creator>Sandro Filipe</dc:creator>
  <lastModifiedBy>Sandro Filipe</lastModifiedBy>
</coreProperties>
</file>