
<file path=[Content_Types].xml><?xml version="1.0" encoding="utf-8"?>
<ns0:Types xmlns:ns0="http://schemas.openxmlformats.org/package/2006/content-types">
  <ns0:Default Extension="png" ContentType="image/png"/>
  <ns0:Default ContentType="image/jpeg" Extension="jpeg"/>
  <ns0:Default ContentType="application/vnd.openxmlformats-package.relationships+xml" Extension="rels"/>
  <ns0:Default ContentType="application/xml" Extension="xml"/>
  <ns0:Override ContentType="application/vnd.openxmlformats-officedocument.extended-properties+xml" PartName="/docProps/app.xml"/>
  <ns0:Override ContentType="application/vnd.openxmlformats-package.core-properties+xml" PartName="/docProps/core.xml"/>
  <ns0:Override ContentType="application/vnd.openxmlformats-officedocument.wordprocessingml.document.main+xml" PartName="/word/document.xml"/>
  <ns0:Override ContentType="application/vnd.openxmlformats-officedocument.wordprocessingml.footer+xml" PartName="/word/footer1.xml"/>
  <ns0:Override ContentType="application/vnd.openxmlformats-officedocument.wordprocessingml.header+xml" PartName="/word/header1.xml"/>
  <ns0:Override ContentType="application/vnd.openxmlformats-officedocument.wordprocessingml.numbering+xml" PartName="/word/numbering.xml"/>
  <ns0:Override ContentType="application/vnd.openxmlformats-officedocument.wordprocessingml.settings+xml" PartName="/word/settings.xml"/>
  <ns0:Override ContentType="application/vnd.openxmlformats-officedocument.wordprocessingml.styles+xml" PartName="/word/styles.xml"/>
</ns0: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spacing w:before="480" w:after="480" w:line="288" w:lineRule="auto"/>
        <w:ind w:left="0"/>
      </w:pPr>
      <w:r>
        <w:rPr>
          <w:rFonts w:eastAsia="等线" w:ascii="Arial" w:cs="Arial" w:hAnsi="Arial"/>
          <w:b w:val="true"/>
          <w:sz w:val="52"/>
        </w:rPr>
        <w:t>（终）应力仿真 AI 代理技术报告</w:t>
      </w:r>
    </w:p>
    <w:p>
      <w:pPr>
        <w:pStyle w:val="2"/>
        <w:spacing w:before="320" w:after="120" w:line="288" w:lineRule="auto"/>
        <w:ind w:left="0"/>
        <w:jc w:val="left"/>
        <w:outlineLvl w:val="1"/>
      </w:pPr>
      <w:bookmarkStart w:name="heading_0" w:id="0"/>
      <w:r>
        <w:rPr>
          <w:rFonts w:eastAsia="等线" w:ascii="Arial" w:cs="Arial" w:hAnsi="Arial"/>
          <w:b w:val="true"/>
          <w:sz w:val="32"/>
        </w:rPr>
        <w:t>1. 项目背景与建设目标</w:t>
      </w:r>
      <w:bookmarkEnd w:id="0"/>
    </w:p>
    <w:p>
      <w:pPr>
        <w:spacing w:before="120" w:after="120" w:line="288" w:lineRule="auto"/>
        <w:ind w:left="0" w:firstLine="420"/>
        <w:jc w:val="left"/>
      </w:pPr>
      <w:r>
        <w:rPr>
          <w:rFonts w:eastAsia="等线" w:ascii="Arial" w:cs="Arial" w:hAnsi="Arial"/>
          <w:sz w:val="22"/>
        </w:rPr>
        <w:t>航空航天及高端装备结构件在服役过程中常承受复杂随机振动载荷。对这类结构件进行强度校核时，传统做法通常依赖有限元分析：先建立几何模型和网格，再施加边界、质量、材料和随机振动载荷，最后计算频域响应和应力结果。</w:t>
      </w:r>
    </w:p>
    <w:p>
      <w:pPr>
        <w:spacing w:before="120" w:after="120" w:line="288" w:lineRule="auto"/>
        <w:ind w:left="0" w:firstLine="420"/>
        <w:jc w:val="left"/>
      </w:pPr>
      <w:r>
        <w:rPr>
          <w:rFonts w:eastAsia="等线" w:ascii="Arial" w:cs="Arial" w:hAnsi="Arial"/>
          <w:sz w:val="22"/>
        </w:rPr>
        <w:t>为了验证这些结构件（TC4钛合金）在不同几何构型、不同配重（模拟质量变化）下的可靠性，通常需要进行</w:t>
      </w:r>
      <w:r>
        <w:rPr>
          <w:rFonts w:eastAsia="等线" w:ascii="Arial" w:cs="Arial" w:hAnsi="Arial"/>
          <w:b w:val="true"/>
          <w:sz w:val="22"/>
        </w:rPr>
        <w:t>基于有限元分析（FEA）结构动力学响应分析求解总加速度RMS值（RTA）和全场Mises应力RMS值（RMises），这一过程一般包括：结构参数化 → 有限元离散 → 振动激励 → 频域响应 → 统计量输出</w:t>
      </w:r>
      <w:r>
        <w:rPr>
          <w:rFonts w:eastAsia="等线" w:ascii="Arial" w:cs="Arial" w:hAnsi="Arial"/>
          <w:sz w:val="22"/>
        </w:rPr>
        <w:t>。这一物理过程的精确预测，是结构强度校核与轻量化设计的核心前提。</w:t>
      </w:r>
    </w:p>
    <w:p>
      <w:pPr>
        <w:spacing w:before="120" w:after="120" w:line="288" w:lineRule="auto"/>
        <w:ind w:left="0" w:firstLine="420"/>
        <w:jc w:val="left"/>
      </w:pPr>
      <w:r>
        <w:rPr>
          <w:rFonts w:eastAsia="等线" w:ascii="Arial" w:cs="Arial" w:hAnsi="Arial"/>
          <w:sz w:val="22"/>
        </w:rPr>
        <w:t>有限元方法精度高、物理依据强，但在工程研发中存在几个现实问题。传统FEA仿真流程局限性</w:t>
      </w:r>
    </w:p>
    <w:p>
      <w:pPr>
        <w:numPr>
          <w:numId w:val="1"/>
        </w:numPr>
        <w:spacing w:before="120" w:after="120" w:line="288" w:lineRule="auto"/>
        <w:ind w:left="453"/>
        <w:jc w:val="left"/>
      </w:pPr>
      <w:r>
        <w:rPr>
          <w:rFonts w:eastAsia="等线" w:ascii="Arial" w:cs="Arial" w:hAnsi="Arial"/>
          <w:b w:val="true"/>
          <w:sz w:val="22"/>
        </w:rPr>
        <w:t>计算成本高</w:t>
      </w:r>
      <w:r>
        <w:rPr>
          <w:rFonts w:eastAsia="等线" w:ascii="Arial" w:cs="Arial" w:hAnsi="Arial"/>
          <w:sz w:val="22"/>
        </w:rPr>
        <w:t>：传统 FEA 软件底层依赖复杂的矩阵求解，单次计算时间长，无法满足海量设计参数的实时评估与脚本化自动寻优。参数变化需重复仿真，难以支撑快速迭代 。</w:t>
      </w:r>
    </w:p>
    <w:p>
      <w:pPr>
        <w:numPr>
          <w:numId w:val="2"/>
        </w:numPr>
        <w:spacing w:before="120" w:after="120" w:line="288" w:lineRule="auto"/>
        <w:ind w:left="453"/>
        <w:jc w:val="left"/>
      </w:pPr>
      <w:r>
        <w:rPr>
          <w:rFonts w:eastAsia="等线" w:ascii="Arial" w:cs="Arial" w:hAnsi="Arial"/>
          <w:b w:val="true"/>
          <w:sz w:val="22"/>
        </w:rPr>
        <w:t>跨结构表征难</w:t>
      </w:r>
      <w:r>
        <w:rPr>
          <w:rFonts w:eastAsia="等线" w:ascii="Arial" w:cs="Arial" w:hAnsi="Arial"/>
          <w:sz w:val="22"/>
        </w:rPr>
        <w:t>：传统仿真高度依赖网格。当结构件的几何参数发生变化（如圆盘半径从130mm缩减至90mm）时，须重新划分网格。这导致</w:t>
      </w:r>
      <w:r>
        <w:rPr>
          <w:rFonts w:eastAsia="等线" w:ascii="Arial" w:cs="Arial" w:hAnsi="Arial"/>
          <w:b w:val="true"/>
          <w:sz w:val="22"/>
        </w:rPr>
        <w:t>输出的全场数据维度和空间节点信息发生剧烈改变</w:t>
      </w:r>
      <w:r>
        <w:rPr>
          <w:rFonts w:eastAsia="等线" w:ascii="Arial" w:cs="Arial" w:hAnsi="Arial"/>
          <w:sz w:val="22"/>
        </w:rPr>
        <w:t>。这种“非结构化”的数据变化，使得传统方法极难提取统一的几何特征，也无法实现跨结构的物理场统一表征。</w:t>
      </w:r>
    </w:p>
    <w:p>
      <w:pPr>
        <w:numPr>
          <w:numId w:val="3"/>
        </w:numPr>
        <w:spacing w:before="120" w:after="120" w:line="288" w:lineRule="auto"/>
        <w:ind w:left="453"/>
        <w:jc w:val="left"/>
      </w:pPr>
      <w:r>
        <w:rPr>
          <w:rFonts w:eastAsia="等线" w:ascii="Arial" w:cs="Arial" w:hAnsi="Arial"/>
          <w:b w:val="true"/>
          <w:sz w:val="22"/>
        </w:rPr>
        <w:t>Sim2Real Gap</w:t>
      </w:r>
      <w:r>
        <w:rPr>
          <w:rFonts w:eastAsia="等线" w:ascii="Arial" w:cs="Arial" w:hAnsi="Arial"/>
          <w:sz w:val="22"/>
        </w:rPr>
        <w:t>：材料、阻尼、加工误差与边界误差导致仿真与实测偏差 。</w:t>
      </w:r>
    </w:p>
    <w:p>
      <w:pPr>
        <w:spacing w:before="120" w:after="120" w:line="288" w:lineRule="auto"/>
        <w:ind w:left="0" w:firstLine="420"/>
        <w:jc w:val="left"/>
      </w:pPr>
      <w:r>
        <w:rPr>
          <w:rFonts w:eastAsia="等线" w:ascii="Arial" w:cs="Arial" w:hAnsi="Arial"/>
          <w:sz w:val="22"/>
        </w:rPr>
        <w:t>因此，本项目的根本目标不是“做一个漂亮的 AI 模型”，而是建立一套能服务工程研发的快速分析流程：用有限元数据训练代理模型，在新方案早期快速判断哪里可能有风险，哪些工况需要重点仿真，哪些区域需要进一步校核。</w:t>
      </w:r>
    </w:p>
    <w:p>
      <w:pPr>
        <w:spacing w:before="120" w:after="120" w:line="288" w:lineRule="auto"/>
        <w:ind w:left="0"/>
        <w:jc w:val="center"/>
      </w:pPr>
      <w:r>
        <w:drawing>
          <wp:inline distT="0" distR="0" distB="0" distL="0">
            <wp:extent cx="5257800" cy="2543175"/>
            <wp:docPr id="0" name="Drawing 0" descr=""/>
            <a:graphic>
              <a:graphicData uri="http://schemas.openxmlformats.org/drawingml/2006/picture">
                <pic:pic>
                  <pic:nvPicPr>
                    <pic:cNvPr id="0" name="Picture 0" descr=""/>
                    <pic:cNvPicPr>
                      <a:picLocks noChangeAspect="true"/>
                    </pic:cNvPicPr>
                  </pic:nvPicPr>
                  <pic:blipFill>
                    <a:blip r:embed="rId5"/>
                    <a:stretch>
                      <a:fillRect/>
                    </a:stretch>
                  </pic:blipFill>
                  <pic:spPr>
                    <a:xfrm>
                      <a:off x="0" y="0"/>
                      <a:ext cx="5257800" cy="2543175"/>
                    </a:xfrm>
                    <a:prstGeom prst="rect">
                      <a:avLst/>
                    </a:prstGeom>
                  </pic:spPr>
                </pic:pic>
              </a:graphicData>
            </a:graphic>
          </wp:inline>
        </w:drawing>
      </w:r>
    </w:p>
    <w:p>
      <w:pPr>
        <w:pStyle w:val="2"/>
        <w:spacing w:before="320" w:after="120" w:line="288" w:lineRule="auto"/>
        <w:ind w:left="0"/>
        <w:jc w:val="left"/>
        <w:outlineLvl w:val="1"/>
      </w:pPr>
      <w:bookmarkStart w:name="heading_1" w:id="1"/>
      <w:r>
        <w:rPr>
          <w:rFonts w:eastAsia="等线" w:ascii="Arial" w:cs="Arial" w:hAnsi="Arial"/>
          <w:b w:val="true"/>
          <w:sz w:val="32"/>
        </w:rPr>
        <w:t>2. 工程问题定义</w:t>
      </w:r>
      <w:bookmarkEnd w:id="1"/>
    </w:p>
    <w:p>
      <w:pPr>
        <w:spacing w:before="120" w:after="120" w:line="288" w:lineRule="auto"/>
        <w:ind w:left="0"/>
        <w:jc w:val="left"/>
      </w:pPr>
      <w:r>
        <w:rPr>
          <w:rFonts w:eastAsia="等线" w:ascii="Arial" w:cs="Arial" w:hAnsi="Arial"/>
          <w:sz w:val="22"/>
        </w:rPr>
        <w:t>当前项目可以理解为一个“结构参数和工况到全场响应”的快速预测问题。</w:t>
      </w:r>
    </w:p>
    <w:p>
      <w:pPr>
        <w:spacing w:before="120" w:after="120" w:line="288" w:lineRule="auto"/>
        <w:ind w:left="0"/>
        <w:jc w:val="left"/>
      </w:pPr>
      <w:r>
        <w:rPr>
          <w:rFonts w:eastAsia="等线" w:ascii="Arial" w:cs="Arial" w:hAnsi="Arial"/>
          <w:sz w:val="22"/>
        </w:rPr>
        <w:t>输入包括：</w:t>
      </w:r>
    </w:p>
    <w:p>
      <w:pPr>
        <w:numPr>
          <w:numId w:val="4"/>
        </w:numPr>
        <w:spacing w:before="120" w:after="120" w:line="288" w:lineRule="auto"/>
        <w:ind w:left="453"/>
        <w:jc w:val="left"/>
      </w:pPr>
      <w:r>
        <w:rPr>
          <w:rFonts w:eastAsia="等线" w:ascii="Arial" w:cs="Arial" w:hAnsi="Arial"/>
          <w:sz w:val="22"/>
        </w:rPr>
        <w:t>结构几何参数，例如耳片尺寸、圆盘半径、孔位、圆角和附加质量；</w:t>
      </w:r>
    </w:p>
    <w:p>
      <w:pPr>
        <w:numPr>
          <w:numId w:val="5"/>
        </w:numPr>
        <w:spacing w:before="120" w:after="120" w:line="288" w:lineRule="auto"/>
        <w:ind w:left="453"/>
        <w:jc w:val="left"/>
      </w:pPr>
      <w:r>
        <w:rPr>
          <w:rFonts w:eastAsia="等线" w:ascii="Arial" w:cs="Arial" w:hAnsi="Arial"/>
          <w:sz w:val="22"/>
        </w:rPr>
        <w:t>有限元网格信息，例如节点坐标、边界约束和相邻节点关系；</w:t>
      </w:r>
    </w:p>
    <w:p>
      <w:pPr>
        <w:numPr>
          <w:numId w:val="6"/>
        </w:numPr>
        <w:spacing w:before="120" w:after="120" w:line="288" w:lineRule="auto"/>
        <w:ind w:left="453"/>
        <w:jc w:val="left"/>
      </w:pPr>
      <w:r>
        <w:rPr>
          <w:rFonts w:eastAsia="等线" w:ascii="Arial" w:cs="Arial" w:hAnsi="Arial"/>
          <w:sz w:val="22"/>
        </w:rPr>
        <w:t>随机振动输入，例如 PSD 载荷谱；</w:t>
      </w:r>
    </w:p>
    <w:p>
      <w:pPr>
        <w:numPr>
          <w:numId w:val="7"/>
        </w:numPr>
        <w:spacing w:before="120" w:after="120" w:line="288" w:lineRule="auto"/>
        <w:ind w:left="453"/>
        <w:jc w:val="left"/>
      </w:pPr>
      <w:r>
        <w:rPr>
          <w:rFonts w:eastAsia="等线" w:ascii="Arial" w:cs="Arial" w:hAnsi="Arial"/>
          <w:sz w:val="22"/>
        </w:rPr>
        <w:t>模态信息，例如固有频率和模态振型；</w:t>
      </w:r>
    </w:p>
    <w:p>
      <w:pPr>
        <w:numPr>
          <w:numId w:val="8"/>
        </w:numPr>
        <w:spacing w:before="120" w:after="120" w:line="288" w:lineRule="auto"/>
        <w:ind w:left="453"/>
        <w:jc w:val="left"/>
      </w:pPr>
      <w:r>
        <w:rPr>
          <w:rFonts w:eastAsia="等线" w:ascii="Arial" w:cs="Arial" w:hAnsi="Arial"/>
          <w:sz w:val="22"/>
        </w:rPr>
        <w:t>当前分析频率。</w:t>
      </w:r>
    </w:p>
    <w:p>
      <w:pPr>
        <w:spacing w:before="120" w:after="120" w:line="288" w:lineRule="auto"/>
        <w:ind w:left="0"/>
        <w:jc w:val="left"/>
      </w:pPr>
      <w:r>
        <w:rPr>
          <w:rFonts w:eastAsia="等线" w:ascii="Arial" w:cs="Arial" w:hAnsi="Arial"/>
          <w:sz w:val="22"/>
        </w:rPr>
        <w:t>输出包括：</w:t>
      </w:r>
    </w:p>
    <w:p>
      <w:pPr>
        <w:numPr>
          <w:numId w:val="9"/>
        </w:numPr>
        <w:spacing w:before="120" w:after="120" w:line="288" w:lineRule="auto"/>
        <w:ind w:left="453"/>
        <w:jc w:val="left"/>
      </w:pPr>
      <w:r>
        <w:rPr>
          <w:rFonts w:eastAsia="等线" w:ascii="Arial" w:cs="Arial" w:hAnsi="Arial"/>
          <w:sz w:val="22"/>
        </w:rPr>
        <w:t>每个节点在当前频率下的应力谱密度响应；</w:t>
      </w:r>
    </w:p>
    <w:p>
      <w:pPr>
        <w:numPr>
          <w:numId w:val="10"/>
        </w:numPr>
        <w:spacing w:before="120" w:after="120" w:line="288" w:lineRule="auto"/>
        <w:ind w:left="453"/>
        <w:jc w:val="left"/>
      </w:pPr>
      <w:r>
        <w:rPr>
          <w:rFonts w:eastAsia="等线" w:ascii="Arial" w:cs="Arial" w:hAnsi="Arial"/>
          <w:sz w:val="22"/>
        </w:rPr>
        <w:t>或经频率方向汇总后的全场 RMS 应力；</w:t>
      </w:r>
    </w:p>
    <w:p>
      <w:pPr>
        <w:numPr>
          <w:numId w:val="11"/>
        </w:numPr>
        <w:spacing w:before="120" w:after="120" w:line="288" w:lineRule="auto"/>
        <w:ind w:left="453"/>
        <w:jc w:val="left"/>
      </w:pPr>
      <w:r>
        <w:rPr>
          <w:rFonts w:eastAsia="等线" w:ascii="Arial" w:cs="Arial" w:hAnsi="Arial"/>
          <w:sz w:val="22"/>
        </w:rPr>
        <w:t>以及对高应力热点区域的识别和诊断。</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从工程角度看，它不是一个普通的“输入一组参数，输出一个数”的问题，而是“输入结构和工况，输出整个结构上的空间响应场”。模型既要知道整体频率响应，也要知道局部几何处是否会产生应力集中。</w:t>
      </w:r>
    </w:p>
    <w:p>
      <w:pPr>
        <w:spacing w:before="120" w:after="120" w:line="288" w:lineRule="auto"/>
        <w:ind w:left="0"/>
        <w:jc w:val="left"/>
      </w:pPr>
    </w:p>
    <w:p>
      <w:pPr>
        <w:pStyle w:val="2"/>
        <w:spacing w:before="320" w:after="120" w:line="288" w:lineRule="auto"/>
        <w:ind w:left="0"/>
        <w:jc w:val="left"/>
        <w:outlineLvl w:val="1"/>
      </w:pPr>
      <w:bookmarkStart w:name="heading_2" w:id="2"/>
      <w:r>
        <w:rPr>
          <w:rFonts w:eastAsia="等线" w:ascii="Arial" w:cs="Arial" w:hAnsi="Arial"/>
          <w:b w:val="true"/>
          <w:sz w:val="32"/>
        </w:rPr>
        <w:t>3. 技术难点分析</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3.1 随机振动响应受模态与共振机制主导</w:t>
      </w:r>
      <w:bookmarkEnd w:id="3"/>
    </w:p>
    <w:p>
      <w:pPr>
        <w:spacing w:before="120" w:after="120" w:line="288" w:lineRule="auto"/>
        <w:ind w:left="0" w:firstLine="420"/>
        <w:jc w:val="left"/>
      </w:pPr>
      <w:r>
        <w:rPr>
          <w:rFonts w:eastAsia="等线" w:ascii="Arial" w:cs="Arial" w:hAnsi="Arial"/>
          <w:sz w:val="22"/>
        </w:rPr>
        <w:t>随机振动响应不是载荷越大、结果就简单线性越大。结构本身有固有频率。当外部激励频率接近某阶固有频率时，结构会被显著放大，产生共振。</w:t>
      </w:r>
    </w:p>
    <w:p>
      <w:pPr>
        <w:spacing w:before="120" w:after="120" w:line="288" w:lineRule="auto"/>
        <w:ind w:left="0" w:firstLine="420"/>
        <w:jc w:val="left"/>
      </w:pPr>
      <w:r>
        <w:rPr>
          <w:rFonts w:eastAsia="等线" w:ascii="Arial" w:cs="Arial" w:hAnsi="Arial"/>
          <w:sz w:val="22"/>
        </w:rPr>
        <w:t>通俗地讲，结构像一个有自己节拍的系统。如果外界输入刚好踩在它偏爱的节拍附近，每次输入都在给它继续“加能量”，响应就会突然变大。</w:t>
      </w:r>
    </w:p>
    <w:p>
      <w:pPr>
        <w:spacing w:before="120" w:after="120" w:line="288" w:lineRule="auto"/>
        <w:ind w:left="0" w:firstLine="420"/>
        <w:jc w:val="left"/>
      </w:pPr>
      <w:r>
        <w:rPr>
          <w:rFonts w:eastAsia="等线" w:ascii="Arial" w:cs="Arial" w:hAnsi="Arial"/>
          <w:sz w:val="22"/>
        </w:rPr>
        <w:t>所以，对模型来说，单纯给一个“当前频率 = 260 Hz”并不够。真正重要的是：</w:t>
      </w:r>
    </w:p>
    <w:p>
      <w:pPr>
        <w:numPr>
          <w:numId w:val="12"/>
        </w:numPr>
        <w:spacing w:before="120" w:after="120" w:line="288" w:lineRule="auto"/>
        <w:ind w:left="453"/>
        <w:jc w:val="left"/>
      </w:pPr>
      <w:r>
        <w:rPr>
          <w:rFonts w:eastAsia="等线" w:ascii="Arial" w:cs="Arial" w:hAnsi="Arial"/>
          <w:sz w:val="22"/>
        </w:rPr>
        <w:t>260 Hz 离第一阶固有频率有多近；</w:t>
      </w:r>
    </w:p>
    <w:p>
      <w:pPr>
        <w:numPr>
          <w:numId w:val="13"/>
        </w:numPr>
        <w:spacing w:before="120" w:after="120" w:line="288" w:lineRule="auto"/>
        <w:ind w:left="453"/>
        <w:jc w:val="left"/>
      </w:pPr>
      <w:r>
        <w:rPr>
          <w:rFonts w:eastAsia="等线" w:ascii="Arial" w:cs="Arial" w:hAnsi="Arial"/>
          <w:sz w:val="22"/>
        </w:rPr>
        <w:t>离第二阶、第三阶和更多阶模态有多近；</w:t>
      </w:r>
    </w:p>
    <w:p>
      <w:pPr>
        <w:numPr>
          <w:numId w:val="14"/>
        </w:numPr>
        <w:spacing w:before="120" w:after="120" w:line="288" w:lineRule="auto"/>
        <w:ind w:left="453"/>
        <w:jc w:val="left"/>
      </w:pPr>
      <w:r>
        <w:rPr>
          <w:rFonts w:eastAsia="等线" w:ascii="Arial" w:cs="Arial" w:hAnsi="Arial"/>
          <w:sz w:val="22"/>
        </w:rPr>
        <w:t>当前频率是否落在某个模态邻域；</w:t>
      </w:r>
    </w:p>
    <w:p>
      <w:pPr>
        <w:numPr>
          <w:numId w:val="15"/>
        </w:numPr>
        <w:spacing w:before="120" w:after="120" w:line="288" w:lineRule="auto"/>
        <w:ind w:left="453"/>
        <w:jc w:val="left"/>
      </w:pPr>
      <w:r>
        <w:rPr>
          <w:rFonts w:eastAsia="等线" w:ascii="Arial" w:cs="Arial" w:hAnsi="Arial"/>
          <w:sz w:val="22"/>
        </w:rPr>
        <w:t>当前频率下哪几阶模态最活跃。</w:t>
      </w:r>
    </w:p>
    <w:p>
      <w:pPr>
        <w:spacing w:before="120" w:after="120" w:line="288" w:lineRule="auto"/>
        <w:ind w:left="0"/>
        <w:jc w:val="left"/>
      </w:pPr>
    </w:p>
    <w:p>
      <w:pPr>
        <w:pStyle w:val="3"/>
        <w:spacing w:before="300" w:after="120" w:line="288" w:lineRule="auto"/>
        <w:ind w:left="0"/>
        <w:jc w:val="left"/>
        <w:outlineLvl w:val="2"/>
      </w:pPr>
      <w:bookmarkStart w:name="heading_4" w:id="4"/>
      <w:r>
        <w:rPr>
          <w:rFonts w:eastAsia="等线" w:ascii="Arial" w:cs="Arial" w:hAnsi="Arial"/>
          <w:b w:val="true"/>
          <w:sz w:val="30"/>
        </w:rPr>
        <w:t>3.2 Mises 应力预测较加速度响应更具挑战性</w:t>
      </w:r>
      <w:bookmarkEnd w:id="4"/>
    </w:p>
    <w:p>
      <w:pPr>
        <w:spacing w:before="120" w:after="120" w:line="288" w:lineRule="auto"/>
        <w:ind w:left="0" w:firstLine="420"/>
        <w:jc w:val="left"/>
      </w:pPr>
      <w:r>
        <w:rPr>
          <w:rFonts w:eastAsia="等线" w:ascii="Arial" w:cs="Arial" w:hAnsi="Arial"/>
          <w:sz w:val="22"/>
        </w:rPr>
        <w:t>项目早期发现，加速度响应相对更容易预测，而 Mises 应力明显更难。</w:t>
      </w:r>
    </w:p>
    <w:p>
      <w:pPr>
        <w:spacing w:before="120" w:after="120" w:line="288" w:lineRule="auto"/>
        <w:ind w:left="0" w:firstLine="420"/>
        <w:jc w:val="left"/>
      </w:pPr>
      <w:r>
        <w:rPr>
          <w:rFonts w:eastAsia="等线" w:ascii="Arial" w:cs="Arial" w:hAnsi="Arial"/>
          <w:sz w:val="22"/>
        </w:rPr>
        <w:t>原因在于，应力不仅看“这个点动得大不大”，还看“这个地方的变形变化有多剧烈”。孔边、倒角、根部过渡、厚度突变、固定边界附近，都会让力流绕行或集中，局部变形梯度变大，应力就会被抬高。</w:t>
      </w:r>
    </w:p>
    <w:p>
      <w:pPr>
        <w:spacing w:before="120" w:after="120" w:line="288" w:lineRule="auto"/>
        <w:ind w:left="0" w:firstLine="420"/>
        <w:jc w:val="left"/>
      </w:pPr>
      <w:r>
        <w:rPr>
          <w:rFonts w:eastAsia="等线" w:ascii="Arial" w:cs="Arial" w:hAnsi="Arial"/>
          <w:sz w:val="22"/>
        </w:rPr>
        <w:t>因此，RTA 更像整体动力响应，而 RMises 还多了一层局部应力集中机制。模型如果只学整体响应，很容易把应力场预测得过于平滑，低估真正危险的尖峰热点。</w:t>
      </w:r>
    </w:p>
    <w:p>
      <w:pPr>
        <w:pStyle w:val="3"/>
        <w:spacing w:before="300" w:after="120" w:line="288" w:lineRule="auto"/>
        <w:ind w:left="0"/>
        <w:jc w:val="left"/>
        <w:outlineLvl w:val="2"/>
      </w:pPr>
      <w:bookmarkStart w:name="heading_5" w:id="5"/>
      <w:r>
        <w:rPr>
          <w:rFonts w:eastAsia="等线" w:ascii="Arial" w:cs="Arial" w:hAnsi="Arial"/>
          <w:b w:val="true"/>
          <w:sz w:val="30"/>
        </w:rPr>
        <w:t>3.3 高应力热点样本稀少但工程风险权重高</w:t>
      </w:r>
      <w:bookmarkEnd w:id="5"/>
    </w:p>
    <w:p>
      <w:pPr>
        <w:spacing w:before="120" w:after="120" w:line="288" w:lineRule="auto"/>
        <w:ind w:left="0" w:firstLine="420"/>
        <w:jc w:val="left"/>
      </w:pPr>
      <w:r>
        <w:rPr>
          <w:rFonts w:eastAsia="等线" w:ascii="Arial" w:cs="Arial" w:hAnsi="Arial"/>
          <w:sz w:val="22"/>
        </w:rPr>
        <w:t>全场节点中，大多数节点处于中低响应水平，真正危险的高应力点只占少部分。但强度校核最关心的恰恰是这些点。</w:t>
      </w:r>
    </w:p>
    <w:p>
      <w:pPr>
        <w:spacing w:before="120" w:after="120" w:line="288" w:lineRule="auto"/>
        <w:ind w:left="0" w:firstLine="420"/>
        <w:jc w:val="left"/>
      </w:pPr>
      <w:r>
        <w:rPr>
          <w:rFonts w:eastAsia="等线" w:ascii="Arial" w:cs="Arial" w:hAnsi="Arial"/>
          <w:sz w:val="22"/>
        </w:rPr>
        <w:t>如果只用平均误差训练模型，模型很容易优先照顾大量背景点，从而牺牲少数峰值点。这会造成一个危险现象：整体指标看起来不差，但真正高风险区域被低估。</w:t>
      </w:r>
    </w:p>
    <w:p>
      <w:pPr>
        <w:pStyle w:val="3"/>
        <w:spacing w:before="300" w:after="120" w:line="288" w:lineRule="auto"/>
        <w:ind w:left="0"/>
        <w:jc w:val="left"/>
        <w:outlineLvl w:val="2"/>
      </w:pPr>
      <w:bookmarkStart w:name="heading_6" w:id="6"/>
      <w:r>
        <w:rPr>
          <w:rFonts w:eastAsia="等线" w:ascii="Arial" w:cs="Arial" w:hAnsi="Arial"/>
          <w:b w:val="true"/>
          <w:sz w:val="30"/>
        </w:rPr>
        <w:t>3.4 不同结构区域具有差异化响应机制</w:t>
      </w:r>
      <w:bookmarkEnd w:id="6"/>
    </w:p>
    <w:p>
      <w:pPr>
        <w:spacing w:before="120" w:after="120" w:line="288" w:lineRule="auto"/>
        <w:ind w:left="0" w:firstLine="420"/>
        <w:jc w:val="left"/>
      </w:pPr>
      <w:r>
        <w:rPr>
          <w:rFonts w:eastAsia="等线" w:ascii="Arial" w:cs="Arial" w:hAnsi="Arial"/>
          <w:sz w:val="22"/>
        </w:rPr>
        <w:t>低频到一阶模态附近，二阶模态附近，高频末端等工况下，耳片固定孔、约束过渡区、中心附加质量、中心耦合区可能逐渐依次成为主导区域。</w:t>
      </w:r>
    </w:p>
    <w:p>
      <w:pPr>
        <w:spacing w:before="120" w:after="120" w:line="288" w:lineRule="auto"/>
        <w:ind w:left="0" w:firstLine="420"/>
        <w:jc w:val="left"/>
      </w:pPr>
      <w:r>
        <w:rPr>
          <w:rFonts w:eastAsia="等线" w:ascii="Arial" w:cs="Arial" w:hAnsi="Arial"/>
          <w:sz w:val="22"/>
        </w:rPr>
        <w:t>这说明模型面对的不是一个统一机制，而是多个机制叠加：</w:t>
      </w:r>
    </w:p>
    <w:p>
      <w:pPr>
        <w:numPr>
          <w:numId w:val="16"/>
        </w:numPr>
        <w:spacing w:before="120" w:after="120" w:line="288" w:lineRule="auto"/>
        <w:ind w:left="453"/>
        <w:jc w:val="left"/>
      </w:pPr>
      <w:r>
        <w:rPr>
          <w:rFonts w:eastAsia="等线" w:ascii="Arial" w:cs="Arial" w:hAnsi="Arial"/>
          <w:sz w:val="22"/>
        </w:rPr>
        <w:t>耳片孔附近受约束和孔边应力集中影响；</w:t>
      </w:r>
    </w:p>
    <w:p>
      <w:pPr>
        <w:numPr>
          <w:numId w:val="17"/>
        </w:numPr>
        <w:spacing w:before="120" w:after="120" w:line="288" w:lineRule="auto"/>
        <w:ind w:left="453"/>
        <w:jc w:val="left"/>
      </w:pPr>
      <w:r>
        <w:rPr>
          <w:rFonts w:eastAsia="等线" w:ascii="Arial" w:cs="Arial" w:hAnsi="Arial"/>
          <w:sz w:val="22"/>
        </w:rPr>
        <w:t>耳片根部受连接过渡和局部刚度变化影响；</w:t>
      </w:r>
    </w:p>
    <w:p>
      <w:pPr>
        <w:numPr>
          <w:numId w:val="18"/>
        </w:numPr>
        <w:spacing w:before="120" w:after="120" w:line="288" w:lineRule="auto"/>
        <w:ind w:left="453"/>
        <w:jc w:val="left"/>
      </w:pPr>
      <w:r>
        <w:rPr>
          <w:rFonts w:eastAsia="等线" w:ascii="Arial" w:cs="Arial" w:hAnsi="Arial"/>
          <w:sz w:val="22"/>
        </w:rPr>
        <w:t>圆盘中心受附加质量、耦合半径和高频局部化影响；</w:t>
      </w:r>
    </w:p>
    <w:p>
      <w:pPr>
        <w:numPr>
          <w:numId w:val="19"/>
        </w:numPr>
        <w:spacing w:before="120" w:after="120" w:line="288" w:lineRule="auto"/>
        <w:ind w:left="453"/>
        <w:jc w:val="left"/>
      </w:pPr>
      <w:r>
        <w:rPr>
          <w:rFonts w:eastAsia="等线" w:ascii="Arial" w:cs="Arial" w:hAnsi="Arial"/>
          <w:sz w:val="22"/>
        </w:rPr>
        <w:t>圆盘通孔和角向周期又引入额外空间规律。</w:t>
      </w:r>
    </w:p>
    <w:p>
      <w:pPr>
        <w:pStyle w:val="2"/>
        <w:spacing w:before="320" w:after="120" w:line="288" w:lineRule="auto"/>
        <w:ind w:left="0"/>
        <w:jc w:val="left"/>
        <w:outlineLvl w:val="1"/>
      </w:pPr>
      <w:bookmarkStart w:name="heading_7" w:id="7"/>
      <w:r>
        <w:rPr>
          <w:rFonts w:eastAsia="等线" w:ascii="Arial" w:cs="Arial" w:hAnsi="Arial"/>
          <w:b w:val="true"/>
          <w:sz w:val="32"/>
        </w:rPr>
        <w:t>4. 总体技术路线</w:t>
      </w:r>
      <w:bookmarkEnd w:id="7"/>
    </w:p>
    <w:p>
      <w:pPr>
        <w:spacing w:before="120" w:after="120" w:line="288" w:lineRule="auto"/>
        <w:ind w:left="0" w:firstLine="420"/>
        <w:jc w:val="left"/>
      </w:pPr>
      <w:r>
        <w:rPr>
          <w:rFonts w:eastAsia="等线" w:ascii="Arial" w:cs="Arial" w:hAnsi="Arial"/>
          <w:sz w:val="22"/>
        </w:rPr>
        <w:t>项目路线不是直接上复杂模型，而是逐步形成了一套“物理认知驱动的 AI 代理建模流程”。</w:t>
      </w:r>
    </w:p>
    <w:p>
      <w:pPr>
        <w:spacing w:before="120" w:after="120" w:line="288" w:lineRule="auto"/>
        <w:ind w:left="0" w:firstLine="420"/>
        <w:jc w:val="left"/>
      </w:pPr>
      <w:r>
        <w:rPr>
          <w:rFonts w:eastAsia="等线" w:ascii="Arial" w:cs="Arial" w:hAnsi="Arial"/>
          <w:sz w:val="22"/>
        </w:rPr>
        <w:t>核心原则是：</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能由几何和物理关系确定性算出来的信息，尽量先算出来；模型只学习剩下真正复杂、难以直接解析的映射关系</w:t>
            </w:r>
            <w:r>
              <w:rPr>
                <w:rFonts w:eastAsia="等线" w:ascii="Arial" w:cs="Arial" w:hAnsi="Arial"/>
                <w:color w:val="646a73"/>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整体流程如下：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参数化结构与随机振动工况</w:t>
              <w:br/>
              <w:t xml:space="preserve">  -&gt; 批量有限元仿真</w:t>
              <w:br/>
              <w:t xml:space="preserve">  -&gt; 节点、边、全局工况和模态数据整理</w:t>
              <w:br/>
              <w:t xml:space="preserve">  -&gt; 物理可解释特征构造</w:t>
              <w:br/>
              <w:t xml:space="preserve">  -&gt; 节点级/区域级代理模型训练</w:t>
              <w:br/>
              <w:t xml:space="preserve">  -&gt; 高应力热点和分区域诊断</w:t>
              <w:br/>
            </w:r>
            <w:r>
              <w:rPr>
                <w:rFonts w:eastAsia="Consolas" w:ascii="Consolas" w:cs="Consolas" w:hAnsi="Consolas"/>
                <w:sz w:val="22"/>
              </w:rPr>
              <w:t xml:space="preserve">  -&gt; 回到仿真和设计流程中辅助决策</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这套路线强调三件事。</w:t>
      </w:r>
    </w:p>
    <w:p>
      <w:pPr>
        <w:spacing w:before="120" w:after="120" w:line="288" w:lineRule="auto"/>
        <w:ind w:left="0"/>
        <w:jc w:val="left"/>
      </w:pPr>
      <w:r>
        <w:rPr>
          <w:rFonts w:eastAsia="等线" w:ascii="Arial" w:cs="Arial" w:hAnsi="Arial"/>
          <w:sz w:val="22"/>
        </w:rPr>
        <w:t>第一，数据要按工程问题组织。一个样本不是孤立节点，而是一个结构 case 在某个频率下的全场响应。训练、验证和测试必须按 case 切分，避免同一结构的不同频率帧泄漏到验证集。</w:t>
      </w:r>
    </w:p>
    <w:p>
      <w:pPr>
        <w:spacing w:before="120" w:after="120" w:line="288" w:lineRule="auto"/>
        <w:ind w:left="0"/>
        <w:jc w:val="left"/>
      </w:pPr>
      <w:r>
        <w:rPr>
          <w:rFonts w:eastAsia="等线" w:ascii="Arial" w:cs="Arial" w:hAnsi="Arial"/>
          <w:sz w:val="22"/>
        </w:rPr>
        <w:t>第二，特征要服务物理机制。模型需要知道节点在哪里、是否靠近孔边或根部、当前频率是否靠近模态、该节点在模态振型中是否活跃。</w:t>
      </w:r>
    </w:p>
    <w:p>
      <w:pPr>
        <w:spacing w:before="120" w:after="120" w:line="288" w:lineRule="auto"/>
        <w:ind w:left="0"/>
        <w:jc w:val="left"/>
      </w:pPr>
      <w:r>
        <w:rPr>
          <w:rFonts w:eastAsia="等线" w:ascii="Arial" w:cs="Arial" w:hAnsi="Arial"/>
          <w:sz w:val="22"/>
        </w:rPr>
        <w:t>第三，评价要服务工程风险。不能只看平均误差，必须看热点、峰值、区域、频段和曲线形态。</w:t>
      </w:r>
    </w:p>
    <w:p>
      <w:pPr>
        <w:pStyle w:val="2"/>
        <w:spacing w:before="320" w:after="120" w:line="288" w:lineRule="auto"/>
        <w:ind w:left="0"/>
        <w:jc w:val="left"/>
        <w:outlineLvl w:val="1"/>
      </w:pPr>
      <w:bookmarkStart w:name="heading_8" w:id="8"/>
      <w:r>
        <w:rPr>
          <w:rFonts w:eastAsia="等线" w:ascii="Arial" w:cs="Arial" w:hAnsi="Arial"/>
          <w:b w:val="true"/>
          <w:sz w:val="32"/>
        </w:rPr>
        <w:t>5. 技术研发历程</w:t>
      </w:r>
      <w:bookmarkEnd w:id="8"/>
    </w:p>
    <w:p>
      <w:pPr>
        <w:pStyle w:val="3"/>
        <w:spacing w:before="300" w:after="120" w:line="288" w:lineRule="auto"/>
        <w:ind w:left="0"/>
        <w:jc w:val="left"/>
        <w:outlineLvl w:val="2"/>
      </w:pPr>
      <w:bookmarkStart w:name="heading_9" w:id="9"/>
      <w:r>
        <w:rPr>
          <w:rFonts w:eastAsia="等线" w:ascii="Arial" w:cs="Arial" w:hAnsi="Arial"/>
          <w:b w:val="true"/>
          <w:sz w:val="30"/>
        </w:rPr>
        <w:t>5.1 自动化仿真流水线与图数据集构建</w:t>
      </w:r>
      <w:bookmarkEnd w:id="9"/>
    </w:p>
    <w:p>
      <w:pPr>
        <w:spacing w:before="120" w:after="120" w:line="288" w:lineRule="auto"/>
        <w:ind w:left="0" w:firstLine="420"/>
        <w:jc w:val="left"/>
      </w:pPr>
      <w:r>
        <w:rPr>
          <w:rFonts w:eastAsia="等线" w:ascii="Arial" w:cs="Arial" w:hAnsi="Arial"/>
          <w:sz w:val="22"/>
        </w:rPr>
        <w:t>项目最早的任务是把有限元仿真结果转成可训练的数据集。</w:t>
      </w:r>
    </w:p>
    <w:p>
      <w:pPr>
        <w:spacing w:before="120" w:after="120" w:line="288" w:lineRule="auto"/>
        <w:ind w:left="0" w:firstLine="420"/>
        <w:jc w:val="left"/>
      </w:pPr>
      <w:r>
        <w:rPr>
          <w:rFonts w:eastAsia="等线" w:ascii="Arial" w:cs="Arial" w:hAnsi="Arial"/>
          <w:sz w:val="22"/>
        </w:rPr>
        <w:t>这一阶段围绕结构参数化、Abaqus 批量仿真、节点与边提取、全局参数整理展开。每个 case 中包含三个核心层次：</w:t>
      </w:r>
    </w:p>
    <w:p>
      <w:pPr>
        <w:numPr>
          <w:numId w:val="20"/>
        </w:numPr>
        <w:spacing w:before="120" w:after="120" w:line="288" w:lineRule="auto"/>
        <w:ind w:left="453"/>
        <w:jc w:val="left"/>
      </w:pPr>
      <w:r>
        <w:rPr>
          <w:rFonts w:eastAsia="等线" w:ascii="Arial" w:cs="Arial" w:hAnsi="Arial"/>
          <w:sz w:val="22"/>
        </w:rPr>
        <w:t>节点层：坐标、边界约束、节点响应；</w:t>
      </w:r>
    </w:p>
    <w:p>
      <w:pPr>
        <w:numPr>
          <w:numId w:val="21"/>
        </w:numPr>
        <w:spacing w:before="120" w:after="120" w:line="288" w:lineRule="auto"/>
        <w:ind w:left="453"/>
        <w:jc w:val="left"/>
      </w:pPr>
      <w:r>
        <w:rPr>
          <w:rFonts w:eastAsia="等线" w:ascii="Arial" w:cs="Arial" w:hAnsi="Arial"/>
          <w:sz w:val="22"/>
        </w:rPr>
        <w:t>边层：网格邻接关系和相邻节点几何关系；</w:t>
      </w:r>
    </w:p>
    <w:p>
      <w:pPr>
        <w:numPr>
          <w:numId w:val="22"/>
        </w:numPr>
        <w:spacing w:before="120" w:after="120" w:line="288" w:lineRule="auto"/>
        <w:ind w:left="453"/>
        <w:jc w:val="left"/>
      </w:pPr>
      <w:r>
        <w:rPr>
          <w:rFonts w:eastAsia="等线" w:ascii="Arial" w:cs="Arial" w:hAnsi="Arial"/>
          <w:sz w:val="22"/>
        </w:rPr>
        <w:t>全局层：几何质量参数、PSD 工况、固有频率等。</w:t>
      </w:r>
    </w:p>
    <w:p>
      <w:pPr>
        <w:spacing w:before="120" w:after="120" w:line="288" w:lineRule="auto"/>
        <w:ind w:left="0" w:firstLine="420"/>
        <w:jc w:val="left"/>
      </w:pPr>
      <w:r>
        <w:rPr>
          <w:rFonts w:eastAsia="等线" w:ascii="Arial" w:cs="Arial" w:hAnsi="Arial"/>
          <w:sz w:val="22"/>
        </w:rPr>
        <w:t>从算法角度看，这一步把结构仿真结果转成了图或节点场数据，为后续 GNN 和 MLP 模型训练打基础。</w:t>
      </w:r>
    </w:p>
    <w:p>
      <w:pPr>
        <w:spacing w:before="120" w:after="120" w:line="288" w:lineRule="auto"/>
        <w:ind w:left="0" w:firstLine="420"/>
        <w:jc w:val="left"/>
      </w:pPr>
      <w:r>
        <w:rPr>
          <w:rFonts w:eastAsia="等线" w:ascii="Arial" w:cs="Arial" w:hAnsi="Arial"/>
          <w:sz w:val="22"/>
        </w:rPr>
        <w:t>这一阶段的意义是“数据链路打通”。它解决的不是最终精度问题，而是让后续所有实验有统一输入、统一标签和统一复现口径。</w:t>
      </w:r>
    </w:p>
    <w:p>
      <w:pPr>
        <w:pStyle w:val="3"/>
        <w:spacing w:before="300" w:after="120" w:line="288" w:lineRule="auto"/>
        <w:ind w:left="0"/>
        <w:jc w:val="left"/>
        <w:outlineLvl w:val="2"/>
      </w:pPr>
      <w:bookmarkStart w:name="heading_10" w:id="10"/>
      <w:r>
        <w:rPr>
          <w:rFonts w:eastAsia="等线" w:ascii="Arial" w:cs="Arial" w:hAnsi="Arial"/>
          <w:b w:val="true"/>
          <w:sz w:val="30"/>
        </w:rPr>
        <w:t>5.2 从基础响应预测到 Mises 应力专项建模</w:t>
      </w:r>
      <w:bookmarkEnd w:id="10"/>
    </w:p>
    <w:p>
      <w:pPr>
        <w:spacing w:before="120" w:after="120" w:line="288" w:lineRule="auto"/>
        <w:ind w:left="0" w:firstLine="420"/>
        <w:jc w:val="left"/>
      </w:pPr>
      <w:r>
        <w:rPr>
          <w:rFonts w:eastAsia="等线" w:ascii="Arial" w:cs="Arial" w:hAnsi="Arial"/>
          <w:sz w:val="22"/>
        </w:rPr>
        <w:t>早期模型同时预测 RTA 和 RMises。实验结果显示，RTA 这类整体响应相对更平滑，模型较容易学习；RMises 则受应力集中影响，预测难度明显更高。</w:t>
      </w:r>
    </w:p>
    <w:p>
      <w:pPr>
        <w:spacing w:before="120" w:after="120" w:line="288" w:lineRule="auto"/>
        <w:ind w:left="0" w:firstLine="420"/>
        <w:jc w:val="left"/>
      </w:pPr>
      <w:r>
        <w:rPr>
          <w:rFonts w:eastAsia="等线" w:ascii="Arial" w:cs="Arial" w:hAnsi="Arial"/>
          <w:sz w:val="22"/>
        </w:rPr>
        <w:t>由此产生第一个关键转折：RMises 不能只作为普通输出附带预测，而要有专项建模路线。</w:t>
      </w:r>
    </w:p>
    <w:p>
      <w:pPr>
        <w:spacing w:before="120" w:after="120" w:line="288" w:lineRule="auto"/>
        <w:ind w:left="0" w:firstLine="420"/>
        <w:jc w:val="left"/>
      </w:pPr>
      <w:r>
        <w:rPr>
          <w:rFonts w:eastAsia="等线" w:ascii="Arial" w:cs="Arial" w:hAnsi="Arial"/>
          <w:sz w:val="22"/>
        </w:rPr>
        <w:t>后续模型逐步加入：</w:t>
      </w:r>
    </w:p>
    <w:p>
      <w:pPr>
        <w:numPr>
          <w:numId w:val="23"/>
        </w:numPr>
        <w:spacing w:before="120" w:after="120" w:line="288" w:lineRule="auto"/>
        <w:ind w:left="453"/>
        <w:jc w:val="left"/>
      </w:pPr>
      <w:r>
        <w:rPr>
          <w:rFonts w:eastAsia="等线" w:ascii="Arial" w:cs="Arial" w:hAnsi="Arial"/>
          <w:sz w:val="22"/>
        </w:rPr>
        <w:t>RMises 专用分支；</w:t>
      </w:r>
    </w:p>
    <w:p>
      <w:pPr>
        <w:numPr>
          <w:numId w:val="24"/>
        </w:numPr>
        <w:spacing w:before="120" w:after="120" w:line="288" w:lineRule="auto"/>
        <w:ind w:left="453"/>
        <w:jc w:val="left"/>
      </w:pPr>
      <w:r>
        <w:rPr>
          <w:rFonts w:eastAsia="等线" w:ascii="Arial" w:cs="Arial" w:hAnsi="Arial"/>
          <w:sz w:val="22"/>
        </w:rPr>
        <w:t>高应力区域加权；</w:t>
      </w:r>
    </w:p>
    <w:p>
      <w:pPr>
        <w:numPr>
          <w:numId w:val="25"/>
        </w:numPr>
        <w:spacing w:before="120" w:after="120" w:line="288" w:lineRule="auto"/>
        <w:ind w:left="453"/>
        <w:jc w:val="left"/>
      </w:pPr>
      <w:r>
        <w:rPr>
          <w:rFonts w:eastAsia="等线" w:ascii="Arial" w:cs="Arial" w:hAnsi="Arial"/>
          <w:sz w:val="22"/>
        </w:rPr>
        <w:t>热点分类；</w:t>
      </w:r>
    </w:p>
    <w:p>
      <w:pPr>
        <w:numPr>
          <w:numId w:val="26"/>
        </w:numPr>
        <w:spacing w:before="120" w:after="120" w:line="288" w:lineRule="auto"/>
        <w:ind w:left="453"/>
        <w:jc w:val="left"/>
      </w:pPr>
      <w:r>
        <w:rPr>
          <w:rFonts w:eastAsia="等线" w:ascii="Arial" w:cs="Arial" w:hAnsi="Arial"/>
          <w:sz w:val="22"/>
        </w:rPr>
        <w:t>热点强度回归；</w:t>
      </w:r>
    </w:p>
    <w:p>
      <w:pPr>
        <w:numPr>
          <w:numId w:val="27"/>
        </w:numPr>
        <w:spacing w:before="120" w:after="120" w:line="288" w:lineRule="auto"/>
        <w:ind w:left="453"/>
        <w:jc w:val="left"/>
      </w:pPr>
      <w:r>
        <w:rPr>
          <w:rFonts w:eastAsia="等线" w:ascii="Arial" w:cs="Arial" w:hAnsi="Arial"/>
          <w:sz w:val="22"/>
        </w:rPr>
        <w:t>峰值辅助约束；</w:t>
      </w:r>
    </w:p>
    <w:p>
      <w:pPr>
        <w:numPr>
          <w:numId w:val="28"/>
        </w:numPr>
        <w:spacing w:before="120" w:after="120" w:line="288" w:lineRule="auto"/>
        <w:ind w:left="453"/>
        <w:jc w:val="left"/>
      </w:pPr>
      <w:r>
        <w:rPr>
          <w:rFonts w:eastAsia="等线" w:ascii="Arial" w:cs="Arial" w:hAnsi="Arial"/>
          <w:sz w:val="22"/>
        </w:rPr>
        <w:t>背景区域低权重处理。</w:t>
      </w:r>
    </w:p>
    <w:p>
      <w:pPr>
        <w:spacing w:before="120" w:after="120" w:line="288" w:lineRule="auto"/>
        <w:ind w:left="0" w:firstLine="420"/>
        <w:jc w:val="left"/>
      </w:pPr>
      <w:r>
        <w:rPr>
          <w:rFonts w:eastAsia="等线" w:ascii="Arial" w:cs="Arial" w:hAnsi="Arial"/>
          <w:sz w:val="22"/>
        </w:rPr>
        <w:t>研发路线从“让模型预测所有东西”转为“围绕工程关键风险设计模型目标”。</w:t>
      </w:r>
    </w:p>
    <w:p>
      <w:pPr>
        <w:pStyle w:val="3"/>
        <w:spacing w:before="300" w:after="120" w:line="288" w:lineRule="auto"/>
        <w:ind w:left="0"/>
        <w:jc w:val="left"/>
        <w:outlineLvl w:val="2"/>
      </w:pPr>
      <w:bookmarkStart w:name="heading_11" w:id="11"/>
      <w:r>
        <w:rPr>
          <w:rFonts w:eastAsia="等线" w:ascii="Arial" w:cs="Arial" w:hAnsi="Arial"/>
          <w:b w:val="true"/>
          <w:sz w:val="30"/>
        </w:rPr>
        <w:t>5.3 从最终响应场预测到单频 PSD 响应建模</w:t>
      </w:r>
      <w:bookmarkEnd w:id="11"/>
    </w:p>
    <w:p>
      <w:pPr>
        <w:spacing w:before="120" w:after="120" w:line="288" w:lineRule="auto"/>
        <w:ind w:left="0" w:firstLine="420"/>
        <w:jc w:val="left"/>
      </w:pPr>
      <w:r>
        <w:rPr>
          <w:rFonts w:eastAsia="等线" w:ascii="Arial" w:cs="Arial" w:hAnsi="Arial"/>
          <w:sz w:val="22"/>
        </w:rPr>
        <w:t>项目中期进一步发现，直接预测最终 RMises 会把很多频率机制混在一起。为了看清楚共振和热点形成过程，任务被拆成单频响应建模。</w:t>
      </w:r>
    </w:p>
    <w:p>
      <w:pPr>
        <w:spacing w:before="120" w:after="120" w:line="288" w:lineRule="auto"/>
        <w:ind w:left="453"/>
        <w:jc w:val="left"/>
      </w:pPr>
      <w:r>
        <w:rPr>
          <w:rFonts w:eastAsia="等线" w:ascii="Arial" w:cs="Arial" w:hAnsi="Arial"/>
          <w:sz w:val="22"/>
        </w:rPr>
        <w:t>新的样本单位变成：一个结构 case × 一个 frequency frame</w:t>
      </w:r>
    </w:p>
    <w:p>
      <w:pPr>
        <w:spacing w:before="120" w:after="120" w:line="288" w:lineRule="auto"/>
        <w:ind w:left="0" w:firstLine="420"/>
        <w:jc w:val="left"/>
      </w:pPr>
      <w:r>
        <w:rPr>
          <w:rFonts w:eastAsia="等线" w:ascii="Arial" w:cs="Arial" w:hAnsi="Arial"/>
          <w:sz w:val="22"/>
        </w:rPr>
        <w:t xml:space="preserve">模型预测该频率下每个节点的 </w:t>
      </w:r>
      <w:r>
        <w:rPr>
          <w:rFonts w:eastAsia="Consolas" w:ascii="Consolas" w:cs="Consolas" w:hAnsi="Consolas"/>
          <w:sz w:val="22"/>
          <w:shd w:fill="EFF0F1"/>
        </w:rPr>
        <w:t>MISES_psd_density</w:t>
      </w:r>
      <w:r>
        <w:rPr>
          <w:rFonts w:eastAsia="等线" w:ascii="Arial" w:cs="Arial" w:hAnsi="Arial"/>
          <w:sz w:val="22"/>
        </w:rPr>
        <w:t>。这一步使模型能够学习“频率靠近模态时全场如何被放大”“热点在不同频段如何转移”等规律。</w:t>
      </w:r>
    </w:p>
    <w:p>
      <w:pPr>
        <w:spacing w:before="120" w:after="120" w:line="288" w:lineRule="auto"/>
        <w:ind w:left="0" w:firstLine="420"/>
        <w:jc w:val="left"/>
      </w:pPr>
      <w:r>
        <w:rPr>
          <w:rFonts w:eastAsia="等线" w:ascii="Arial" w:cs="Arial" w:hAnsi="Arial"/>
          <w:sz w:val="22"/>
        </w:rPr>
        <w:t>这也是项目从普通全场响应预测走向真正频域代理建模的关键一步。</w:t>
      </w:r>
    </w:p>
    <w:p>
      <w:pPr>
        <w:pStyle w:val="3"/>
        <w:spacing w:before="300" w:after="120" w:line="288" w:lineRule="auto"/>
        <w:ind w:left="0"/>
        <w:jc w:val="left"/>
        <w:outlineLvl w:val="2"/>
      </w:pPr>
      <w:bookmarkStart w:name="heading_12" w:id="12"/>
      <w:r>
        <w:rPr>
          <w:rFonts w:eastAsia="等线" w:ascii="Arial" w:cs="Arial" w:hAnsi="Arial"/>
          <w:b w:val="true"/>
          <w:sz w:val="30"/>
        </w:rPr>
        <w:t>5.4 基于物理机理理解的建模策略调整</w:t>
      </w:r>
      <w:bookmarkEnd w:id="12"/>
    </w:p>
    <w:p>
      <w:pPr>
        <w:spacing w:before="120" w:after="120" w:line="288" w:lineRule="auto"/>
        <w:ind w:left="0" w:firstLine="420"/>
        <w:jc w:val="left"/>
      </w:pPr>
      <w:r>
        <w:rPr>
          <w:rFonts w:eastAsia="等线" w:ascii="Arial" w:cs="Arial" w:hAnsi="Arial"/>
          <w:sz w:val="22"/>
        </w:rPr>
        <w:t>一个非常重要的研发判断：当第一版模型效果不理想时，不能继续盲目大规模训练。主要矛盾不是“模型还没调够”，而是“物理过程、数据分布和异常值机制还没看懂”。</w:t>
      </w:r>
    </w:p>
    <w:p>
      <w:pPr>
        <w:spacing w:before="120" w:after="120" w:line="288" w:lineRule="auto"/>
        <w:ind w:left="0" w:firstLine="420"/>
        <w:jc w:val="left"/>
      </w:pPr>
      <w:r>
        <w:rPr>
          <w:rFonts w:eastAsia="等线" w:ascii="Arial" w:cs="Arial" w:hAnsi="Arial"/>
          <w:sz w:val="22"/>
        </w:rPr>
        <w:t>因此，当时明确提出几项优先工作：</w:t>
      </w:r>
    </w:p>
    <w:p>
      <w:pPr>
        <w:numPr>
          <w:numId w:val="29"/>
        </w:numPr>
        <w:spacing w:before="120" w:after="120" w:line="288" w:lineRule="auto"/>
        <w:ind w:left="453"/>
        <w:jc w:val="left"/>
      </w:pPr>
      <w:r>
        <w:rPr>
          <w:rFonts w:eastAsia="等线" w:ascii="Arial" w:cs="Arial" w:hAnsi="Arial"/>
          <w:sz w:val="22"/>
        </w:rPr>
        <w:t>做单频空间可视化，看高值究竟出现在结构哪里；</w:t>
      </w:r>
    </w:p>
    <w:p>
      <w:pPr>
        <w:numPr>
          <w:numId w:val="30"/>
        </w:numPr>
        <w:spacing w:before="120" w:after="120" w:line="288" w:lineRule="auto"/>
        <w:ind w:left="453"/>
        <w:jc w:val="left"/>
      </w:pPr>
      <w:r>
        <w:rPr>
          <w:rFonts w:eastAsia="等线" w:ascii="Arial" w:cs="Arial" w:hAnsi="Arial"/>
          <w:sz w:val="22"/>
        </w:rPr>
        <w:t>核查节点值、单元值和后处理链路；</w:t>
      </w:r>
    </w:p>
    <w:p>
      <w:pPr>
        <w:numPr>
          <w:numId w:val="31"/>
        </w:numPr>
        <w:spacing w:before="120" w:after="120" w:line="288" w:lineRule="auto"/>
        <w:ind w:left="453"/>
        <w:jc w:val="left"/>
      </w:pPr>
      <w:r>
        <w:rPr>
          <w:rFonts w:eastAsia="等线" w:ascii="Arial" w:cs="Arial" w:hAnsi="Arial"/>
          <w:sz w:val="22"/>
        </w:rPr>
        <w:t>分析负值和异常值是否来自数值后处理；</w:t>
      </w:r>
    </w:p>
    <w:p>
      <w:pPr>
        <w:numPr>
          <w:numId w:val="32"/>
        </w:numPr>
        <w:spacing w:before="120" w:after="120" w:line="288" w:lineRule="auto"/>
        <w:ind w:left="453"/>
        <w:jc w:val="left"/>
      </w:pPr>
      <w:r>
        <w:rPr>
          <w:rFonts w:eastAsia="等线" w:ascii="Arial" w:cs="Arial" w:hAnsi="Arial"/>
          <w:sz w:val="22"/>
        </w:rPr>
        <w:t>按频率、模态距离、区域和高分位响应分层；</w:t>
      </w:r>
    </w:p>
    <w:p>
      <w:pPr>
        <w:numPr>
          <w:numId w:val="33"/>
        </w:numPr>
        <w:spacing w:before="120" w:after="120" w:line="288" w:lineRule="auto"/>
        <w:ind w:left="453"/>
        <w:jc w:val="left"/>
      </w:pPr>
      <w:r>
        <w:rPr>
          <w:rFonts w:eastAsia="等线" w:ascii="Arial" w:cs="Arial" w:hAnsi="Arial"/>
          <w:sz w:val="22"/>
        </w:rPr>
        <w:t>把频率从裸数值改成与模态关系相关的特征。</w:t>
      </w:r>
    </w:p>
    <w:p>
      <w:pPr>
        <w:spacing w:before="120" w:after="120" w:line="288" w:lineRule="auto"/>
        <w:ind w:left="0"/>
        <w:jc w:val="left"/>
      </w:pPr>
      <w:r>
        <w:rPr>
          <w:rFonts w:eastAsia="等线" w:ascii="Arial" w:cs="Arial" w:hAnsi="Arial"/>
          <w:sz w:val="22"/>
        </w:rPr>
        <w:t>这一阶段奠定了后续路线：不是黑盒试错，而是先把物理规律转成算法可用的信息。</w:t>
      </w:r>
    </w:p>
    <w:p>
      <w:pPr>
        <w:pStyle w:val="3"/>
        <w:spacing w:before="300" w:after="120" w:line="288" w:lineRule="auto"/>
        <w:ind w:left="0"/>
        <w:jc w:val="left"/>
        <w:outlineLvl w:val="2"/>
      </w:pPr>
      <w:bookmarkStart w:name="heading_13" w:id="13"/>
      <w:r>
        <w:rPr>
          <w:rFonts w:eastAsia="等线" w:ascii="Arial" w:cs="Arial" w:hAnsi="Arial"/>
          <w:b w:val="true"/>
          <w:sz w:val="30"/>
        </w:rPr>
        <w:t>5.5 从图神经网络探索到高效节点级代理模型</w:t>
      </w:r>
      <w:bookmarkEnd w:id="13"/>
    </w:p>
    <w:p>
      <w:pPr>
        <w:spacing w:before="120" w:after="120" w:line="288" w:lineRule="auto"/>
        <w:ind w:left="0" w:firstLine="420"/>
        <w:jc w:val="left"/>
      </w:pPr>
      <w:r>
        <w:rPr>
          <w:rFonts w:eastAsia="等线" w:ascii="Arial" w:cs="Arial" w:hAnsi="Arial"/>
          <w:sz w:val="22"/>
        </w:rPr>
        <w:t>GNN 符合有限元网格的自然表达，但在大规模数据上训练慢、调参成本高。随着特征体系成熟，项目发现当前最重要的信息来自节点几何、频率-模态关系、模态振型和区域先验，而不是单纯增加图消息传递。</w:t>
      </w:r>
    </w:p>
    <w:p>
      <w:pPr>
        <w:spacing w:before="120" w:after="120" w:line="288" w:lineRule="auto"/>
        <w:ind w:left="0" w:firstLine="420"/>
        <w:jc w:val="left"/>
      </w:pPr>
      <w:r>
        <w:rPr>
          <w:rFonts w:eastAsia="等线" w:ascii="Arial" w:cs="Arial" w:hAnsi="Arial"/>
          <w:sz w:val="22"/>
        </w:rPr>
        <w:t>因此，路线转向轻量节点级模型。每个节点携带自己的几何和模态特征，每个样本携带全局频率和工况特征。模型像推荐系统里的“节点 + 场景”预测，只不过这里的节点是结构网格点，场景是 case 和 frequency。</w:t>
      </w:r>
    </w:p>
    <w:p>
      <w:pPr>
        <w:spacing w:before="120" w:after="120" w:line="288" w:lineRule="auto"/>
        <w:ind w:left="0" w:firstLine="420"/>
        <w:jc w:val="left"/>
      </w:pPr>
      <w:r>
        <w:rPr>
          <w:rFonts w:eastAsia="等线" w:ascii="Arial" w:cs="Arial" w:hAnsi="Arial"/>
          <w:sz w:val="22"/>
        </w:rPr>
        <w:t>这种转向带来几个好处：</w:t>
      </w:r>
    </w:p>
    <w:p>
      <w:pPr>
        <w:numPr>
          <w:numId w:val="34"/>
        </w:numPr>
        <w:spacing w:before="120" w:after="120" w:line="288" w:lineRule="auto"/>
        <w:ind w:left="453"/>
        <w:jc w:val="left"/>
      </w:pPr>
      <w:r>
        <w:rPr>
          <w:rFonts w:eastAsia="等线" w:ascii="Arial" w:cs="Arial" w:hAnsi="Arial"/>
          <w:sz w:val="22"/>
        </w:rPr>
        <w:t>训练更快，便于大量消融实验；</w:t>
      </w:r>
    </w:p>
    <w:p>
      <w:pPr>
        <w:numPr>
          <w:numId w:val="35"/>
        </w:numPr>
        <w:spacing w:before="120" w:after="120" w:line="288" w:lineRule="auto"/>
        <w:ind w:left="453"/>
        <w:jc w:val="left"/>
      </w:pPr>
      <w:r>
        <w:rPr>
          <w:rFonts w:eastAsia="等线" w:ascii="Arial" w:cs="Arial" w:hAnsi="Arial"/>
          <w:sz w:val="22"/>
        </w:rPr>
        <w:t>特征贡献更容易解释；</w:t>
      </w:r>
    </w:p>
    <w:p>
      <w:pPr>
        <w:numPr>
          <w:numId w:val="36"/>
        </w:numPr>
        <w:spacing w:before="120" w:after="120" w:line="288" w:lineRule="auto"/>
        <w:ind w:left="453"/>
        <w:jc w:val="left"/>
      </w:pPr>
      <w:r>
        <w:rPr>
          <w:rFonts w:eastAsia="等线" w:ascii="Arial" w:cs="Arial" w:hAnsi="Arial"/>
          <w:sz w:val="22"/>
        </w:rPr>
        <w:t>loss、采样和区域诊断迭代更灵活；</w:t>
      </w:r>
    </w:p>
    <w:p>
      <w:pPr>
        <w:numPr>
          <w:numId w:val="37"/>
        </w:numPr>
        <w:spacing w:before="120" w:after="120" w:line="288" w:lineRule="auto"/>
        <w:ind w:left="453"/>
        <w:jc w:val="left"/>
      </w:pPr>
      <w:r>
        <w:rPr>
          <w:rFonts w:eastAsia="等线" w:ascii="Arial" w:cs="Arial" w:hAnsi="Arial"/>
          <w:sz w:val="22"/>
        </w:rPr>
        <w:t>能更快判断到底是特征不足、目标不合理，还是模型结构不足。</w:t>
      </w:r>
    </w:p>
    <w:p>
      <w:pPr>
        <w:spacing w:before="120" w:after="120" w:line="288" w:lineRule="auto"/>
        <w:ind w:left="0" w:firstLine="420"/>
        <w:jc w:val="left"/>
      </w:pPr>
      <w:r>
        <w:rPr>
          <w:rFonts w:eastAsia="等线" w:ascii="Arial" w:cs="Arial" w:hAnsi="Arial"/>
          <w:sz w:val="22"/>
        </w:rPr>
        <w:t>这并不是否定 GNN，而是在当前阶段选择更适合研发节奏的模型形态。后续如果诊断证明空间邻域传播是瓶颈，再回到 GNN 或混合结构会更有依据。</w:t>
      </w:r>
    </w:p>
    <w:p>
      <w:pPr>
        <w:pStyle w:val="3"/>
        <w:spacing w:before="300" w:after="120" w:line="288" w:lineRule="auto"/>
        <w:ind w:left="0"/>
        <w:jc w:val="left"/>
        <w:outlineLvl w:val="2"/>
      </w:pPr>
      <w:bookmarkStart w:name="heading_14" w:id="14"/>
      <w:r>
        <w:rPr>
          <w:rFonts w:eastAsia="等线" w:ascii="Arial" w:cs="Arial" w:hAnsi="Arial"/>
          <w:b w:val="true"/>
          <w:sz w:val="30"/>
        </w:rPr>
        <w:t>5.6 面向重点结构区域的分域建模与诊断</w:t>
      </w:r>
      <w:bookmarkEnd w:id="14"/>
    </w:p>
    <w:p>
      <w:pPr>
        <w:spacing w:before="120" w:after="120" w:line="288" w:lineRule="auto"/>
        <w:ind w:left="0" w:firstLine="420"/>
        <w:jc w:val="left"/>
      </w:pPr>
      <w:r>
        <w:rPr>
          <w:rFonts w:eastAsia="等线" w:ascii="Arial" w:cs="Arial" w:hAnsi="Arial"/>
          <w:sz w:val="22"/>
        </w:rPr>
        <w:t>后期项目形成了耳片区域、圆盘中心区域和全区域模型三条线。</w:t>
      </w:r>
    </w:p>
    <w:p>
      <w:pPr>
        <w:spacing w:before="120" w:after="120" w:line="288" w:lineRule="auto"/>
        <w:ind w:left="0" w:firstLine="420"/>
        <w:jc w:val="left"/>
      </w:pPr>
      <w:r>
        <w:rPr>
          <w:rFonts w:eastAsia="等线" w:ascii="Arial" w:cs="Arial" w:hAnsi="Arial"/>
          <w:sz w:val="22"/>
        </w:rPr>
        <w:t>耳片区域模型重点处理固定孔、耳片孔邻域和根部过渡区。这个区域的物理机制相对清晰：孔边约束和局部几何突变导致应力集中。</w:t>
      </w:r>
    </w:p>
    <w:p>
      <w:pPr>
        <w:spacing w:before="120" w:after="120" w:line="288" w:lineRule="auto"/>
        <w:ind w:left="0" w:firstLine="420"/>
        <w:jc w:val="left"/>
      </w:pPr>
      <w:r>
        <w:rPr>
          <w:rFonts w:eastAsia="等线" w:ascii="Arial" w:cs="Arial" w:hAnsi="Arial"/>
          <w:sz w:val="22"/>
        </w:rPr>
        <w:t>圆盘中心区域模型重点处理中心耦合、中心附加质量、圆盘通孔和角向周期。这个区域尤其依赖多阶模态、中心局部几何。</w:t>
      </w:r>
    </w:p>
    <w:p>
      <w:pPr>
        <w:spacing w:before="120" w:after="120" w:line="288" w:lineRule="auto"/>
        <w:ind w:left="0" w:firstLine="420"/>
        <w:jc w:val="left"/>
      </w:pPr>
      <w:r>
        <w:rPr>
          <w:rFonts w:eastAsia="等线" w:ascii="Arial" w:cs="Arial" w:hAnsi="Arial"/>
          <w:sz w:val="22"/>
        </w:rPr>
        <w:t>全区域模型用于覆盖更大范围和做全局诊断，但在最尖峰区域上容易低估。因此，当前更合理的工程策略不是强行用一个模型统一所有区域，而是采用“全区域兜底 + 关键区域专用模型”的组合。</w:t>
      </w:r>
    </w:p>
    <w:p>
      <w:pPr>
        <w:pStyle w:val="3"/>
        <w:spacing w:before="300" w:after="120" w:line="288" w:lineRule="auto"/>
        <w:ind w:left="0"/>
        <w:jc w:val="left"/>
        <w:outlineLvl w:val="2"/>
      </w:pPr>
      <w:bookmarkStart w:name="heading_15" w:id="15"/>
      <w:r>
        <w:rPr>
          <w:rFonts w:eastAsia="等线" w:ascii="Arial" w:cs="Arial" w:hAnsi="Arial"/>
          <w:b w:val="true"/>
          <w:sz w:val="30"/>
        </w:rPr>
        <w:t>5.7 特征重要性分析与模型可解释性验证</w:t>
      </w:r>
      <w:bookmarkEnd w:id="15"/>
    </w:p>
    <w:p>
      <w:pPr>
        <w:spacing w:before="120" w:after="120" w:line="288" w:lineRule="auto"/>
        <w:ind w:left="0"/>
        <w:jc w:val="left"/>
      </w:pPr>
      <w:r>
        <w:rPr>
          <w:rFonts w:eastAsia="等线" w:ascii="Arial" w:cs="Arial" w:hAnsi="Arial"/>
          <w:sz w:val="22"/>
        </w:rPr>
        <w:t>为避免模型成为无法解释的黑箱，项目后期做了特征组级别的重要性分析。</w:t>
      </w:r>
    </w:p>
    <w:p>
      <w:pPr>
        <w:spacing w:before="120" w:after="120" w:line="288" w:lineRule="auto"/>
        <w:ind w:left="0"/>
        <w:jc w:val="left"/>
      </w:pPr>
      <w:r>
        <w:rPr>
          <w:rFonts w:eastAsia="等线" w:ascii="Arial" w:cs="Arial" w:hAnsi="Arial"/>
          <w:sz w:val="22"/>
        </w:rPr>
        <w:t>结论非常清楚：</w:t>
      </w:r>
    </w:p>
    <w:p>
      <w:pPr>
        <w:numPr>
          <w:numId w:val="38"/>
        </w:numPr>
        <w:spacing w:before="120" w:after="120" w:line="288" w:lineRule="auto"/>
        <w:ind w:left="453"/>
        <w:jc w:val="left"/>
      </w:pPr>
      <w:r>
        <w:rPr>
          <w:rFonts w:eastAsia="等线" w:ascii="Arial" w:cs="Arial" w:hAnsi="Arial"/>
          <w:sz w:val="22"/>
        </w:rPr>
        <w:t>频率上下文是最重要特征，说明当前频率相对模态的位置是预测应力的第一主导因素；</w:t>
      </w:r>
    </w:p>
    <w:p>
      <w:pPr>
        <w:numPr>
          <w:numId w:val="39"/>
        </w:numPr>
        <w:spacing w:before="120" w:after="120" w:line="288" w:lineRule="auto"/>
        <w:ind w:left="453"/>
        <w:jc w:val="left"/>
      </w:pPr>
      <w:r>
        <w:rPr>
          <w:rFonts w:eastAsia="等线" w:ascii="Arial" w:cs="Arial" w:hAnsi="Arial"/>
          <w:sz w:val="22"/>
        </w:rPr>
        <w:t>模态振型响应是第二重要特征，说明节点在相关模态中是否活跃非常关键；</w:t>
      </w:r>
    </w:p>
    <w:p>
      <w:pPr>
        <w:numPr>
          <w:numId w:val="40"/>
        </w:numPr>
        <w:spacing w:before="120" w:after="120" w:line="288" w:lineRule="auto"/>
        <w:ind w:left="453"/>
        <w:jc w:val="left"/>
      </w:pPr>
      <w:r>
        <w:rPr>
          <w:rFonts w:eastAsia="等线" w:ascii="Arial" w:cs="Arial" w:hAnsi="Arial"/>
          <w:sz w:val="22"/>
        </w:rPr>
        <w:t>PSD 激励、局部几何也有显著贡献；</w:t>
      </w:r>
    </w:p>
    <w:p>
      <w:pPr>
        <w:numPr>
          <w:numId w:val="41"/>
        </w:numPr>
        <w:spacing w:before="120" w:after="120" w:line="288" w:lineRule="auto"/>
        <w:ind w:left="453"/>
        <w:jc w:val="left"/>
      </w:pPr>
      <w:r>
        <w:rPr>
          <w:rFonts w:eastAsia="等线" w:ascii="Arial" w:cs="Arial" w:hAnsi="Arial"/>
          <w:sz w:val="22"/>
        </w:rPr>
        <w:t>耳片模型更依赖耳片局部几何和区域 mask；</w:t>
      </w:r>
    </w:p>
    <w:p>
      <w:pPr>
        <w:numPr>
          <w:numId w:val="42"/>
        </w:numPr>
        <w:spacing w:before="120" w:after="120" w:line="288" w:lineRule="auto"/>
        <w:ind w:left="453"/>
        <w:jc w:val="left"/>
      </w:pPr>
      <w:r>
        <w:rPr>
          <w:rFonts w:eastAsia="等线" w:ascii="Arial" w:cs="Arial" w:hAnsi="Arial"/>
          <w:sz w:val="22"/>
        </w:rPr>
        <w:t>简单的“到应力区域距离”贡献很弱，说明需要更丰富的物理表达，不能靠单一距离特征替代。</w:t>
      </w:r>
    </w:p>
    <w:p>
      <w:pPr>
        <w:spacing w:before="120" w:after="120" w:line="288" w:lineRule="auto"/>
        <w:ind w:left="0"/>
        <w:jc w:val="left"/>
      </w:pPr>
      <w:r>
        <w:rPr>
          <w:rFonts w:eastAsia="等线" w:ascii="Arial" w:cs="Arial" w:hAnsi="Arial"/>
          <w:sz w:val="22"/>
        </w:rPr>
        <w:t>这部分是对外展示专业度的重要证据。它说明模型依赖的是结构动力学和几何相关信息，而不是随机记忆样本。</w:t>
      </w:r>
    </w:p>
    <w:p>
      <w:pPr>
        <w:spacing w:before="120" w:after="120" w:line="288" w:lineRule="auto"/>
        <w:ind w:left="0"/>
        <w:jc w:val="left"/>
      </w:pPr>
    </w:p>
    <w:p>
      <w:pPr>
        <w:pStyle w:val="2"/>
        <w:spacing w:before="320" w:after="120" w:line="288" w:lineRule="auto"/>
        <w:ind w:left="0"/>
        <w:jc w:val="left"/>
        <w:outlineLvl w:val="1"/>
      </w:pPr>
      <w:r>
        <w:rPr>
          <w:rFonts w:eastAsia="等线" w:ascii="Arial" w:hAnsi="Arial" w:cs="Arial"/>
          <w:b w:val="true"/>
          <w:sz w:val="32"/>
        </w:rPr>
        <w:t>6. 当前技术方案</w:t>
      </w:r>
    </w:p>
    <w:p>
      <w:pPr>
        <w:spacing w:before="120" w:after="120" w:line="288" w:lineRule="auto"/>
        <w:ind w:left="0" w:firstLine="420"/>
        <w:jc w:val="left"/>
      </w:pPr>
      <w:r>
        <w:rPr>
          <w:rFonts w:eastAsia="等线" w:ascii="Arial" w:hAnsi="Arial" w:cs="Arial"/>
          <w:sz w:val="22"/>
        </w:rPr>
        <w:t>基于前述技术研发历程，项目已经从数据链路打通、基础预测能力建立、区域问题诊断和误差口径校准，逐步收敛到面向全场节点应力响应的 AI 代理建模方案。本阶段终版方案采用“结构方案-频率帧-网格节点”的样本组织方式，将有限元仿真结果转化为可监督学习数据；模型以节点几何、载荷频率、模态响应和区域先验为输入，预测每个节点在单一频率下的应力谱密度，并进一步汇总得到工程使用的最终应力结果。</w:t>
      </w:r>
    </w:p>
    <w:p>
      <w:pPr>
        <w:spacing w:before="120" w:after="120" w:line="288" w:lineRule="auto"/>
        <w:ind w:left="0" w:firstLine="420"/>
        <w:jc w:val="left"/>
      </w:pPr>
      <w:r>
        <w:rPr>
          <w:rFonts w:eastAsia="等线" w:ascii="Arial" w:hAnsi="Arial" w:cs="Arial"/>
          <w:sz w:val="22"/>
        </w:rPr>
        <w:t>当前性能最优模型采用轻量化节点级神经网络主干，并配置低秩频率曲线表达模块。该建模方式延续前文“用物理特征提升节点级代理模型”的研发路线：一方面保留全区域覆盖能力，另一方面通过耳片、圆盘和板孔等局部几何特征增强关键区域识别能力；同时引入低响应阈值处理策略，降低大量近零背景点对训练目标和相对误差评估的干扰。以下先对本章使用的核心术语作统一说明，再展开数据组织、特征体系、模型结构和评估方式。</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firstRow="1" w:noHBand="0" w:noVBand="1"/>
      </w:tblPr>
      <w:tr>
        <w:tc>
          <w:tcPr>
            <w:tcW w:w="2400" w:type="dxa"/>
            <w:shd w:fill="1F4E79"/>
            <w:vAlign w:val="center"/>
          </w:tcPr>
          <w:p>
            <w:pPr>
              <w:spacing w:before="40" w:after="40" w:line="250" w:lineRule="auto"/>
              <w:ind w:left="0"/>
              <w:jc w:val="center"/>
            </w:pPr>
            <w:r>
              <w:rPr>
                <w:rFonts w:eastAsia="等线" w:ascii="Arial" w:hAnsi="Arial" w:cs="Arial"/>
                <w:b w:val="true"/>
                <w:color w:val="FFFFFF"/>
                <w:sz w:val="16"/>
              </w:rPr>
              <w:t>术语</w:t>
            </w:r>
          </w:p>
        </w:tc>
        <w:tc>
          <w:tcPr>
            <w:tcW w:w="4700" w:type="dxa"/>
            <w:shd w:fill="1F4E79"/>
            <w:vAlign w:val="center"/>
          </w:tcPr>
          <w:p>
            <w:pPr>
              <w:spacing w:before="40" w:after="40" w:line="250" w:lineRule="auto"/>
              <w:ind w:left="0"/>
              <w:jc w:val="center"/>
            </w:pPr>
            <w:r>
              <w:rPr>
                <w:rFonts w:eastAsia="等线" w:ascii="Arial" w:hAnsi="Arial" w:cs="Arial"/>
                <w:b w:val="true"/>
                <w:color w:val="FFFFFF"/>
                <w:sz w:val="16"/>
              </w:rPr>
              <w:t>本文含义</w:t>
            </w:r>
          </w:p>
        </w:tc>
        <w:tc>
          <w:tcPr>
            <w:tcW w:w="3900" w:type="dxa"/>
            <w:shd w:fill="1F4E79"/>
            <w:vAlign w:val="center"/>
          </w:tcPr>
          <w:p>
            <w:pPr>
              <w:spacing w:before="40" w:after="40" w:line="250" w:lineRule="auto"/>
              <w:ind w:left="0"/>
              <w:jc w:val="center"/>
            </w:pPr>
            <w:r>
              <w:rPr>
                <w:rFonts w:eastAsia="等线" w:ascii="Arial" w:hAnsi="Arial" w:cs="Arial"/>
                <w:b w:val="true"/>
                <w:color w:val="FFFFFF"/>
                <w:sz w:val="16"/>
              </w:rPr>
              <w:t>在本方案中的作用</w:t>
            </w:r>
          </w:p>
        </w:tc>
      </w:tr>
      <w:tr>
        <w:tc>
          <w:tcPr>
            <w:tcW w:w="2400" w:type="dxa"/>
            <w:shd w:fill="FFFFFF"/>
            <w:vAlign w:val="center"/>
          </w:tcPr>
          <w:p>
            <w:pPr>
              <w:spacing w:before="40" w:after="40" w:line="250" w:lineRule="auto"/>
              <w:ind w:left="0"/>
              <w:jc w:val="left"/>
            </w:pPr>
            <w:r>
              <w:rPr>
                <w:rFonts w:eastAsia="等线" w:ascii="Arial" w:hAnsi="Arial" w:cs="Arial"/>
                <w:sz w:val="16"/>
              </w:rPr>
              <w:t>有限元仿真</w:t>
            </w:r>
          </w:p>
        </w:tc>
        <w:tc>
          <w:tcPr>
            <w:tcW w:w="4700" w:type="dxa"/>
            <w:shd w:fill="FFFFFF"/>
            <w:vAlign w:val="center"/>
          </w:tcPr>
          <w:p>
            <w:pPr>
              <w:spacing w:before="40" w:after="40" w:line="250" w:lineRule="auto"/>
              <w:ind w:left="0"/>
              <w:jc w:val="left"/>
            </w:pPr>
            <w:r>
              <w:rPr>
                <w:rFonts w:eastAsia="等线" w:ascii="Arial" w:hAnsi="Arial" w:cs="Arial"/>
                <w:sz w:val="16"/>
              </w:rPr>
              <w:t>用工程仿真软件把结构离散成网格节点后求解应力响应的方法</w:t>
            </w:r>
          </w:p>
        </w:tc>
        <w:tc>
          <w:tcPr>
            <w:tcW w:w="3900" w:type="dxa"/>
            <w:shd w:fill="FFFFFF"/>
            <w:vAlign w:val="center"/>
          </w:tcPr>
          <w:p>
            <w:pPr>
              <w:spacing w:before="40" w:after="40" w:line="250" w:lineRule="auto"/>
              <w:ind w:left="0"/>
              <w:jc w:val="left"/>
            </w:pPr>
            <w:r>
              <w:rPr>
                <w:rFonts w:eastAsia="等线" w:ascii="Arial" w:hAnsi="Arial" w:cs="Arial"/>
                <w:sz w:val="16"/>
              </w:rPr>
              <w:t>提供本项目训练和评估使用的高保真参考数据</w:t>
            </w:r>
          </w:p>
        </w:tc>
      </w:tr>
      <w:tr>
        <w:tc>
          <w:tcPr>
            <w:tcW w:w="2400" w:type="dxa"/>
            <w:shd w:fill="FFFFFF"/>
            <w:vAlign w:val="center"/>
          </w:tcPr>
          <w:p>
            <w:pPr>
              <w:spacing w:before="40" w:after="40" w:line="250" w:lineRule="auto"/>
              <w:ind w:left="0"/>
              <w:jc w:val="left"/>
            </w:pPr>
            <w:r>
              <w:rPr>
                <w:rFonts w:eastAsia="等线" w:ascii="Arial" w:hAnsi="Arial" w:cs="Arial"/>
                <w:sz w:val="16"/>
              </w:rPr>
              <w:t>结构方案 / 频率帧 / 节点</w:t>
            </w:r>
          </w:p>
        </w:tc>
        <w:tc>
          <w:tcPr>
            <w:tcW w:w="4700" w:type="dxa"/>
            <w:shd w:fill="FFFFFF"/>
            <w:vAlign w:val="center"/>
          </w:tcPr>
          <w:p>
            <w:pPr>
              <w:spacing w:before="40" w:after="40" w:line="250" w:lineRule="auto"/>
              <w:ind w:left="0"/>
              <w:jc w:val="left"/>
            </w:pPr>
            <w:r>
              <w:rPr>
                <w:rFonts w:eastAsia="等线" w:ascii="Arial" w:hAnsi="Arial" w:cs="Arial"/>
                <w:sz w:val="16"/>
              </w:rPr>
              <w:t>结构方案表示一个几何与工况组合；频率帧表示一个离散频率点；节点表示网格上的空间采样点</w:t>
            </w:r>
          </w:p>
        </w:tc>
        <w:tc>
          <w:tcPr>
            <w:tcW w:w="3900" w:type="dxa"/>
            <w:shd w:fill="FFFFFF"/>
            <w:vAlign w:val="center"/>
          </w:tcPr>
          <w:p>
            <w:pPr>
              <w:spacing w:before="40" w:after="40" w:line="250" w:lineRule="auto"/>
              <w:ind w:left="0"/>
              <w:jc w:val="left"/>
            </w:pPr>
            <w:r>
              <w:rPr>
                <w:rFonts w:eastAsia="等线" w:ascii="Arial" w:hAnsi="Arial" w:cs="Arial"/>
                <w:sz w:val="16"/>
              </w:rPr>
              <w:t>构成模型样本的三层组织方式</w:t>
            </w:r>
          </w:p>
        </w:tc>
      </w:tr>
      <w:tr>
        <w:tc>
          <w:tcPr>
            <w:tcW w:w="2400" w:type="dxa"/>
            <w:shd w:fill="FFFFFF"/>
            <w:vAlign w:val="center"/>
          </w:tcPr>
          <w:p>
            <w:pPr>
              <w:spacing w:before="40" w:after="40" w:line="250" w:lineRule="auto"/>
              <w:ind w:left="0"/>
              <w:jc w:val="left"/>
            </w:pPr>
            <w:r>
              <w:rPr>
                <w:rFonts w:eastAsia="等线" w:ascii="Arial" w:hAnsi="Arial" w:cs="Arial"/>
                <w:sz w:val="16"/>
              </w:rPr>
              <w:t>PSD（功率谱密度）</w:t>
            </w:r>
          </w:p>
        </w:tc>
        <w:tc>
          <w:tcPr>
            <w:tcW w:w="4700" w:type="dxa"/>
            <w:shd w:fill="FFFFFF"/>
            <w:vAlign w:val="center"/>
          </w:tcPr>
          <w:p>
            <w:pPr>
              <w:spacing w:before="40" w:after="40" w:line="250" w:lineRule="auto"/>
              <w:ind w:left="0"/>
              <w:jc w:val="left"/>
            </w:pPr>
            <w:r>
              <w:rPr>
                <w:rFonts w:eastAsia="等线" w:ascii="Arial" w:hAnsi="Arial" w:cs="Arial"/>
                <w:sz w:val="16"/>
              </w:rPr>
              <w:t>随机振动载荷或响应在频率域上的能量分布</w:t>
            </w:r>
          </w:p>
        </w:tc>
        <w:tc>
          <w:tcPr>
            <w:tcW w:w="3900" w:type="dxa"/>
            <w:shd w:fill="FFFFFF"/>
            <w:vAlign w:val="center"/>
          </w:tcPr>
          <w:p>
            <w:pPr>
              <w:spacing w:before="40" w:after="40" w:line="250" w:lineRule="auto"/>
              <w:ind w:left="0"/>
              <w:jc w:val="left"/>
            </w:pPr>
            <w:r>
              <w:rPr>
                <w:rFonts w:eastAsia="等线" w:ascii="Arial" w:hAnsi="Arial" w:cs="Arial"/>
                <w:sz w:val="16"/>
              </w:rPr>
              <w:t>描述输入载荷和节点应力响应随频率变化的过程</w:t>
            </w:r>
          </w:p>
        </w:tc>
      </w:tr>
      <w:tr>
        <w:tc>
          <w:tcPr>
            <w:tcW w:w="2400" w:type="dxa"/>
            <w:shd w:fill="FFFFFF"/>
            <w:vAlign w:val="center"/>
          </w:tcPr>
          <w:p>
            <w:pPr>
              <w:spacing w:before="40" w:after="40" w:line="250" w:lineRule="auto"/>
              <w:ind w:left="0"/>
              <w:jc w:val="left"/>
            </w:pPr>
            <w:r>
              <w:rPr>
                <w:rFonts w:eastAsia="等线" w:ascii="Arial" w:hAnsi="Arial" w:cs="Arial"/>
                <w:sz w:val="16"/>
              </w:rPr>
              <w:t>Mises 应力</w:t>
            </w:r>
          </w:p>
        </w:tc>
        <w:tc>
          <w:tcPr>
            <w:tcW w:w="4700" w:type="dxa"/>
            <w:shd w:fill="FFFFFF"/>
            <w:vAlign w:val="center"/>
          </w:tcPr>
          <w:p>
            <w:pPr>
              <w:spacing w:before="40" w:after="40" w:line="250" w:lineRule="auto"/>
              <w:ind w:left="0"/>
              <w:jc w:val="left"/>
            </w:pPr>
            <w:r>
              <w:rPr>
                <w:rFonts w:eastAsia="等线" w:ascii="Arial" w:hAnsi="Arial" w:cs="Arial"/>
                <w:sz w:val="16"/>
              </w:rPr>
              <w:t>用于综合三向应力状态的等效应力指标</w:t>
            </w:r>
          </w:p>
        </w:tc>
        <w:tc>
          <w:tcPr>
            <w:tcW w:w="3900" w:type="dxa"/>
            <w:shd w:fill="FFFFFF"/>
            <w:vAlign w:val="center"/>
          </w:tcPr>
          <w:p>
            <w:pPr>
              <w:spacing w:before="40" w:after="40" w:line="250" w:lineRule="auto"/>
              <w:ind w:left="0"/>
              <w:jc w:val="left"/>
            </w:pPr>
            <w:r>
              <w:rPr>
                <w:rFonts w:eastAsia="等线" w:ascii="Arial" w:hAnsi="Arial" w:cs="Arial"/>
                <w:sz w:val="16"/>
              </w:rPr>
              <w:t>作为结构强度和热点风险判断的核心应力量</w:t>
            </w:r>
          </w:p>
        </w:tc>
      </w:tr>
      <w:tr>
        <w:tc>
          <w:tcPr>
            <w:tcW w:w="2400" w:type="dxa"/>
            <w:shd w:fill="FFFFFF"/>
            <w:vAlign w:val="center"/>
          </w:tcPr>
          <w:p>
            <w:pPr>
              <w:spacing w:before="40" w:after="40" w:line="250" w:lineRule="auto"/>
              <w:ind w:left="0"/>
              <w:jc w:val="left"/>
            </w:pPr>
            <w:r>
              <w:rPr>
                <w:rFonts w:eastAsia="等线" w:ascii="Arial" w:hAnsi="Arial" w:cs="Arial"/>
                <w:sz w:val="16"/>
              </w:rPr>
              <w:t>MISES 应力谱密度</w:t>
            </w:r>
          </w:p>
        </w:tc>
        <w:tc>
          <w:tcPr>
            <w:tcW w:w="4700" w:type="dxa"/>
            <w:shd w:fill="FFFFFF"/>
            <w:vAlign w:val="center"/>
          </w:tcPr>
          <w:p>
            <w:pPr>
              <w:spacing w:before="40" w:after="40" w:line="250" w:lineRule="auto"/>
              <w:ind w:left="0"/>
              <w:jc w:val="left"/>
            </w:pPr>
            <w:r>
              <w:rPr>
                <w:rFonts w:eastAsia="等线" w:ascii="Arial" w:hAnsi="Arial" w:cs="Arial"/>
                <w:sz w:val="16"/>
              </w:rPr>
              <w:t>节点在某一频率下的 Mises 应力 PSD 响应</w:t>
            </w:r>
          </w:p>
        </w:tc>
        <w:tc>
          <w:tcPr>
            <w:tcW w:w="3900" w:type="dxa"/>
            <w:shd w:fill="FFFFFF"/>
            <w:vAlign w:val="center"/>
          </w:tcPr>
          <w:p>
            <w:pPr>
              <w:spacing w:before="40" w:after="40" w:line="250" w:lineRule="auto"/>
              <w:ind w:left="0"/>
              <w:jc w:val="left"/>
            </w:pPr>
            <w:r>
              <w:rPr>
                <w:rFonts w:eastAsia="等线" w:ascii="Arial" w:hAnsi="Arial" w:cs="Arial"/>
                <w:sz w:val="16"/>
              </w:rPr>
              <w:t>模型直接预测的逐频目标</w:t>
            </w:r>
          </w:p>
        </w:tc>
      </w:tr>
      <w:tr>
        <w:tc>
          <w:tcPr>
            <w:tcW w:w="2400" w:type="dxa"/>
            <w:shd w:fill="FFFFFF"/>
            <w:vAlign w:val="center"/>
          </w:tcPr>
          <w:p>
            <w:pPr>
              <w:spacing w:before="40" w:after="40" w:line="250" w:lineRule="auto"/>
              <w:ind w:left="0"/>
              <w:jc w:val="left"/>
            </w:pPr>
            <w:r>
              <w:rPr>
                <w:rFonts w:eastAsia="等线" w:ascii="Arial" w:hAnsi="Arial" w:cs="Arial"/>
                <w:sz w:val="16"/>
              </w:rPr>
              <w:t>RMises（均方根 Mises 应力）</w:t>
            </w:r>
          </w:p>
        </w:tc>
        <w:tc>
          <w:tcPr>
            <w:tcW w:w="4700" w:type="dxa"/>
            <w:shd w:fill="FFFFFF"/>
            <w:vAlign w:val="center"/>
          </w:tcPr>
          <w:p>
            <w:pPr>
              <w:spacing w:before="40" w:after="40" w:line="250" w:lineRule="auto"/>
              <w:ind w:left="0"/>
              <w:jc w:val="left"/>
            </w:pPr>
            <w:r>
              <w:rPr>
                <w:rFonts w:eastAsia="等线" w:ascii="Arial" w:hAnsi="Arial" w:cs="Arial"/>
                <w:sz w:val="16"/>
              </w:rPr>
              <w:t>将逐频 Mises 应力谱密度沿频率方向积分后得到的最终应力汇总量</w:t>
            </w:r>
          </w:p>
        </w:tc>
        <w:tc>
          <w:tcPr>
            <w:tcW w:w="3900" w:type="dxa"/>
            <w:shd w:fill="FFFFFF"/>
            <w:vAlign w:val="center"/>
          </w:tcPr>
          <w:p>
            <w:pPr>
              <w:spacing w:before="40" w:after="40" w:line="250" w:lineRule="auto"/>
              <w:ind w:left="0"/>
              <w:jc w:val="left"/>
            </w:pPr>
            <w:r>
              <w:rPr>
                <w:rFonts w:eastAsia="等线" w:ascii="Arial" w:hAnsi="Arial" w:cs="Arial"/>
                <w:sz w:val="16"/>
              </w:rPr>
              <w:t>更接近工程强度校核中使用的最终场量</w:t>
            </w:r>
          </w:p>
        </w:tc>
      </w:tr>
      <w:tr>
        <w:tc>
          <w:tcPr>
            <w:tcW w:w="2400" w:type="dxa"/>
            <w:shd w:fill="FFFFFF"/>
            <w:vAlign w:val="center"/>
          </w:tcPr>
          <w:p>
            <w:pPr>
              <w:spacing w:before="40" w:after="40" w:line="250" w:lineRule="auto"/>
              <w:ind w:left="0"/>
              <w:jc w:val="left"/>
            </w:pPr>
            <w:r>
              <w:rPr>
                <w:rFonts w:eastAsia="等线" w:ascii="Arial" w:hAnsi="Arial" w:cs="Arial"/>
                <w:sz w:val="16"/>
              </w:rPr>
              <w:t>节点级代理模型</w:t>
            </w:r>
          </w:p>
        </w:tc>
        <w:tc>
          <w:tcPr>
            <w:tcW w:w="4700" w:type="dxa"/>
            <w:shd w:fill="FFFFFF"/>
            <w:vAlign w:val="center"/>
          </w:tcPr>
          <w:p>
            <w:pPr>
              <w:spacing w:before="40" w:after="40" w:line="250" w:lineRule="auto"/>
              <w:ind w:left="0"/>
              <w:jc w:val="left"/>
            </w:pPr>
            <w:r>
              <w:rPr>
                <w:rFonts w:eastAsia="等线" w:ascii="Arial" w:hAnsi="Arial" w:cs="Arial"/>
                <w:sz w:val="16"/>
              </w:rPr>
              <w:t>以每个网格节点为基本预测对象的 AI 快速近似模型</w:t>
            </w:r>
          </w:p>
        </w:tc>
        <w:tc>
          <w:tcPr>
            <w:tcW w:w="3900" w:type="dxa"/>
            <w:shd w:fill="FFFFFF"/>
            <w:vAlign w:val="center"/>
          </w:tcPr>
          <w:p>
            <w:pPr>
              <w:spacing w:before="40" w:after="40" w:line="250" w:lineRule="auto"/>
              <w:ind w:left="0"/>
              <w:jc w:val="left"/>
            </w:pPr>
            <w:r>
              <w:rPr>
                <w:rFonts w:eastAsia="等线" w:ascii="Arial" w:hAnsi="Arial" w:cs="Arial"/>
                <w:sz w:val="16"/>
              </w:rPr>
              <w:t>替代部分重复有限元后处理，用于快速预测全场响应</w:t>
            </w:r>
          </w:p>
        </w:tc>
      </w:tr>
      <w:tr>
        <w:tc>
          <w:tcPr>
            <w:tcW w:w="2400" w:type="dxa"/>
            <w:shd w:fill="FFFFFF"/>
            <w:vAlign w:val="center"/>
          </w:tcPr>
          <w:p>
            <w:pPr>
              <w:spacing w:before="40" w:after="40" w:line="250" w:lineRule="auto"/>
              <w:ind w:left="0"/>
              <w:jc w:val="left"/>
            </w:pPr>
            <w:r>
              <w:rPr>
                <w:rFonts w:eastAsia="等线" w:ascii="Arial" w:hAnsi="Arial" w:cs="Arial"/>
                <w:sz w:val="16"/>
              </w:rPr>
              <w:t>模态 / FRF</w:t>
            </w:r>
          </w:p>
        </w:tc>
        <w:tc>
          <w:tcPr>
            <w:tcW w:w="4700" w:type="dxa"/>
            <w:shd w:fill="FFFFFF"/>
            <w:vAlign w:val="center"/>
          </w:tcPr>
          <w:p>
            <w:pPr>
              <w:spacing w:before="40" w:after="40" w:line="250" w:lineRule="auto"/>
              <w:ind w:left="0"/>
              <w:jc w:val="left"/>
            </w:pPr>
            <w:r>
              <w:rPr>
                <w:rFonts w:eastAsia="等线" w:ascii="Arial" w:hAnsi="Arial" w:cs="Arial"/>
                <w:sz w:val="16"/>
              </w:rPr>
              <w:t>模态表示结构固有振动形态；FRF 表示频率响应函数</w:t>
            </w:r>
          </w:p>
        </w:tc>
        <w:tc>
          <w:tcPr>
            <w:tcW w:w="3900" w:type="dxa"/>
            <w:shd w:fill="FFFFFF"/>
            <w:vAlign w:val="center"/>
          </w:tcPr>
          <w:p>
            <w:pPr>
              <w:spacing w:before="40" w:after="40" w:line="250" w:lineRule="auto"/>
              <w:ind w:left="0"/>
              <w:jc w:val="left"/>
            </w:pPr>
            <w:r>
              <w:rPr>
                <w:rFonts w:eastAsia="等线" w:ascii="Arial" w:hAnsi="Arial" w:cs="Arial"/>
                <w:sz w:val="16"/>
              </w:rPr>
              <w:t>帮助模型识别共振邻域和节点在不同振型下的活跃程度</w:t>
            </w:r>
          </w:p>
        </w:tc>
      </w:tr>
      <w:tr>
        <w:tc>
          <w:tcPr>
            <w:tcW w:w="2400" w:type="dxa"/>
            <w:shd w:fill="FFFFFF"/>
            <w:vAlign w:val="center"/>
          </w:tcPr>
          <w:p>
            <w:pPr>
              <w:spacing w:before="40" w:after="40" w:line="250" w:lineRule="auto"/>
              <w:ind w:left="0"/>
              <w:jc w:val="left"/>
            </w:pPr>
            <w:r>
              <w:rPr>
                <w:rFonts w:eastAsia="等线" w:ascii="Arial" w:hAnsi="Arial" w:cs="Arial"/>
                <w:sz w:val="16"/>
              </w:rPr>
              <w:t>MLP / SiLU / LayerNorm / Dropout</w:t>
            </w:r>
          </w:p>
        </w:tc>
        <w:tc>
          <w:tcPr>
            <w:tcW w:w="4700" w:type="dxa"/>
            <w:shd w:fill="FFFFFF"/>
            <w:vAlign w:val="center"/>
          </w:tcPr>
          <w:p>
            <w:pPr>
              <w:spacing w:before="40" w:after="40" w:line="250" w:lineRule="auto"/>
              <w:ind w:left="0"/>
              <w:jc w:val="left"/>
            </w:pPr>
            <w:r>
              <w:rPr>
                <w:rFonts w:eastAsia="等线" w:ascii="Arial" w:hAnsi="Arial" w:cs="Arial"/>
                <w:sz w:val="16"/>
              </w:rPr>
              <w:t>MLP 为多层感知机；SiLU 为激活函数；LayerNorm 为层归一化；Dropout 为训练正则化方法</w:t>
            </w:r>
          </w:p>
        </w:tc>
        <w:tc>
          <w:tcPr>
            <w:tcW w:w="3900" w:type="dxa"/>
            <w:shd w:fill="FFFFFF"/>
            <w:vAlign w:val="center"/>
          </w:tcPr>
          <w:p>
            <w:pPr>
              <w:spacing w:before="40" w:after="40" w:line="250" w:lineRule="auto"/>
              <w:ind w:left="0"/>
              <w:jc w:val="left"/>
            </w:pPr>
            <w:r>
              <w:rPr>
                <w:rFonts w:eastAsia="等线" w:ascii="Arial" w:hAnsi="Arial" w:cs="Arial"/>
                <w:sz w:val="16"/>
              </w:rPr>
              <w:t>构成当前轻量化神经网络主干，提升训练稳定性和泛化能力</w:t>
            </w:r>
          </w:p>
        </w:tc>
      </w:tr>
      <w:tr>
        <w:tc>
          <w:tcPr>
            <w:tcW w:w="2400" w:type="dxa"/>
            <w:shd w:fill="FFFFFF"/>
            <w:vAlign w:val="center"/>
          </w:tcPr>
          <w:p>
            <w:pPr>
              <w:spacing w:before="40" w:after="40" w:line="250" w:lineRule="auto"/>
              <w:ind w:left="0"/>
              <w:jc w:val="left"/>
            </w:pPr>
            <w:r>
              <w:rPr>
                <w:rFonts w:eastAsia="等线" w:ascii="Arial" w:hAnsi="Arial" w:cs="Arial"/>
                <w:sz w:val="16"/>
              </w:rPr>
              <w:t>低秩频率曲线头 / rank</w:t>
            </w:r>
          </w:p>
        </w:tc>
        <w:tc>
          <w:tcPr>
            <w:tcW w:w="4700" w:type="dxa"/>
            <w:shd w:fill="FFFFFF"/>
            <w:vAlign w:val="center"/>
          </w:tcPr>
          <w:p>
            <w:pPr>
              <w:spacing w:before="40" w:after="40" w:line="250" w:lineRule="auto"/>
              <w:ind w:left="0"/>
              <w:jc w:val="left"/>
            </w:pPr>
            <w:r>
              <w:rPr>
                <w:rFonts w:eastAsia="等线" w:ascii="Arial" w:hAnsi="Arial" w:cs="Arial"/>
                <w:sz w:val="16"/>
              </w:rPr>
              <w:t>用少量基向量组合表达完整频率响应曲线；rank 表示基向量数量</w:t>
            </w:r>
          </w:p>
        </w:tc>
        <w:tc>
          <w:tcPr>
            <w:tcW w:w="3900" w:type="dxa"/>
            <w:shd w:fill="FFFFFF"/>
            <w:vAlign w:val="center"/>
          </w:tcPr>
          <w:p>
            <w:pPr>
              <w:spacing w:before="40" w:after="40" w:line="250" w:lineRule="auto"/>
              <w:ind w:left="0"/>
              <w:jc w:val="left"/>
            </w:pPr>
            <w:r>
              <w:rPr>
                <w:rFonts w:eastAsia="等线" w:ascii="Arial" w:hAnsi="Arial" w:cs="Arial"/>
                <w:sz w:val="16"/>
              </w:rPr>
              <w:t>在控制模型规模的同时增强频率曲线表达能力</w:t>
            </w:r>
          </w:p>
        </w:tc>
      </w:tr>
      <w:tr>
        <w:tc>
          <w:tcPr>
            <w:tcW w:w="2400" w:type="dxa"/>
            <w:shd w:fill="FFFFFF"/>
            <w:vAlign w:val="center"/>
          </w:tcPr>
          <w:p>
            <w:pPr>
              <w:spacing w:before="40" w:after="40" w:line="250" w:lineRule="auto"/>
              <w:ind w:left="0"/>
              <w:jc w:val="left"/>
            </w:pPr>
            <w:r>
              <w:rPr>
                <w:rFonts w:eastAsia="等线" w:ascii="Arial" w:hAnsi="Arial" w:cs="Arial"/>
                <w:sz w:val="16"/>
              </w:rPr>
              <w:t>RBF（径向基函数）</w:t>
            </w:r>
          </w:p>
        </w:tc>
        <w:tc>
          <w:tcPr>
            <w:tcW w:w="4700" w:type="dxa"/>
            <w:shd w:fill="FFFFFF"/>
            <w:vAlign w:val="center"/>
          </w:tcPr>
          <w:p>
            <w:pPr>
              <w:spacing w:before="40" w:after="40" w:line="250" w:lineRule="auto"/>
              <w:ind w:left="0"/>
              <w:jc w:val="left"/>
            </w:pPr>
            <w:r>
              <w:rPr>
                <w:rFonts w:eastAsia="等线" w:ascii="Arial" w:hAnsi="Arial" w:cs="Arial"/>
                <w:sz w:val="16"/>
              </w:rPr>
              <w:t>按节点到关键几何位置的距离构造平滑特征</w:t>
            </w:r>
          </w:p>
        </w:tc>
        <w:tc>
          <w:tcPr>
            <w:tcW w:w="3900" w:type="dxa"/>
            <w:shd w:fill="FFFFFF"/>
            <w:vAlign w:val="center"/>
          </w:tcPr>
          <w:p>
            <w:pPr>
              <w:spacing w:before="40" w:after="40" w:line="250" w:lineRule="auto"/>
              <w:ind w:left="0"/>
              <w:jc w:val="left"/>
            </w:pPr>
            <w:r>
              <w:rPr>
                <w:rFonts w:eastAsia="等线" w:ascii="Arial" w:hAnsi="Arial" w:cs="Arial"/>
                <w:sz w:val="16"/>
              </w:rPr>
              <w:t>帮助模型表达孔边、中心耦合区等局部影响范围</w:t>
            </w:r>
          </w:p>
        </w:tc>
      </w:tr>
      <w:tr>
        <w:tc>
          <w:tcPr>
            <w:tcW w:w="2400" w:type="dxa"/>
            <w:shd w:fill="FFFFFF"/>
            <w:vAlign w:val="center"/>
          </w:tcPr>
          <w:p>
            <w:pPr>
              <w:spacing w:before="40" w:after="40" w:line="250" w:lineRule="auto"/>
              <w:ind w:left="0"/>
              <w:jc w:val="left"/>
            </w:pPr>
            <w:r>
              <w:rPr>
                <w:rFonts w:eastAsia="等线" w:ascii="Arial" w:hAnsi="Arial" w:cs="Arial"/>
                <w:sz w:val="16"/>
              </w:rPr>
              <w:t>log1p 与相对误差</w:t>
            </w:r>
          </w:p>
        </w:tc>
        <w:tc>
          <w:tcPr>
            <w:tcW w:w="4700" w:type="dxa"/>
            <w:shd w:fill="FFFFFF"/>
            <w:vAlign w:val="center"/>
          </w:tcPr>
          <w:p>
            <w:pPr>
              <w:spacing w:before="40" w:after="40" w:line="250" w:lineRule="auto"/>
              <w:ind w:left="0"/>
              <w:jc w:val="left"/>
            </w:pPr>
            <w:r>
              <w:rPr>
                <w:rFonts w:eastAsia="等线" w:ascii="Arial" w:hAnsi="Arial" w:cs="Arial"/>
                <w:sz w:val="16"/>
              </w:rPr>
              <w:t>log1p 为 log(1+x) 变换；相对误差为 |预测值-真实值|/|真实值|</w:t>
            </w:r>
          </w:p>
        </w:tc>
        <w:tc>
          <w:tcPr>
            <w:tcW w:w="3900" w:type="dxa"/>
            <w:shd w:fill="FFFFFF"/>
            <w:vAlign w:val="center"/>
          </w:tcPr>
          <w:p>
            <w:pPr>
              <w:spacing w:before="40" w:after="40" w:line="250" w:lineRule="auto"/>
              <w:ind w:left="0"/>
              <w:jc w:val="left"/>
            </w:pPr>
            <w:r>
              <w:rPr>
                <w:rFonts w:eastAsia="等线" w:ascii="Arial" w:hAnsi="Arial" w:cs="Arial"/>
                <w:sz w:val="16"/>
              </w:rPr>
              <w:t>同时处理跨数量级目标和工程上关心的比例偏差</w:t>
            </w:r>
          </w:p>
        </w:tc>
      </w:tr>
      <w:tr>
        <w:tc>
          <w:tcPr>
            <w:tcW w:w="2400" w:type="dxa"/>
            <w:shd w:fill="FFFFFF"/>
            <w:vAlign w:val="center"/>
          </w:tcPr>
          <w:p>
            <w:pPr>
              <w:spacing w:before="40" w:after="40" w:line="250" w:lineRule="auto"/>
              <w:ind w:left="0"/>
              <w:jc w:val="left"/>
            </w:pPr>
            <w:r>
              <w:rPr>
                <w:rFonts w:eastAsia="等线" w:ascii="Arial" w:hAnsi="Arial" w:cs="Arial"/>
                <w:sz w:val="16"/>
              </w:rPr>
              <w:t>within25</w:t>
            </w:r>
          </w:p>
        </w:tc>
        <w:tc>
          <w:tcPr>
            <w:tcW w:w="4700" w:type="dxa"/>
            <w:shd w:fill="FFFFFF"/>
            <w:vAlign w:val="center"/>
          </w:tcPr>
          <w:p>
            <w:pPr>
              <w:spacing w:before="40" w:after="40" w:line="250" w:lineRule="auto"/>
              <w:ind w:left="0"/>
              <w:jc w:val="left"/>
            </w:pPr>
            <w:r>
              <w:rPr>
                <w:rFonts w:eastAsia="等线" w:ascii="Arial" w:hAnsi="Arial" w:cs="Arial"/>
                <w:sz w:val="16"/>
              </w:rPr>
              <w:t>相对误差不超过 25% 的节点占比</w:t>
            </w:r>
          </w:p>
        </w:tc>
        <w:tc>
          <w:tcPr>
            <w:tcW w:w="3900" w:type="dxa"/>
            <w:shd w:fill="FFFFFF"/>
            <w:vAlign w:val="center"/>
          </w:tcPr>
          <w:p>
            <w:pPr>
              <w:spacing w:before="40" w:after="40" w:line="250" w:lineRule="auto"/>
              <w:ind w:left="0"/>
              <w:jc w:val="left"/>
            </w:pPr>
            <w:r>
              <w:rPr>
                <w:rFonts w:eastAsia="等线" w:ascii="Arial" w:hAnsi="Arial" w:cs="Arial"/>
                <w:sz w:val="16"/>
              </w:rPr>
              <w:t>衡量预测结果落入工程可接受误差带的比例</w:t>
            </w:r>
          </w:p>
        </w:tc>
      </w:tr>
      <w:tr>
        <w:tc>
          <w:tcPr>
            <w:tcW w:w="2400" w:type="dxa"/>
            <w:shd w:fill="FFFFFF"/>
            <w:vAlign w:val="center"/>
          </w:tcPr>
          <w:p>
            <w:pPr>
              <w:spacing w:before="40" w:after="40" w:line="250" w:lineRule="auto"/>
              <w:ind w:left="0"/>
              <w:jc w:val="left"/>
            </w:pPr>
            <w:r>
              <w:rPr>
                <w:rFonts w:eastAsia="等线" w:ascii="Arial" w:hAnsi="Arial" w:cs="Arial"/>
                <w:sz w:val="16"/>
              </w:rPr>
              <w:t>高响应分层（top1%/top5%/top25%）</w:t>
            </w:r>
          </w:p>
        </w:tc>
        <w:tc>
          <w:tcPr>
            <w:tcW w:w="4700" w:type="dxa"/>
            <w:shd w:fill="FFFFFF"/>
            <w:vAlign w:val="center"/>
          </w:tcPr>
          <w:p>
            <w:pPr>
              <w:spacing w:before="40" w:after="40" w:line="250" w:lineRule="auto"/>
              <w:ind w:left="0"/>
              <w:jc w:val="left"/>
            </w:pPr>
            <w:r>
              <w:rPr>
                <w:rFonts w:eastAsia="等线" w:ascii="Arial" w:hAnsi="Arial" w:cs="Arial"/>
                <w:sz w:val="16"/>
              </w:rPr>
              <w:t>按真实应力从高到低选取前若干比例节点</w:t>
            </w:r>
          </w:p>
        </w:tc>
        <w:tc>
          <w:tcPr>
            <w:tcW w:w="3900" w:type="dxa"/>
            <w:shd w:fill="FFFFFF"/>
            <w:vAlign w:val="center"/>
          </w:tcPr>
          <w:p>
            <w:pPr>
              <w:spacing w:before="40" w:after="40" w:line="250" w:lineRule="auto"/>
              <w:ind w:left="0"/>
              <w:jc w:val="left"/>
            </w:pPr>
            <w:r>
              <w:rPr>
                <w:rFonts w:eastAsia="等线" w:ascii="Arial" w:hAnsi="Arial" w:cs="Arial"/>
                <w:sz w:val="16"/>
              </w:rPr>
              <w:t>重点检查高风险热点，而不是只看全场平均指标</w:t>
            </w:r>
          </w:p>
        </w:tc>
      </w:tr>
      <w:tr>
        <w:tc>
          <w:tcPr>
            <w:tcW w:w="2400" w:type="dxa"/>
            <w:shd w:fill="FFFFFF"/>
            <w:vAlign w:val="center"/>
          </w:tcPr>
          <w:p>
            <w:pPr>
              <w:spacing w:before="40" w:after="40" w:line="250" w:lineRule="auto"/>
              <w:ind w:left="0"/>
              <w:jc w:val="left"/>
            </w:pPr>
            <w:r>
              <w:rPr>
                <w:rFonts w:eastAsia="等线" w:ascii="Arial" w:hAnsi="Arial" w:cs="Arial"/>
                <w:sz w:val="16"/>
              </w:rPr>
              <w:t>低响应阈值处理</w:t>
            </w:r>
          </w:p>
        </w:tc>
        <w:tc>
          <w:tcPr>
            <w:tcW w:w="4700" w:type="dxa"/>
            <w:shd w:fill="FFFFFF"/>
            <w:vAlign w:val="center"/>
          </w:tcPr>
          <w:p>
            <w:pPr>
              <w:spacing w:before="40" w:after="40" w:line="250" w:lineRule="auto"/>
              <w:ind w:left="0"/>
              <w:jc w:val="left"/>
            </w:pPr>
            <w:r>
              <w:rPr>
                <w:rFonts w:eastAsia="等线" w:ascii="Arial" w:hAnsi="Arial" w:cs="Arial"/>
                <w:sz w:val="16"/>
              </w:rPr>
              <w:t>目标应力谱密度小于 200 的点按 200 参与训练与评估</w:t>
            </w:r>
          </w:p>
        </w:tc>
        <w:tc>
          <w:tcPr>
            <w:tcW w:w="3900" w:type="dxa"/>
            <w:shd w:fill="FFFFFF"/>
            <w:vAlign w:val="center"/>
          </w:tcPr>
          <w:p>
            <w:pPr>
              <w:spacing w:before="40" w:after="40" w:line="250" w:lineRule="auto"/>
              <w:ind w:left="0"/>
              <w:jc w:val="left"/>
            </w:pPr>
            <w:r>
              <w:rPr>
                <w:rFonts w:eastAsia="等线" w:ascii="Arial" w:hAnsi="Arial" w:cs="Arial"/>
                <w:sz w:val="16"/>
              </w:rPr>
              <w:t>降低大量近零背景点对相对误差和 log 损失的主导影响</w:t>
            </w:r>
          </w:p>
        </w:tc>
      </w:tr>
    </w:tbl>
    <w:p>
      <w:pPr>
        <w:spacing w:before="120" w:after="120" w:line="288" w:lineRule="auto"/>
        <w:ind w:left="0" w:firstLine="420"/>
        <w:jc w:val="left"/>
      </w:pPr>
      <w:r>
        <w:rPr>
          <w:rFonts w:eastAsia="等线" w:ascii="Arial" w:hAnsi="Arial" w:cs="Arial"/>
          <w:sz w:val="22"/>
        </w:rPr>
        <w:t>具体来说，模型以有限元仿真数据为基础，按“结构方案-频率帧-节点”构建样本，预测节点在单频下的 MISES 应力谱密度，并进一步沿频率方向积分得到最终 RMises。为避免海量低响应背景点主导训练，本阶段引入低响应阈值处理策略：当目标应力谱密度小于 200 时，训练和评估中统一按 200 参与相对误差与 log 误差计算。</w:t>
      </w:r>
    </w:p>
    <w:p>
      <w:pPr>
        <w:pStyle w:val="3"/>
        <w:spacing w:before="260" w:after="100" w:line="288" w:lineRule="auto"/>
        <w:ind w:left="0"/>
        <w:jc w:val="left"/>
        <w:outlineLvl w:val="2"/>
      </w:pPr>
      <w:r>
        <w:rPr>
          <w:rFonts w:eastAsia="等线" w:ascii="Arial" w:hAnsi="Arial" w:cs="Arial"/>
          <w:b w:val="true"/>
          <w:sz w:val="26"/>
        </w:rPr>
        <w:t>6.1 数据组织与样本构建</w:t>
      </w:r>
    </w:p>
    <w:p>
      <w:pPr>
        <w:spacing w:before="120" w:after="120" w:line="288" w:lineRule="auto"/>
        <w:ind w:left="0" w:firstLine="420"/>
        <w:jc w:val="left"/>
      </w:pPr>
      <w:r>
        <w:rPr>
          <w:rFonts w:eastAsia="等线" w:ascii="Arial" w:hAnsi="Arial" w:cs="Arial"/>
          <w:sz w:val="22"/>
        </w:rPr>
        <w:t>模型样本按结构方案、频率帧和节点三个层次组织：一个结构方案在一个频率帧下形成一个全场节点样本，模型逐节点预测该频率下的 MISES 应力谱密度。最终 RMises 结果由逐频 PSD 响应沿频率方向积分得到。</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firstRow="1" w:noHBand="0" w:noVBand="1"/>
      </w:tblPr>
      <w:tr>
        <w:tc>
          <w:tcPr>
            <w:tcW w:w="1500" w:type="dxa"/>
            <w:shd w:fill="1F4E79"/>
            <w:vAlign w:val="center"/>
          </w:tcPr>
          <w:p>
            <w:pPr>
              <w:spacing w:before="40" w:after="40" w:line="250" w:lineRule="auto"/>
              <w:ind w:left="0"/>
              <w:jc w:val="center"/>
            </w:pPr>
            <w:r>
              <w:rPr>
                <w:rFonts w:eastAsia="等线" w:ascii="Arial" w:hAnsi="Arial" w:cs="Arial"/>
                <w:b w:val="true"/>
                <w:color w:val="FFFFFF"/>
                <w:sz w:val="18"/>
              </w:rPr>
              <w:t>划分</w:t>
            </w:r>
          </w:p>
        </w:tc>
        <w:tc>
          <w:tcPr>
            <w:tcW w:w="1600" w:type="dxa"/>
            <w:shd w:fill="1F4E79"/>
            <w:vAlign w:val="center"/>
          </w:tcPr>
          <w:p>
            <w:pPr>
              <w:spacing w:before="40" w:after="40" w:line="250" w:lineRule="auto"/>
              <w:ind w:left="0"/>
              <w:jc w:val="center"/>
            </w:pPr>
            <w:r>
              <w:rPr>
                <w:rFonts w:eastAsia="等线" w:ascii="Arial" w:hAnsi="Arial" w:cs="Arial"/>
                <w:b w:val="true"/>
                <w:color w:val="FFFFFF"/>
                <w:sz w:val="18"/>
              </w:rPr>
              <w:t>样本数</w:t>
            </w:r>
          </w:p>
        </w:tc>
        <w:tc>
          <w:tcPr>
            <w:tcW w:w="2500" w:type="dxa"/>
            <w:shd w:fill="1F4E79"/>
            <w:vAlign w:val="center"/>
          </w:tcPr>
          <w:p>
            <w:pPr>
              <w:spacing w:before="40" w:after="40" w:line="250" w:lineRule="auto"/>
              <w:ind w:left="0"/>
              <w:jc w:val="center"/>
            </w:pPr>
            <w:r>
              <w:rPr>
                <w:rFonts w:eastAsia="等线" w:ascii="Arial" w:hAnsi="Arial" w:cs="Arial"/>
                <w:b w:val="true"/>
                <w:color w:val="FFFFFF"/>
                <w:sz w:val="18"/>
              </w:rPr>
              <w:t>总点数</w:t>
            </w:r>
          </w:p>
        </w:tc>
        <w:tc>
          <w:tcPr>
            <w:tcW w:w="2400" w:type="dxa"/>
            <w:shd w:fill="1F4E79"/>
            <w:vAlign w:val="center"/>
          </w:tcPr>
          <w:p>
            <w:pPr>
              <w:spacing w:before="40" w:after="40" w:line="250" w:lineRule="auto"/>
              <w:ind w:left="0"/>
              <w:jc w:val="center"/>
            </w:pPr>
            <w:r>
              <w:rPr>
                <w:rFonts w:eastAsia="等线" w:ascii="Arial" w:hAnsi="Arial" w:cs="Arial"/>
                <w:b w:val="true"/>
                <w:color w:val="FFFFFF"/>
                <w:sz w:val="18"/>
              </w:rPr>
              <w:t>耳片区域点数</w:t>
            </w:r>
          </w:p>
        </w:tc>
        <w:tc>
          <w:tcPr>
            <w:tcW w:w="2400" w:type="dxa"/>
            <w:shd w:fill="1F4E79"/>
            <w:vAlign w:val="center"/>
          </w:tcPr>
          <w:p>
            <w:pPr>
              <w:spacing w:before="40" w:after="40" w:line="250" w:lineRule="auto"/>
              <w:ind w:left="0"/>
              <w:jc w:val="center"/>
            </w:pPr>
            <w:r>
              <w:rPr>
                <w:rFonts w:eastAsia="等线" w:ascii="Arial" w:hAnsi="Arial" w:cs="Arial"/>
                <w:b w:val="true"/>
                <w:color w:val="FFFFFF"/>
                <w:sz w:val="18"/>
              </w:rPr>
              <w:t>圆盘区域点数</w:t>
            </w:r>
          </w:p>
        </w:tc>
      </w:tr>
      <w:tr>
        <w:tc>
          <w:tcPr>
            <w:tcW w:w="1500" w:type="dxa"/>
            <w:shd w:fill="FFFFFF"/>
            <w:vAlign w:val="center"/>
          </w:tcPr>
          <w:p>
            <w:pPr>
              <w:spacing w:before="40" w:after="40" w:line="250" w:lineRule="auto"/>
              <w:ind w:left="0"/>
              <w:jc w:val="left"/>
            </w:pPr>
            <w:r>
              <w:rPr>
                <w:rFonts w:eastAsia="等线" w:ascii="Arial" w:hAnsi="Arial" w:cs="Arial"/>
                <w:sz w:val="18"/>
              </w:rPr>
              <w:t>训练集</w:t>
            </w:r>
          </w:p>
        </w:tc>
        <w:tc>
          <w:tcPr>
            <w:tcW w:w="1600" w:type="dxa"/>
            <w:shd w:fill="FFFFFF"/>
            <w:vAlign w:val="center"/>
          </w:tcPr>
          <w:p>
            <w:pPr>
              <w:spacing w:before="40" w:after="40" w:line="250" w:lineRule="auto"/>
              <w:ind w:left="0"/>
              <w:jc w:val="left"/>
            </w:pPr>
            <w:r>
              <w:rPr>
                <w:rFonts w:eastAsia="等线" w:ascii="Arial" w:hAnsi="Arial" w:cs="Arial"/>
                <w:sz w:val="18"/>
              </w:rPr>
              <w:t>82,538</w:t>
            </w:r>
          </w:p>
        </w:tc>
        <w:tc>
          <w:tcPr>
            <w:tcW w:w="2500" w:type="dxa"/>
            <w:shd w:fill="FFFFFF"/>
            <w:vAlign w:val="center"/>
          </w:tcPr>
          <w:p>
            <w:pPr>
              <w:spacing w:before="40" w:after="40" w:line="250" w:lineRule="auto"/>
              <w:ind w:left="0"/>
              <w:jc w:val="left"/>
            </w:pPr>
            <w:r>
              <w:rPr>
                <w:rFonts w:eastAsia="等线" w:ascii="Arial" w:hAnsi="Arial" w:cs="Arial"/>
                <w:sz w:val="18"/>
              </w:rPr>
              <w:t>1,057,104,666</w:t>
            </w:r>
          </w:p>
        </w:tc>
        <w:tc>
          <w:tcPr>
            <w:tcW w:w="2400" w:type="dxa"/>
            <w:shd w:fill="FFFFFF"/>
            <w:vAlign w:val="center"/>
          </w:tcPr>
          <w:p>
            <w:pPr>
              <w:spacing w:before="40" w:after="40" w:line="250" w:lineRule="auto"/>
              <w:ind w:left="0"/>
              <w:jc w:val="left"/>
            </w:pPr>
            <w:r>
              <w:rPr>
                <w:rFonts w:eastAsia="等线" w:ascii="Arial" w:hAnsi="Arial" w:cs="Arial"/>
                <w:sz w:val="18"/>
              </w:rPr>
              <w:t>245,545,540</w:t>
            </w:r>
          </w:p>
        </w:tc>
        <w:tc>
          <w:tcPr>
            <w:tcW w:w="2400" w:type="dxa"/>
            <w:shd w:fill="FFFFFF"/>
            <w:vAlign w:val="center"/>
          </w:tcPr>
          <w:p>
            <w:pPr>
              <w:spacing w:before="40" w:after="40" w:line="250" w:lineRule="auto"/>
              <w:ind w:left="0"/>
              <w:jc w:val="left"/>
            </w:pPr>
            <w:r>
              <w:rPr>
                <w:rFonts w:eastAsia="等线" w:ascii="Arial" w:hAnsi="Arial" w:cs="Arial"/>
                <w:sz w:val="18"/>
              </w:rPr>
              <w:t>811,559,126</w:t>
            </w:r>
          </w:p>
        </w:tc>
      </w:tr>
      <w:tr>
        <w:tc>
          <w:tcPr>
            <w:tcW w:w="1500" w:type="dxa"/>
            <w:shd w:fill="FFFFFF"/>
            <w:vAlign w:val="center"/>
          </w:tcPr>
          <w:p>
            <w:pPr>
              <w:spacing w:before="40" w:after="40" w:line="250" w:lineRule="auto"/>
              <w:ind w:left="0"/>
              <w:jc w:val="left"/>
            </w:pPr>
            <w:r>
              <w:rPr>
                <w:rFonts w:eastAsia="等线" w:ascii="Arial" w:hAnsi="Arial" w:cs="Arial"/>
                <w:sz w:val="18"/>
              </w:rPr>
              <w:t>验证集</w:t>
            </w:r>
          </w:p>
        </w:tc>
        <w:tc>
          <w:tcPr>
            <w:tcW w:w="1600" w:type="dxa"/>
            <w:shd w:fill="FFFFFF"/>
            <w:vAlign w:val="center"/>
          </w:tcPr>
          <w:p>
            <w:pPr>
              <w:spacing w:before="40" w:after="40" w:line="250" w:lineRule="auto"/>
              <w:ind w:left="0"/>
              <w:jc w:val="left"/>
            </w:pPr>
            <w:r>
              <w:rPr>
                <w:rFonts w:eastAsia="等线" w:ascii="Arial" w:hAnsi="Arial" w:cs="Arial"/>
                <w:sz w:val="18"/>
              </w:rPr>
              <w:t>10,113</w:t>
            </w:r>
          </w:p>
        </w:tc>
        <w:tc>
          <w:tcPr>
            <w:tcW w:w="2500" w:type="dxa"/>
            <w:shd w:fill="FFFFFF"/>
            <w:vAlign w:val="center"/>
          </w:tcPr>
          <w:p>
            <w:pPr>
              <w:spacing w:before="40" w:after="40" w:line="250" w:lineRule="auto"/>
              <w:ind w:left="0"/>
              <w:jc w:val="left"/>
            </w:pPr>
            <w:r>
              <w:rPr>
                <w:rFonts w:eastAsia="等线" w:ascii="Arial" w:hAnsi="Arial" w:cs="Arial"/>
                <w:sz w:val="18"/>
              </w:rPr>
              <w:t>129,825,689</w:t>
            </w:r>
          </w:p>
        </w:tc>
        <w:tc>
          <w:tcPr>
            <w:tcW w:w="2400" w:type="dxa"/>
            <w:shd w:fill="FFFFFF"/>
            <w:vAlign w:val="center"/>
          </w:tcPr>
          <w:p>
            <w:pPr>
              <w:spacing w:before="40" w:after="40" w:line="250" w:lineRule="auto"/>
              <w:ind w:left="0"/>
              <w:jc w:val="left"/>
            </w:pPr>
            <w:r>
              <w:rPr>
                <w:rFonts w:eastAsia="等线" w:ascii="Arial" w:hAnsi="Arial" w:cs="Arial"/>
                <w:sz w:val="18"/>
              </w:rPr>
              <w:t>29,184,331</w:t>
            </w:r>
          </w:p>
        </w:tc>
        <w:tc>
          <w:tcPr>
            <w:tcW w:w="2400" w:type="dxa"/>
            <w:shd w:fill="FFFFFF"/>
            <w:vAlign w:val="center"/>
          </w:tcPr>
          <w:p>
            <w:pPr>
              <w:spacing w:before="40" w:after="40" w:line="250" w:lineRule="auto"/>
              <w:ind w:left="0"/>
              <w:jc w:val="left"/>
            </w:pPr>
            <w:r>
              <w:rPr>
                <w:rFonts w:eastAsia="等线" w:ascii="Arial" w:hAnsi="Arial" w:cs="Arial"/>
                <w:sz w:val="18"/>
              </w:rPr>
              <w:t>100,641,358</w:t>
            </w:r>
          </w:p>
        </w:tc>
      </w:tr>
      <w:tr>
        <w:tc>
          <w:tcPr>
            <w:tcW w:w="1500" w:type="dxa"/>
            <w:shd w:fill="FFFFFF"/>
            <w:vAlign w:val="center"/>
          </w:tcPr>
          <w:p>
            <w:pPr>
              <w:spacing w:before="40" w:after="40" w:line="250" w:lineRule="auto"/>
              <w:ind w:left="0"/>
              <w:jc w:val="left"/>
            </w:pPr>
            <w:r>
              <w:rPr>
                <w:rFonts w:eastAsia="等线" w:ascii="Arial" w:hAnsi="Arial" w:cs="Arial"/>
                <w:sz w:val="18"/>
              </w:rPr>
              <w:t>测试集</w:t>
            </w:r>
          </w:p>
        </w:tc>
        <w:tc>
          <w:tcPr>
            <w:tcW w:w="1600" w:type="dxa"/>
            <w:shd w:fill="FFFFFF"/>
            <w:vAlign w:val="center"/>
          </w:tcPr>
          <w:p>
            <w:pPr>
              <w:spacing w:before="40" w:after="40" w:line="250" w:lineRule="auto"/>
              <w:ind w:left="0"/>
              <w:jc w:val="left"/>
            </w:pPr>
            <w:r>
              <w:rPr>
                <w:rFonts w:eastAsia="等线" w:ascii="Arial" w:hAnsi="Arial" w:cs="Arial"/>
                <w:sz w:val="18"/>
              </w:rPr>
              <w:t>10,607</w:t>
            </w:r>
          </w:p>
        </w:tc>
        <w:tc>
          <w:tcPr>
            <w:tcW w:w="2500" w:type="dxa"/>
            <w:shd w:fill="FFFFFF"/>
            <w:vAlign w:val="center"/>
          </w:tcPr>
          <w:p>
            <w:pPr>
              <w:spacing w:before="40" w:after="40" w:line="250" w:lineRule="auto"/>
              <w:ind w:left="0"/>
              <w:jc w:val="left"/>
            </w:pPr>
            <w:r>
              <w:rPr>
                <w:rFonts w:eastAsia="等线" w:ascii="Arial" w:hAnsi="Arial" w:cs="Arial"/>
                <w:sz w:val="18"/>
              </w:rPr>
              <w:t>135,184,771</w:t>
            </w:r>
          </w:p>
        </w:tc>
        <w:tc>
          <w:tcPr>
            <w:tcW w:w="2400" w:type="dxa"/>
            <w:shd w:fill="FFFFFF"/>
            <w:vAlign w:val="center"/>
          </w:tcPr>
          <w:p>
            <w:pPr>
              <w:spacing w:before="40" w:after="40" w:line="250" w:lineRule="auto"/>
              <w:ind w:left="0"/>
              <w:jc w:val="left"/>
            </w:pPr>
            <w:r>
              <w:rPr>
                <w:rFonts w:eastAsia="等线" w:ascii="Arial" w:hAnsi="Arial" w:cs="Arial"/>
                <w:sz w:val="18"/>
              </w:rPr>
              <w:t>31,666,289</w:t>
            </w:r>
          </w:p>
        </w:tc>
        <w:tc>
          <w:tcPr>
            <w:tcW w:w="2400" w:type="dxa"/>
            <w:shd w:fill="FFFFFF"/>
            <w:vAlign w:val="center"/>
          </w:tcPr>
          <w:p>
            <w:pPr>
              <w:spacing w:before="40" w:after="40" w:line="250" w:lineRule="auto"/>
              <w:ind w:left="0"/>
              <w:jc w:val="left"/>
            </w:pPr>
            <w:r>
              <w:rPr>
                <w:rFonts w:eastAsia="等线" w:ascii="Arial" w:hAnsi="Arial" w:cs="Arial"/>
                <w:sz w:val="18"/>
              </w:rPr>
              <w:t>103,518,482</w:t>
            </w:r>
          </w:p>
        </w:tc>
      </w:tr>
    </w:tbl>
    <w:p>
      <w:pPr>
        <w:spacing w:before="120" w:after="120" w:line="288" w:lineRule="auto"/>
        <w:ind w:left="0" w:firstLine="420"/>
        <w:jc w:val="left"/>
      </w:pPr>
      <w:r>
        <w:rPr>
          <w:rFonts w:eastAsia="等线" w:ascii="Arial" w:hAnsi="Arial" w:cs="Arial"/>
          <w:sz w:val="22"/>
        </w:rPr>
        <w:t>训练、验证和测试按结构方案切分，避免同一结构的不同频率帧同时出现在训练集和测试集，从而保证评估更接近真实工程泛化场景。圆盘区域按当前工程诊断范围统计，避免低响应背景节点掩盖关键区域指标。</w:t>
      </w:r>
    </w:p>
    <w:p>
      <w:pPr>
        <w:spacing w:before="120" w:after="60" w:line="288" w:lineRule="auto"/>
        <w:ind w:left="0"/>
        <w:jc w:val="center"/>
      </w:pPr>
      <w:r>
        <w:drawing>
          <wp:inline distT="0" distR="0" distB="0" distL="0">
            <wp:extent cx="5440680" cy="4282341"/>
            <wp:docPr id="20" name="tobdoc_hist" descr=""/>
            <a:graphic>
              <a:graphicData uri="http://schemas.openxmlformats.org/drawingml/2006/picture">
                <pic:pic>
                  <pic:nvPicPr>
                    <pic:cNvPr id="20" name="tobdoc_hist" descr=""/>
                    <pic:cNvPicPr>
                      <a:picLocks noChangeAspect="true"/>
                    </pic:cNvPicPr>
                  </pic:nvPicPr>
                  <pic:blipFill>
                    <a:blip r:embed="rId7"/>
                    <a:stretch>
                      <a:fillRect/>
                    </a:stretch>
                  </pic:blipFill>
                  <pic:spPr>
                    <a:xfrm>
                      <a:off x="0" y="0"/>
                      <a:ext cx="5440680" cy="4282341"/>
                    </a:xfrm>
                    <a:prstGeom prst="rect">
                      <a:avLst/>
                    </a:prstGeom>
                  </pic:spPr>
                </pic:pic>
              </a:graphicData>
            </a:graphic>
          </wp:inline>
        </w:drawing>
      </w:r>
    </w:p>
    <w:p>
      <w:pPr>
        <w:spacing w:before="60" w:after="120" w:line="288" w:lineRule="auto"/>
        <w:ind w:left="0"/>
        <w:jc w:val="center"/>
      </w:pPr>
      <w:r>
        <w:rPr>
          <w:rFonts w:eastAsia="等线" w:ascii="Arial" w:hAnsi="Arial" w:cs="Arial"/>
          <w:color w:val="64748B"/>
          <w:sz w:val="18"/>
        </w:rPr>
        <w:t>图 6-1 训练集目标值分布与低响应阈值位置（红色虚线为 200）</w:t>
      </w:r>
    </w:p>
    <w:p>
      <w:pPr>
        <w:pStyle w:val="3"/>
        <w:spacing w:before="260" w:after="100" w:line="288" w:lineRule="auto"/>
        <w:ind w:left="0"/>
        <w:jc w:val="left"/>
        <w:outlineLvl w:val="2"/>
      </w:pPr>
      <w:r>
        <w:rPr>
          <w:rFonts w:eastAsia="等线" w:ascii="Arial" w:hAnsi="Arial" w:cs="Arial"/>
          <w:b w:val="true"/>
          <w:sz w:val="26"/>
        </w:rPr>
        <w:t>6.2 物理先验特征体系</w:t>
      </w:r>
    </w:p>
    <w:p>
      <w:pPr>
        <w:spacing w:before="120" w:after="120" w:line="288" w:lineRule="auto"/>
        <w:ind w:left="0" w:firstLine="420"/>
        <w:jc w:val="left"/>
      </w:pPr>
      <w:r>
        <w:rPr>
          <w:rFonts w:eastAsia="等线" w:ascii="Arial" w:hAnsi="Arial" w:cs="Arial"/>
          <w:sz w:val="22"/>
        </w:rPr>
        <w:t>输入特征共 278 维，特征设计遵循结构动力学和局部应力集中机理，重点表达“节点在哪里、当前频率处于什么模态关系、该节点在相关模态下是否活跃、是否靠近孔边/根部/中心耦合区”等信息。</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firstRow="1" w:noHBand="0" w:noVBand="1"/>
      </w:tblPr>
      <w:tr>
        <w:tc>
          <w:tcPr>
            <w:tcW w:w="2100" w:type="dxa"/>
            <w:shd w:fill="1F4E79"/>
            <w:vAlign w:val="center"/>
          </w:tcPr>
          <w:p>
            <w:pPr>
              <w:spacing w:before="40" w:after="40" w:line="250" w:lineRule="auto"/>
              <w:ind w:left="0"/>
              <w:jc w:val="center"/>
            </w:pPr>
            <w:r>
              <w:rPr>
                <w:rFonts w:eastAsia="等线" w:ascii="Arial" w:hAnsi="Arial" w:cs="Arial"/>
                <w:b w:val="true"/>
                <w:color w:val="FFFFFF"/>
                <w:sz w:val="18"/>
              </w:rPr>
              <w:t>特征组</w:t>
            </w:r>
          </w:p>
        </w:tc>
        <w:tc>
          <w:tcPr>
            <w:tcW w:w="4200" w:type="dxa"/>
            <w:shd w:fill="1F4E79"/>
            <w:vAlign w:val="center"/>
          </w:tcPr>
          <w:p>
            <w:pPr>
              <w:spacing w:before="40" w:after="40" w:line="250" w:lineRule="auto"/>
              <w:ind w:left="0"/>
              <w:jc w:val="center"/>
            </w:pPr>
            <w:r>
              <w:rPr>
                <w:rFonts w:eastAsia="等线" w:ascii="Arial" w:hAnsi="Arial" w:cs="Arial"/>
                <w:b w:val="true"/>
                <w:color w:val="FFFFFF"/>
                <w:sz w:val="18"/>
              </w:rPr>
              <w:t>主要内容</w:t>
            </w:r>
          </w:p>
        </w:tc>
        <w:tc>
          <w:tcPr>
            <w:tcW w:w="4200" w:type="dxa"/>
            <w:shd w:fill="1F4E79"/>
            <w:vAlign w:val="center"/>
          </w:tcPr>
          <w:p>
            <w:pPr>
              <w:spacing w:before="40" w:after="40" w:line="250" w:lineRule="auto"/>
              <w:ind w:left="0"/>
              <w:jc w:val="center"/>
            </w:pPr>
            <w:r>
              <w:rPr>
                <w:rFonts w:eastAsia="等线" w:ascii="Arial" w:hAnsi="Arial" w:cs="Arial"/>
                <w:b w:val="true"/>
                <w:color w:val="FFFFFF"/>
                <w:sz w:val="18"/>
              </w:rPr>
              <w:t>工程含义</w:t>
            </w:r>
          </w:p>
        </w:tc>
      </w:tr>
      <w:tr>
        <w:tc>
          <w:tcPr>
            <w:tcW w:w="2100" w:type="dxa"/>
            <w:shd w:fill="FFFFFF"/>
            <w:vAlign w:val="center"/>
          </w:tcPr>
          <w:p>
            <w:pPr>
              <w:spacing w:before="40" w:after="40" w:line="250" w:lineRule="auto"/>
              <w:ind w:left="0"/>
              <w:jc w:val="left"/>
            </w:pPr>
            <w:r>
              <w:rPr>
                <w:rFonts w:eastAsia="等线" w:ascii="Arial" w:hAnsi="Arial" w:cs="Arial"/>
                <w:sz w:val="18"/>
              </w:rPr>
              <w:t>基础几何</w:t>
            </w:r>
          </w:p>
        </w:tc>
        <w:tc>
          <w:tcPr>
            <w:tcW w:w="4200" w:type="dxa"/>
            <w:shd w:fill="FFFFFF"/>
            <w:vAlign w:val="center"/>
          </w:tcPr>
          <w:p>
            <w:pPr>
              <w:spacing w:before="40" w:after="40" w:line="250" w:lineRule="auto"/>
              <w:ind w:left="0"/>
              <w:jc w:val="left"/>
            </w:pPr>
            <w:r>
              <w:rPr>
                <w:rFonts w:eastAsia="等线" w:ascii="Arial" w:hAnsi="Arial" w:cs="Arial"/>
                <w:sz w:val="18"/>
              </w:rPr>
              <w:t>归一化坐标、极坐标、边界距离等</w:t>
            </w:r>
          </w:p>
        </w:tc>
        <w:tc>
          <w:tcPr>
            <w:tcW w:w="4200" w:type="dxa"/>
            <w:shd w:fill="FFFFFF"/>
            <w:vAlign w:val="center"/>
          </w:tcPr>
          <w:p>
            <w:pPr>
              <w:spacing w:before="40" w:after="40" w:line="250" w:lineRule="auto"/>
              <w:ind w:left="0"/>
              <w:jc w:val="left"/>
            </w:pPr>
            <w:r>
              <w:rPr>
                <w:rFonts w:eastAsia="等线" w:ascii="Arial" w:hAnsi="Arial" w:cs="Arial"/>
                <w:sz w:val="18"/>
              </w:rPr>
              <w:t>描述节点在结构中的全局空间位置</w:t>
            </w:r>
          </w:p>
        </w:tc>
      </w:tr>
      <w:tr>
        <w:tc>
          <w:tcPr>
            <w:tcW w:w="2100" w:type="dxa"/>
            <w:shd w:fill="FFFFFF"/>
            <w:vAlign w:val="center"/>
          </w:tcPr>
          <w:p>
            <w:pPr>
              <w:spacing w:before="40" w:after="40" w:line="250" w:lineRule="auto"/>
              <w:ind w:left="0"/>
              <w:jc w:val="left"/>
            </w:pPr>
            <w:r>
              <w:rPr>
                <w:rFonts w:eastAsia="等线" w:ascii="Arial" w:hAnsi="Arial" w:cs="Arial"/>
                <w:sz w:val="18"/>
              </w:rPr>
              <w:t>PSD 与频率上下文</w:t>
            </w:r>
          </w:p>
        </w:tc>
        <w:tc>
          <w:tcPr>
            <w:tcW w:w="4200" w:type="dxa"/>
            <w:shd w:fill="FFFFFF"/>
            <w:vAlign w:val="center"/>
          </w:tcPr>
          <w:p>
            <w:pPr>
              <w:spacing w:before="40" w:after="40" w:line="250" w:lineRule="auto"/>
              <w:ind w:left="0"/>
              <w:jc w:val="left"/>
            </w:pPr>
            <w:r>
              <w:rPr>
                <w:rFonts w:eastAsia="等线" w:ascii="Arial" w:hAnsi="Arial" w:cs="Arial"/>
                <w:sz w:val="18"/>
              </w:rPr>
              <w:t>当前频率、PSD 值、log PSD、模态距离</w:t>
            </w:r>
          </w:p>
        </w:tc>
        <w:tc>
          <w:tcPr>
            <w:tcW w:w="4200" w:type="dxa"/>
            <w:shd w:fill="FFFFFF"/>
            <w:vAlign w:val="center"/>
          </w:tcPr>
          <w:p>
            <w:pPr>
              <w:spacing w:before="40" w:after="40" w:line="250" w:lineRule="auto"/>
              <w:ind w:left="0"/>
              <w:jc w:val="left"/>
            </w:pPr>
            <w:r>
              <w:rPr>
                <w:rFonts w:eastAsia="等线" w:ascii="Arial" w:hAnsi="Arial" w:cs="Arial"/>
                <w:sz w:val="18"/>
              </w:rPr>
              <w:t>表达随机振动输入与共振邻域关系</w:t>
            </w:r>
          </w:p>
        </w:tc>
      </w:tr>
      <w:tr>
        <w:tc>
          <w:tcPr>
            <w:tcW w:w="2100" w:type="dxa"/>
            <w:shd w:fill="FFFFFF"/>
            <w:vAlign w:val="center"/>
          </w:tcPr>
          <w:p>
            <w:pPr>
              <w:spacing w:before="40" w:after="40" w:line="250" w:lineRule="auto"/>
              <w:ind w:left="0"/>
              <w:jc w:val="left"/>
            </w:pPr>
            <w:r>
              <w:rPr>
                <w:rFonts w:eastAsia="等线" w:ascii="Arial" w:hAnsi="Arial" w:cs="Arial"/>
                <w:sz w:val="18"/>
              </w:rPr>
              <w:t>耳片局部特征</w:t>
            </w:r>
          </w:p>
        </w:tc>
        <w:tc>
          <w:tcPr>
            <w:tcW w:w="4200" w:type="dxa"/>
            <w:shd w:fill="FFFFFF"/>
            <w:vAlign w:val="center"/>
          </w:tcPr>
          <w:p>
            <w:pPr>
              <w:spacing w:before="40" w:after="40" w:line="250" w:lineRule="auto"/>
              <w:ind w:left="0"/>
              <w:jc w:val="left"/>
            </w:pPr>
            <w:r>
              <w:rPr>
                <w:rFonts w:eastAsia="等线" w:ascii="Arial" w:hAnsi="Arial" w:cs="Arial"/>
                <w:sz w:val="18"/>
              </w:rPr>
              <w:t>耳孔、耳轴、耳根、连接区距离与区域标识</w:t>
            </w:r>
          </w:p>
        </w:tc>
        <w:tc>
          <w:tcPr>
            <w:tcW w:w="4200" w:type="dxa"/>
            <w:shd w:fill="FFFFFF"/>
            <w:vAlign w:val="center"/>
          </w:tcPr>
          <w:p>
            <w:pPr>
              <w:spacing w:before="40" w:after="40" w:line="250" w:lineRule="auto"/>
              <w:ind w:left="0"/>
              <w:jc w:val="left"/>
            </w:pPr>
            <w:r>
              <w:rPr>
                <w:rFonts w:eastAsia="等线" w:ascii="Arial" w:hAnsi="Arial" w:cs="Arial"/>
                <w:sz w:val="18"/>
              </w:rPr>
              <w:t>刻画固定孔和根部过渡的应力集中机制</w:t>
            </w:r>
          </w:p>
        </w:tc>
      </w:tr>
      <w:tr>
        <w:tc>
          <w:tcPr>
            <w:tcW w:w="2100" w:type="dxa"/>
            <w:shd w:fill="FFFFFF"/>
            <w:vAlign w:val="center"/>
          </w:tcPr>
          <w:p>
            <w:pPr>
              <w:spacing w:before="40" w:after="40" w:line="250" w:lineRule="auto"/>
              <w:ind w:left="0"/>
              <w:jc w:val="left"/>
            </w:pPr>
            <w:r>
              <w:rPr>
                <w:rFonts w:eastAsia="等线" w:ascii="Arial" w:hAnsi="Arial" w:cs="Arial"/>
                <w:sz w:val="18"/>
              </w:rPr>
              <w:t>圆盘/板孔特征</w:t>
            </w:r>
          </w:p>
        </w:tc>
        <w:tc>
          <w:tcPr>
            <w:tcW w:w="4200" w:type="dxa"/>
            <w:shd w:fill="FFFFFF"/>
            <w:vAlign w:val="center"/>
          </w:tcPr>
          <w:p>
            <w:pPr>
              <w:spacing w:before="40" w:after="40" w:line="250" w:lineRule="auto"/>
              <w:ind w:left="0"/>
              <w:jc w:val="left"/>
            </w:pPr>
            <w:r>
              <w:rPr>
                <w:rFonts w:eastAsia="等线" w:ascii="Arial" w:hAnsi="Arial" w:cs="Arial"/>
                <w:sz w:val="18"/>
              </w:rPr>
              <w:t>中心径向分层、板孔距离、角向周期、径向基函数（RBF）特征</w:t>
            </w:r>
          </w:p>
        </w:tc>
        <w:tc>
          <w:tcPr>
            <w:tcW w:w="4200" w:type="dxa"/>
            <w:shd w:fill="FFFFFF"/>
            <w:vAlign w:val="center"/>
          </w:tcPr>
          <w:p>
            <w:pPr>
              <w:spacing w:before="40" w:after="40" w:line="250" w:lineRule="auto"/>
              <w:ind w:left="0"/>
              <w:jc w:val="left"/>
            </w:pPr>
            <w:r>
              <w:rPr>
                <w:rFonts w:eastAsia="等线" w:ascii="Arial" w:hAnsi="Arial" w:cs="Arial"/>
                <w:sz w:val="18"/>
              </w:rPr>
              <w:t>刻画中心耦合、通孔和角向周期响应</w:t>
            </w:r>
          </w:p>
        </w:tc>
      </w:tr>
      <w:tr>
        <w:tc>
          <w:tcPr>
            <w:tcW w:w="2100" w:type="dxa"/>
            <w:shd w:fill="FFFFFF"/>
            <w:vAlign w:val="center"/>
          </w:tcPr>
          <w:p>
            <w:pPr>
              <w:spacing w:before="40" w:after="40" w:line="250" w:lineRule="auto"/>
              <w:ind w:left="0"/>
              <w:jc w:val="left"/>
            </w:pPr>
            <w:r>
              <w:rPr>
                <w:rFonts w:eastAsia="等线" w:ascii="Arial" w:hAnsi="Arial" w:cs="Arial"/>
                <w:sz w:val="18"/>
              </w:rPr>
              <w:t>模态与 FRF 特征</w:t>
            </w:r>
          </w:p>
        </w:tc>
        <w:tc>
          <w:tcPr>
            <w:tcW w:w="4200" w:type="dxa"/>
            <w:shd w:fill="FFFFFF"/>
            <w:vAlign w:val="center"/>
          </w:tcPr>
          <w:p>
            <w:pPr>
              <w:spacing w:before="40" w:after="40" w:line="250" w:lineRule="auto"/>
              <w:ind w:left="0"/>
              <w:jc w:val="left"/>
            </w:pPr>
            <w:r>
              <w:rPr>
                <w:rFonts w:eastAsia="等线" w:ascii="Arial" w:hAnsi="Arial" w:cs="Arial"/>
                <w:sz w:val="18"/>
              </w:rPr>
              <w:t>前 10 阶模态振型、梯度、FRF、共振加权</w:t>
            </w:r>
          </w:p>
        </w:tc>
        <w:tc>
          <w:tcPr>
            <w:tcW w:w="4200" w:type="dxa"/>
            <w:shd w:fill="FFFFFF"/>
            <w:vAlign w:val="center"/>
          </w:tcPr>
          <w:p>
            <w:pPr>
              <w:spacing w:before="40" w:after="40" w:line="250" w:lineRule="auto"/>
              <w:ind w:left="0"/>
              <w:jc w:val="left"/>
            </w:pPr>
            <w:r>
              <w:rPr>
                <w:rFonts w:eastAsia="等线" w:ascii="Arial" w:hAnsi="Arial" w:cs="Arial"/>
                <w:sz w:val="18"/>
              </w:rPr>
              <w:t>描述节点在不同模态下的局部活跃程度</w:t>
            </w:r>
          </w:p>
        </w:tc>
      </w:tr>
      <w:tr>
        <w:tc>
          <w:tcPr>
            <w:tcW w:w="2100" w:type="dxa"/>
            <w:shd w:fill="FFFFFF"/>
            <w:vAlign w:val="center"/>
          </w:tcPr>
          <w:p>
            <w:pPr>
              <w:spacing w:before="40" w:after="40" w:line="250" w:lineRule="auto"/>
              <w:ind w:left="0"/>
              <w:jc w:val="left"/>
            </w:pPr>
            <w:r>
              <w:rPr>
                <w:rFonts w:eastAsia="等线" w:ascii="Arial" w:hAnsi="Arial" w:cs="Arial"/>
                <w:sz w:val="18"/>
              </w:rPr>
              <w:t>区域指示变量</w:t>
            </w:r>
          </w:p>
        </w:tc>
        <w:tc>
          <w:tcPr>
            <w:tcW w:w="4200" w:type="dxa"/>
            <w:shd w:fill="FFFFFF"/>
            <w:vAlign w:val="center"/>
          </w:tcPr>
          <w:p>
            <w:pPr>
              <w:spacing w:before="40" w:after="40" w:line="250" w:lineRule="auto"/>
              <w:ind w:left="0"/>
              <w:jc w:val="left"/>
            </w:pPr>
            <w:r>
              <w:rPr>
                <w:rFonts w:eastAsia="等线" w:ascii="Arial" w:hAnsi="Arial" w:cs="Arial"/>
                <w:sz w:val="18"/>
              </w:rPr>
              <w:t>耳片区域、圆盘区域等区域标识</w:t>
            </w:r>
          </w:p>
        </w:tc>
        <w:tc>
          <w:tcPr>
            <w:tcW w:w="4200" w:type="dxa"/>
            <w:shd w:fill="FFFFFF"/>
            <w:vAlign w:val="center"/>
          </w:tcPr>
          <w:p>
            <w:pPr>
              <w:spacing w:before="40" w:after="40" w:line="250" w:lineRule="auto"/>
              <w:ind w:left="0"/>
              <w:jc w:val="left"/>
            </w:pPr>
            <w:r>
              <w:rPr>
                <w:rFonts w:eastAsia="等线" w:ascii="Arial" w:hAnsi="Arial" w:cs="Arial"/>
                <w:sz w:val="18"/>
              </w:rPr>
              <w:t>让模型区分不同区域的响应机制</w:t>
            </w:r>
          </w:p>
        </w:tc>
      </w:tr>
    </w:tbl>
    <w:p>
      <w:pPr>
        <w:pStyle w:val="3"/>
        <w:spacing w:before="260" w:after="100" w:line="288" w:lineRule="auto"/>
        <w:ind w:left="0"/>
        <w:jc w:val="left"/>
        <w:outlineLvl w:val="2"/>
      </w:pPr>
      <w:r>
        <w:rPr>
          <w:rFonts w:eastAsia="等线" w:ascii="Arial" w:hAnsi="Arial" w:cs="Arial"/>
          <w:b w:val="true"/>
          <w:sz w:val="26"/>
        </w:rPr>
        <w:t>6.3 代理模型结构设计</w:t>
      </w:r>
    </w:p>
    <w:p>
      <w:pPr>
        <w:spacing w:before="120" w:after="120" w:line="288" w:lineRule="auto"/>
        <w:ind w:left="0" w:firstLine="420"/>
        <w:jc w:val="left"/>
      </w:pPr>
      <w:r>
        <w:rPr>
          <w:rFonts w:eastAsia="等线" w:ascii="Arial" w:hAnsi="Arial" w:cs="Arial"/>
          <w:sz w:val="22"/>
        </w:rPr>
        <w:t>当前模型采用轻量化节点级 MLP，而不是直接使用大规模图神经网络。选择该结构的原因是：现阶段关键性能主要来自物理特征和训练目标设计，节点级模型训练快、可诊断性强，便于在大规模点数据上快速迭代。</w:t>
      </w:r>
    </w:p>
    <w:p>
      <w:pPr>
        <w:spacing w:before="120" w:after="60" w:line="288" w:lineRule="auto"/>
        <w:ind w:left="0"/>
        <w:jc w:val="center"/>
      </w:pPr>
      <w:r>
        <w:drawing>
          <wp:inline distT="0" distR="0" distB="0" distL="0">
            <wp:extent cx="5440680" cy="2762191"/>
            <wp:docPr id="21" name="tobdoc_model_arch" descr=""/>
            <a:graphic>
              <a:graphicData uri="http://schemas.openxmlformats.org/drawingml/2006/picture">
                <pic:pic>
                  <pic:nvPicPr>
                    <pic:cNvPr id="21" name="tobdoc_model_arch" descr=""/>
                    <pic:cNvPicPr>
                      <a:picLocks noChangeAspect="true"/>
                    </pic:cNvPicPr>
                  </pic:nvPicPr>
                  <pic:blipFill>
                    <a:blip r:embed="rId8"/>
                    <a:stretch>
                      <a:fillRect/>
                    </a:stretch>
                  </pic:blipFill>
                  <pic:spPr>
                    <a:xfrm>
                      <a:off x="0" y="0"/>
                      <a:ext cx="5440680" cy="2762191"/>
                    </a:xfrm>
                    <a:prstGeom prst="rect">
                      <a:avLst/>
                    </a:prstGeom>
                  </pic:spPr>
                </pic:pic>
              </a:graphicData>
            </a:graphic>
          </wp:inline>
        </w:drawing>
      </w:r>
    </w:p>
    <w:p>
      <w:pPr>
        <w:spacing w:before="60" w:after="120" w:line="288" w:lineRule="auto"/>
        <w:ind w:left="0"/>
        <w:jc w:val="center"/>
      </w:pPr>
      <w:r>
        <w:rPr>
          <w:rFonts w:eastAsia="等线" w:ascii="Arial" w:hAnsi="Arial" w:cs="Arial"/>
          <w:color w:val="64748B"/>
          <w:sz w:val="18"/>
        </w:rPr>
        <w:t>图 6-2 节点级应力 PSD 代理模型架构示意图</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firstRow="1" w:noHBand="0" w:noVBand="1"/>
      </w:tblPr>
      <w:tr>
        <w:tc>
          <w:tcPr>
            <w:tcW w:w="3200" w:type="dxa"/>
            <w:shd w:fill="1F4E79"/>
            <w:vAlign w:val="center"/>
          </w:tcPr>
          <w:p>
            <w:pPr>
              <w:spacing w:before="40" w:after="40" w:line="250" w:lineRule="auto"/>
              <w:ind w:left="0"/>
              <w:jc w:val="center"/>
            </w:pPr>
            <w:r>
              <w:rPr>
                <w:rFonts w:eastAsia="等线" w:ascii="Arial" w:hAnsi="Arial" w:cs="Arial"/>
                <w:b w:val="true"/>
                <w:color w:val="FFFFFF"/>
                <w:sz w:val="18"/>
              </w:rPr>
              <w:t>配置项</w:t>
            </w:r>
          </w:p>
        </w:tc>
        <w:tc>
          <w:tcPr>
            <w:tcW w:w="7800" w:type="dxa"/>
            <w:shd w:fill="1F4E79"/>
            <w:vAlign w:val="center"/>
          </w:tcPr>
          <w:p>
            <w:pPr>
              <w:spacing w:before="40" w:after="40" w:line="250" w:lineRule="auto"/>
              <w:ind w:left="0"/>
              <w:jc w:val="center"/>
            </w:pPr>
            <w:r>
              <w:rPr>
                <w:rFonts w:eastAsia="等线" w:ascii="Arial" w:hAnsi="Arial" w:cs="Arial"/>
                <w:b w:val="true"/>
                <w:color w:val="FFFFFF"/>
                <w:sz w:val="18"/>
              </w:rPr>
              <w:t>取值</w:t>
            </w:r>
          </w:p>
        </w:tc>
      </w:tr>
      <w:tr>
        <w:tc>
          <w:tcPr>
            <w:tcW w:w="3200" w:type="dxa"/>
            <w:shd w:fill="FFFFFF"/>
            <w:vAlign w:val="center"/>
          </w:tcPr>
          <w:p>
            <w:pPr>
              <w:spacing w:before="40" w:after="40" w:line="250" w:lineRule="auto"/>
              <w:ind w:left="0"/>
              <w:jc w:val="left"/>
            </w:pPr>
            <w:r>
              <w:rPr>
                <w:rFonts w:eastAsia="等线" w:ascii="Arial" w:hAnsi="Arial" w:cs="Arial"/>
                <w:sz w:val="18"/>
              </w:rPr>
              <w:t>MLP 隐藏层</w:t>
            </w:r>
          </w:p>
        </w:tc>
        <w:tc>
          <w:tcPr>
            <w:tcW w:w="7800" w:type="dxa"/>
            <w:shd w:fill="FFFFFF"/>
            <w:vAlign w:val="center"/>
          </w:tcPr>
          <w:p>
            <w:pPr>
              <w:spacing w:before="40" w:after="40" w:line="250" w:lineRule="auto"/>
              <w:ind w:left="0"/>
              <w:jc w:val="left"/>
            </w:pPr>
            <w:r>
              <w:rPr>
                <w:rFonts w:eastAsia="等线" w:ascii="Arial" w:hAnsi="Arial" w:cs="Arial"/>
                <w:sz w:val="18"/>
              </w:rPr>
              <w:t>[256, 256, 128]</w:t>
            </w:r>
          </w:p>
        </w:tc>
      </w:tr>
      <w:tr>
        <w:tc>
          <w:tcPr>
            <w:tcW w:w="3200" w:type="dxa"/>
            <w:shd w:fill="FFFFFF"/>
            <w:vAlign w:val="center"/>
          </w:tcPr>
          <w:p>
            <w:pPr>
              <w:spacing w:before="40" w:after="40" w:line="250" w:lineRule="auto"/>
              <w:ind w:left="0"/>
              <w:jc w:val="left"/>
            </w:pPr>
            <w:r>
              <w:rPr>
                <w:rFonts w:eastAsia="等线" w:ascii="Arial" w:hAnsi="Arial" w:cs="Arial"/>
                <w:sz w:val="18"/>
              </w:rPr>
              <w:t>激活函数</w:t>
            </w:r>
          </w:p>
        </w:tc>
        <w:tc>
          <w:tcPr>
            <w:tcW w:w="7800" w:type="dxa"/>
            <w:shd w:fill="FFFFFF"/>
            <w:vAlign w:val="center"/>
          </w:tcPr>
          <w:p>
            <w:pPr>
              <w:spacing w:before="40" w:after="40" w:line="250" w:lineRule="auto"/>
              <w:ind w:left="0"/>
              <w:jc w:val="left"/>
            </w:pPr>
            <w:r>
              <w:rPr>
                <w:rFonts w:eastAsia="等线" w:ascii="Arial" w:hAnsi="Arial" w:cs="Arial"/>
                <w:sz w:val="18"/>
              </w:rPr>
              <w:t>SiLU</w:t>
            </w:r>
          </w:p>
        </w:tc>
      </w:tr>
      <w:tr>
        <w:tc>
          <w:tcPr>
            <w:tcW w:w="3200" w:type="dxa"/>
            <w:shd w:fill="FFFFFF"/>
            <w:vAlign w:val="center"/>
          </w:tcPr>
          <w:p>
            <w:pPr>
              <w:spacing w:before="40" w:after="40" w:line="250" w:lineRule="auto"/>
              <w:ind w:left="0"/>
              <w:jc w:val="left"/>
            </w:pPr>
            <w:r>
              <w:rPr>
                <w:rFonts w:eastAsia="等线" w:ascii="Arial" w:hAnsi="Arial" w:cs="Arial"/>
                <w:sz w:val="18"/>
              </w:rPr>
              <w:t>LayerNorm / Dropout</w:t>
            </w:r>
          </w:p>
        </w:tc>
        <w:tc>
          <w:tcPr>
            <w:tcW w:w="7800" w:type="dxa"/>
            <w:shd w:fill="FFFFFF"/>
            <w:vAlign w:val="center"/>
          </w:tcPr>
          <w:p>
            <w:pPr>
              <w:spacing w:before="40" w:after="40" w:line="250" w:lineRule="auto"/>
              <w:ind w:left="0"/>
              <w:jc w:val="left"/>
            </w:pPr>
            <w:r>
              <w:rPr>
                <w:rFonts w:eastAsia="等线" w:ascii="Arial" w:hAnsi="Arial" w:cs="Arial"/>
                <w:sz w:val="18"/>
              </w:rPr>
              <w:t>启用 LayerNorm，dropout=0.1</w:t>
            </w:r>
          </w:p>
        </w:tc>
      </w:tr>
      <w:tr>
        <w:tc>
          <w:tcPr>
            <w:tcW w:w="3200" w:type="dxa"/>
            <w:shd w:fill="FFFFFF"/>
            <w:vAlign w:val="center"/>
          </w:tcPr>
          <w:p>
            <w:pPr>
              <w:spacing w:before="40" w:after="40" w:line="250" w:lineRule="auto"/>
              <w:ind w:left="0"/>
              <w:jc w:val="left"/>
            </w:pPr>
            <w:r>
              <w:rPr>
                <w:rFonts w:eastAsia="等线" w:ascii="Arial" w:hAnsi="Arial" w:cs="Arial"/>
                <w:sz w:val="18"/>
              </w:rPr>
              <w:t>低秩频率曲线头</w:t>
            </w:r>
          </w:p>
        </w:tc>
        <w:tc>
          <w:tcPr>
            <w:tcW w:w="7800" w:type="dxa"/>
            <w:shd w:fill="FFFFFF"/>
            <w:vAlign w:val="center"/>
          </w:tcPr>
          <w:p>
            <w:pPr>
              <w:spacing w:before="40" w:after="40" w:line="250" w:lineRule="auto"/>
              <w:ind w:left="0"/>
              <w:jc w:val="left"/>
            </w:pPr>
            <w:r>
              <w:rPr>
                <w:rFonts w:eastAsia="等线" w:ascii="Arial" w:hAnsi="Arial" w:cs="Arial"/>
                <w:sz w:val="18"/>
              </w:rPr>
              <w:t>启用，rank=8，残差权重=0.15</w:t>
            </w:r>
          </w:p>
        </w:tc>
      </w:tr>
      <w:tr>
        <w:tc>
          <w:tcPr>
            <w:tcW w:w="3200" w:type="dxa"/>
            <w:shd w:fill="FFFFFF"/>
            <w:vAlign w:val="center"/>
          </w:tcPr>
          <w:p>
            <w:pPr>
              <w:spacing w:before="40" w:after="40" w:line="250" w:lineRule="auto"/>
              <w:ind w:left="0"/>
              <w:jc w:val="left"/>
            </w:pPr>
            <w:r>
              <w:rPr>
                <w:rFonts w:eastAsia="等线" w:ascii="Arial" w:hAnsi="Arial" w:cs="Arial"/>
                <w:sz w:val="18"/>
              </w:rPr>
              <w:t>训练轮数</w:t>
            </w:r>
          </w:p>
        </w:tc>
        <w:tc>
          <w:tcPr>
            <w:tcW w:w="7800" w:type="dxa"/>
            <w:shd w:fill="FFFFFF"/>
            <w:vAlign w:val="center"/>
          </w:tcPr>
          <w:p>
            <w:pPr>
              <w:spacing w:before="40" w:after="40" w:line="250" w:lineRule="auto"/>
              <w:ind w:left="0"/>
              <w:jc w:val="left"/>
            </w:pPr>
            <w:r>
              <w:rPr>
                <w:rFonts w:eastAsia="等线" w:ascii="Arial" w:hAnsi="Arial" w:cs="Arial"/>
                <w:sz w:val="18"/>
              </w:rPr>
              <w:t>100</w:t>
            </w:r>
          </w:p>
        </w:tc>
      </w:tr>
      <w:tr>
        <w:tc>
          <w:tcPr>
            <w:tcW w:w="3200" w:type="dxa"/>
            <w:shd w:fill="FFFFFF"/>
            <w:vAlign w:val="center"/>
          </w:tcPr>
          <w:p>
            <w:pPr>
              <w:spacing w:before="40" w:after="40" w:line="250" w:lineRule="auto"/>
              <w:ind w:left="0"/>
              <w:jc w:val="left"/>
            </w:pPr>
            <w:r>
              <w:rPr>
                <w:rFonts w:eastAsia="等线" w:ascii="Arial" w:hAnsi="Arial" w:cs="Arial"/>
                <w:sz w:val="18"/>
              </w:rPr>
              <w:t>训练点批量</w:t>
            </w:r>
          </w:p>
        </w:tc>
        <w:tc>
          <w:tcPr>
            <w:tcW w:w="7800" w:type="dxa"/>
            <w:shd w:fill="FFFFFF"/>
            <w:vAlign w:val="center"/>
          </w:tcPr>
          <w:p>
            <w:pPr>
              <w:spacing w:before="40" w:after="40" w:line="250" w:lineRule="auto"/>
              <w:ind w:left="0"/>
              <w:jc w:val="left"/>
            </w:pPr>
            <w:r>
              <w:rPr>
                <w:rFonts w:eastAsia="等线" w:ascii="Arial" w:hAnsi="Arial" w:cs="Arial"/>
                <w:sz w:val="18"/>
              </w:rPr>
              <w:t>4,000,000 points</w:t>
            </w:r>
          </w:p>
        </w:tc>
      </w:tr>
      <w:tr>
        <w:tc>
          <w:tcPr>
            <w:tcW w:w="3200" w:type="dxa"/>
            <w:shd w:fill="FFFFFF"/>
            <w:vAlign w:val="center"/>
          </w:tcPr>
          <w:p>
            <w:pPr>
              <w:spacing w:before="40" w:after="40" w:line="250" w:lineRule="auto"/>
              <w:ind w:left="0"/>
              <w:jc w:val="left"/>
            </w:pPr>
            <w:r>
              <w:rPr>
                <w:rFonts w:eastAsia="等线" w:ascii="Arial" w:hAnsi="Arial" w:cs="Arial"/>
                <w:sz w:val="18"/>
              </w:rPr>
              <w:t>样本批量</w:t>
            </w:r>
          </w:p>
        </w:tc>
        <w:tc>
          <w:tcPr>
            <w:tcW w:w="7800" w:type="dxa"/>
            <w:shd w:fill="FFFFFF"/>
            <w:vAlign w:val="center"/>
          </w:tcPr>
          <w:p>
            <w:pPr>
              <w:spacing w:before="40" w:after="40" w:line="250" w:lineRule="auto"/>
              <w:ind w:left="0"/>
              <w:jc w:val="left"/>
            </w:pPr>
            <w:r>
              <w:rPr>
                <w:rFonts w:eastAsia="等线" w:ascii="Arial" w:hAnsi="Arial" w:cs="Arial"/>
                <w:sz w:val="18"/>
              </w:rPr>
              <w:t>训练 384 / 评估 16</w:t>
            </w:r>
          </w:p>
        </w:tc>
      </w:tr>
      <w:tr>
        <w:tc>
          <w:tcPr>
            <w:tcW w:w="3200" w:type="dxa"/>
            <w:shd w:fill="FFFFFF"/>
            <w:vAlign w:val="center"/>
          </w:tcPr>
          <w:p>
            <w:pPr>
              <w:spacing w:before="40" w:after="40" w:line="250" w:lineRule="auto"/>
              <w:ind w:left="0"/>
              <w:jc w:val="left"/>
            </w:pPr>
            <w:r>
              <w:rPr>
                <w:rFonts w:eastAsia="等线" w:ascii="Arial" w:hAnsi="Arial" w:cs="Arial"/>
                <w:sz w:val="18"/>
              </w:rPr>
              <w:t>学习率与权重衰减</w:t>
            </w:r>
          </w:p>
        </w:tc>
        <w:tc>
          <w:tcPr>
            <w:tcW w:w="7800" w:type="dxa"/>
            <w:shd w:fill="FFFFFF"/>
            <w:vAlign w:val="center"/>
          </w:tcPr>
          <w:p>
            <w:pPr>
              <w:spacing w:before="40" w:after="40" w:line="250" w:lineRule="auto"/>
              <w:ind w:left="0"/>
              <w:jc w:val="left"/>
            </w:pPr>
            <w:r>
              <w:rPr>
                <w:rFonts w:eastAsia="等线" w:ascii="Arial" w:hAnsi="Arial" w:cs="Arial"/>
                <w:sz w:val="18"/>
              </w:rPr>
              <w:t>lr=6e-5，weight_decay=1e-4</w:t>
            </w:r>
          </w:p>
        </w:tc>
      </w:tr>
    </w:tbl>
    <w:p>
      <w:pPr>
        <w:pStyle w:val="3"/>
        <w:spacing w:before="260" w:after="100" w:line="288" w:lineRule="auto"/>
        <w:ind w:left="0"/>
        <w:jc w:val="left"/>
        <w:outlineLvl w:val="2"/>
      </w:pPr>
      <w:r>
        <w:rPr>
          <w:rFonts w:eastAsia="等线" w:ascii="Arial" w:hAnsi="Arial" w:cs="Arial"/>
          <w:b w:val="true"/>
          <w:sz w:val="26"/>
        </w:rPr>
        <w:t>6.4 训练目标与低响应阈值处理</w:t>
      </w:r>
    </w:p>
    <w:p>
      <w:pPr>
        <w:spacing w:before="120" w:after="120" w:line="288" w:lineRule="auto"/>
        <w:ind w:left="0" w:firstLine="420"/>
        <w:jc w:val="left"/>
      </w:pPr>
      <w:r>
        <w:rPr>
          <w:rFonts w:eastAsia="等线" w:ascii="Arial" w:hAnsi="Arial" w:cs="Arial"/>
          <w:sz w:val="22"/>
        </w:rPr>
        <w:t>训练目标围绕 log1p 空间误差和相对误差设计。由于全零件和圆盘区域存在大量低响应背景点，这些点真实目标值总量极低，却在点数和 log 损失中占据很高比例，容易使模型把主要能力消耗在近零背景点上。</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firstRow="1" w:noHBand="0" w:noVBand="1"/>
      </w:tblPr>
      <w:tr>
        <w:tc>
          <w:tcPr>
            <w:tcW w:w="2300" w:type="dxa"/>
            <w:shd w:fill="1F4E79"/>
            <w:vAlign w:val="center"/>
          </w:tcPr>
          <w:p>
            <w:pPr>
              <w:spacing w:before="40" w:after="40" w:line="250" w:lineRule="auto"/>
              <w:ind w:left="0"/>
              <w:jc w:val="center"/>
            </w:pPr>
            <w:r>
              <w:rPr>
                <w:rFonts w:eastAsia="等线" w:ascii="Arial" w:hAnsi="Arial" w:cs="Arial"/>
                <w:b w:val="true"/>
                <w:color w:val="FFFFFF"/>
                <w:sz w:val="18"/>
              </w:rPr>
              <w:t>区域</w:t>
            </w:r>
          </w:p>
        </w:tc>
        <w:tc>
          <w:tcPr>
            <w:tcW w:w="2500" w:type="dxa"/>
            <w:shd w:fill="1F4E79"/>
            <w:vAlign w:val="center"/>
          </w:tcPr>
          <w:p>
            <w:pPr>
              <w:spacing w:before="40" w:after="40" w:line="250" w:lineRule="auto"/>
              <w:ind w:left="0"/>
              <w:jc w:val="center"/>
            </w:pPr>
            <w:r>
              <w:rPr>
                <w:rFonts w:eastAsia="等线" w:ascii="Arial" w:hAnsi="Arial" w:cs="Arial"/>
                <w:b w:val="true"/>
                <w:color w:val="FFFFFF"/>
                <w:sz w:val="18"/>
              </w:rPr>
              <w:t>&lt;200 点占比</w:t>
            </w:r>
          </w:p>
        </w:tc>
        <w:tc>
          <w:tcPr>
            <w:tcW w:w="3000" w:type="dxa"/>
            <w:shd w:fill="1F4E79"/>
            <w:vAlign w:val="center"/>
          </w:tcPr>
          <w:p>
            <w:pPr>
              <w:spacing w:before="40" w:after="40" w:line="250" w:lineRule="auto"/>
              <w:ind w:left="0"/>
              <w:jc w:val="center"/>
            </w:pPr>
            <w:r>
              <w:rPr>
                <w:rFonts w:eastAsia="等线" w:ascii="Arial" w:hAnsi="Arial" w:cs="Arial"/>
                <w:b w:val="true"/>
                <w:color w:val="FFFFFF"/>
                <w:sz w:val="18"/>
              </w:rPr>
              <w:t>&lt;200 目标值总量占比</w:t>
            </w:r>
          </w:p>
        </w:tc>
        <w:tc>
          <w:tcPr>
            <w:tcW w:w="2500" w:type="dxa"/>
            <w:shd w:fill="1F4E79"/>
            <w:vAlign w:val="center"/>
          </w:tcPr>
          <w:p>
            <w:pPr>
              <w:spacing w:before="40" w:after="40" w:line="250" w:lineRule="auto"/>
              <w:ind w:left="0"/>
              <w:jc w:val="center"/>
            </w:pPr>
            <w:r>
              <w:rPr>
                <w:rFonts w:eastAsia="等线" w:ascii="Arial" w:hAnsi="Arial" w:cs="Arial"/>
                <w:b w:val="true"/>
                <w:color w:val="FFFFFF"/>
                <w:sz w:val="18"/>
              </w:rPr>
              <w:t>&lt;200 log 贡献</w:t>
            </w:r>
          </w:p>
        </w:tc>
      </w:tr>
      <w:tr>
        <w:tc>
          <w:tcPr>
            <w:tcW w:w="2300" w:type="dxa"/>
            <w:shd w:fill="FFFFFF"/>
            <w:vAlign w:val="center"/>
          </w:tcPr>
          <w:p>
            <w:pPr>
              <w:spacing w:before="40" w:after="40" w:line="250" w:lineRule="auto"/>
              <w:ind w:left="0"/>
              <w:jc w:val="left"/>
            </w:pPr>
            <w:r>
              <w:rPr>
                <w:rFonts w:eastAsia="等线" w:ascii="Arial" w:hAnsi="Arial" w:cs="Arial"/>
                <w:sz w:val="18"/>
              </w:rPr>
              <w:t>全零件</w:t>
            </w:r>
          </w:p>
        </w:tc>
        <w:tc>
          <w:tcPr>
            <w:tcW w:w="2500" w:type="dxa"/>
            <w:shd w:fill="FFFFFF"/>
            <w:vAlign w:val="center"/>
          </w:tcPr>
          <w:p>
            <w:pPr>
              <w:spacing w:before="40" w:after="40" w:line="250" w:lineRule="auto"/>
              <w:ind w:left="0"/>
              <w:jc w:val="left"/>
            </w:pPr>
            <w:r>
              <w:rPr>
                <w:rFonts w:eastAsia="等线" w:ascii="Arial" w:hAnsi="Arial" w:cs="Arial"/>
                <w:sz w:val="18"/>
              </w:rPr>
              <w:t>68.42%</w:t>
            </w:r>
          </w:p>
        </w:tc>
        <w:tc>
          <w:tcPr>
            <w:tcW w:w="3000" w:type="dxa"/>
            <w:shd w:fill="FFFFFF"/>
            <w:vAlign w:val="center"/>
          </w:tcPr>
          <w:p>
            <w:pPr>
              <w:spacing w:before="40" w:after="40" w:line="250" w:lineRule="auto"/>
              <w:ind w:left="0"/>
              <w:jc w:val="left"/>
            </w:pPr>
            <w:r>
              <w:rPr>
                <w:rFonts w:eastAsia="等线" w:ascii="Arial" w:hAnsi="Arial" w:cs="Arial"/>
                <w:sz w:val="18"/>
              </w:rPr>
              <w:t>0.0038%</w:t>
            </w:r>
          </w:p>
        </w:tc>
        <w:tc>
          <w:tcPr>
            <w:tcW w:w="2500" w:type="dxa"/>
            <w:shd w:fill="FFFFFF"/>
            <w:vAlign w:val="center"/>
          </w:tcPr>
          <w:p>
            <w:pPr>
              <w:spacing w:before="40" w:after="40" w:line="250" w:lineRule="auto"/>
              <w:ind w:left="0"/>
              <w:jc w:val="left"/>
            </w:pPr>
            <w:r>
              <w:rPr>
                <w:rFonts w:eastAsia="等线" w:ascii="Arial" w:hAnsi="Arial" w:cs="Arial"/>
                <w:sz w:val="18"/>
              </w:rPr>
              <w:t>31.75%</w:t>
            </w:r>
          </w:p>
        </w:tc>
      </w:tr>
      <w:tr>
        <w:tc>
          <w:tcPr>
            <w:tcW w:w="2300" w:type="dxa"/>
            <w:shd w:fill="FFFFFF"/>
            <w:vAlign w:val="center"/>
          </w:tcPr>
          <w:p>
            <w:pPr>
              <w:spacing w:before="40" w:after="40" w:line="250" w:lineRule="auto"/>
              <w:ind w:left="0"/>
              <w:jc w:val="left"/>
            </w:pPr>
            <w:r>
              <w:rPr>
                <w:rFonts w:eastAsia="等线" w:ascii="Arial" w:hAnsi="Arial" w:cs="Arial"/>
                <w:sz w:val="18"/>
              </w:rPr>
              <w:t>耳片区域</w:t>
            </w:r>
          </w:p>
        </w:tc>
        <w:tc>
          <w:tcPr>
            <w:tcW w:w="2500" w:type="dxa"/>
            <w:shd w:fill="FFFFFF"/>
            <w:vAlign w:val="center"/>
          </w:tcPr>
          <w:p>
            <w:pPr>
              <w:spacing w:before="40" w:after="40" w:line="250" w:lineRule="auto"/>
              <w:ind w:left="0"/>
              <w:jc w:val="left"/>
            </w:pPr>
            <w:r>
              <w:rPr>
                <w:rFonts w:eastAsia="等线" w:ascii="Arial" w:hAnsi="Arial" w:cs="Arial"/>
                <w:sz w:val="18"/>
              </w:rPr>
              <w:t>41.25%</w:t>
            </w:r>
          </w:p>
        </w:tc>
        <w:tc>
          <w:tcPr>
            <w:tcW w:w="3000" w:type="dxa"/>
            <w:shd w:fill="FFFFFF"/>
            <w:vAlign w:val="center"/>
          </w:tcPr>
          <w:p>
            <w:pPr>
              <w:spacing w:before="40" w:after="40" w:line="250" w:lineRule="auto"/>
              <w:ind w:left="0"/>
              <w:jc w:val="left"/>
            </w:pPr>
            <w:r>
              <w:rPr>
                <w:rFonts w:eastAsia="等线" w:ascii="Arial" w:hAnsi="Arial" w:cs="Arial"/>
                <w:sz w:val="18"/>
              </w:rPr>
              <w:t>0.0015%</w:t>
            </w:r>
          </w:p>
        </w:tc>
        <w:tc>
          <w:tcPr>
            <w:tcW w:w="2500" w:type="dxa"/>
            <w:shd w:fill="FFFFFF"/>
            <w:vAlign w:val="center"/>
          </w:tcPr>
          <w:p>
            <w:pPr>
              <w:spacing w:before="40" w:after="40" w:line="250" w:lineRule="auto"/>
              <w:ind w:left="0"/>
              <w:jc w:val="left"/>
            </w:pPr>
            <w:r>
              <w:rPr>
                <w:rFonts w:eastAsia="等线" w:ascii="Arial" w:hAnsi="Arial" w:cs="Arial"/>
                <w:sz w:val="18"/>
              </w:rPr>
              <w:t>18.92%</w:t>
            </w:r>
          </w:p>
        </w:tc>
      </w:tr>
      <w:tr>
        <w:tc>
          <w:tcPr>
            <w:tcW w:w="2300" w:type="dxa"/>
            <w:shd w:fill="FFFFFF"/>
            <w:vAlign w:val="center"/>
          </w:tcPr>
          <w:p>
            <w:pPr>
              <w:spacing w:before="40" w:after="40" w:line="250" w:lineRule="auto"/>
              <w:ind w:left="0"/>
              <w:jc w:val="left"/>
            </w:pPr>
            <w:r>
              <w:rPr>
                <w:rFonts w:eastAsia="等线" w:ascii="Arial" w:hAnsi="Arial" w:cs="Arial"/>
                <w:sz w:val="18"/>
              </w:rPr>
              <w:t>圆盘区域</w:t>
            </w:r>
          </w:p>
        </w:tc>
        <w:tc>
          <w:tcPr>
            <w:tcW w:w="2500" w:type="dxa"/>
            <w:shd w:fill="FFFFFF"/>
            <w:vAlign w:val="center"/>
          </w:tcPr>
          <w:p>
            <w:pPr>
              <w:spacing w:before="40" w:after="40" w:line="250" w:lineRule="auto"/>
              <w:ind w:left="0"/>
              <w:jc w:val="left"/>
            </w:pPr>
            <w:r>
              <w:rPr>
                <w:rFonts w:eastAsia="等线" w:ascii="Arial" w:hAnsi="Arial" w:cs="Arial"/>
                <w:sz w:val="18"/>
              </w:rPr>
              <w:t>76.64%</w:t>
            </w:r>
          </w:p>
        </w:tc>
        <w:tc>
          <w:tcPr>
            <w:tcW w:w="3000" w:type="dxa"/>
            <w:shd w:fill="FFFFFF"/>
            <w:vAlign w:val="center"/>
          </w:tcPr>
          <w:p>
            <w:pPr>
              <w:spacing w:before="40" w:after="40" w:line="250" w:lineRule="auto"/>
              <w:ind w:left="0"/>
              <w:jc w:val="left"/>
            </w:pPr>
            <w:r>
              <w:rPr>
                <w:rFonts w:eastAsia="等线" w:ascii="Arial" w:hAnsi="Arial" w:cs="Arial"/>
                <w:sz w:val="18"/>
              </w:rPr>
              <w:t>0.0149%</w:t>
            </w:r>
          </w:p>
        </w:tc>
        <w:tc>
          <w:tcPr>
            <w:tcW w:w="2500" w:type="dxa"/>
            <w:shd w:fill="FFFFFF"/>
            <w:vAlign w:val="center"/>
          </w:tcPr>
          <w:p>
            <w:pPr>
              <w:spacing w:before="40" w:after="40" w:line="250" w:lineRule="auto"/>
              <w:ind w:left="0"/>
              <w:jc w:val="left"/>
            </w:pPr>
            <w:r>
              <w:rPr>
                <w:rFonts w:eastAsia="等线" w:ascii="Arial" w:hAnsi="Arial" w:cs="Arial"/>
                <w:sz w:val="18"/>
              </w:rPr>
              <w:t>39.79%</w:t>
            </w:r>
          </w:p>
        </w:tc>
      </w:tr>
    </w:tbl>
    <w:p>
      <w:pPr>
        <w:spacing w:before="120" w:after="120" w:line="288" w:lineRule="auto"/>
        <w:ind w:left="0" w:firstLine="420"/>
        <w:jc w:val="left"/>
      </w:pPr>
      <w:r>
        <w:rPr>
          <w:rFonts w:eastAsia="等线" w:ascii="Arial" w:hAnsi="Arial" w:cs="Arial"/>
          <w:sz w:val="22"/>
        </w:rPr>
        <w:t>低响应阈值处理并不是删除低响应区域，而是将目标应力谱密度小于 200 的点统一按 200 参与训练和评估。这样既保留背景点的空间分布信号，又降低接近 0 的目标值在相对误差口径下对训练的主导作用。需要注意，本报告中的相关指标均按该阈值口径计算，不直接等同于原始未阈值处理口径。</w:t>
      </w:r>
    </w:p>
    <w:p>
      <w:pPr>
        <w:pStyle w:val="3"/>
        <w:spacing w:before="260" w:after="100" w:line="288" w:lineRule="auto"/>
        <w:ind w:left="0"/>
        <w:jc w:val="left"/>
        <w:outlineLvl w:val="2"/>
      </w:pPr>
      <w:r>
        <w:rPr>
          <w:rFonts w:eastAsia="等线" w:ascii="Arial" w:hAnsi="Arial" w:cs="Arial"/>
          <w:b w:val="true"/>
          <w:sz w:val="26"/>
        </w:rPr>
        <w:t>6.5 评估指标与分层诊断体系</w:t>
      </w:r>
    </w:p>
    <w:p>
      <w:pPr>
        <w:spacing w:before="120" w:after="120" w:line="288" w:lineRule="auto"/>
        <w:ind w:left="0" w:firstLine="420"/>
        <w:jc w:val="left"/>
      </w:pPr>
      <w:r>
        <w:rPr>
          <w:rFonts w:eastAsia="等线" w:ascii="Arial" w:hAnsi="Arial" w:cs="Arial"/>
          <w:sz w:val="22"/>
        </w:rPr>
        <w:t>评估同时覆盖逐频 PSD 维度和最终 RMises 维度。逐频 PSD 指标用于检查模型是否学到频率响应过程；RMises 指标更接近工程强度校核使用口径。</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firstRow="1" w:noHBand="0" w:noVBand="1"/>
      </w:tblPr>
      <w:tr>
        <w:tc>
          <w:tcPr>
            <w:tcW w:w="2100" w:type="dxa"/>
            <w:shd w:fill="1F4E79"/>
            <w:vAlign w:val="center"/>
          </w:tcPr>
          <w:p>
            <w:pPr>
              <w:spacing w:before="40" w:after="40" w:line="250" w:lineRule="auto"/>
              <w:ind w:left="0"/>
              <w:jc w:val="center"/>
            </w:pPr>
            <w:r>
              <w:rPr>
                <w:rFonts w:eastAsia="等线" w:ascii="Arial" w:hAnsi="Arial" w:cs="Arial"/>
                <w:b w:val="true"/>
                <w:color w:val="FFFFFF"/>
                <w:sz w:val="18"/>
              </w:rPr>
              <w:t>指标</w:t>
            </w:r>
          </w:p>
        </w:tc>
        <w:tc>
          <w:tcPr>
            <w:tcW w:w="4700" w:type="dxa"/>
            <w:shd w:fill="1F4E79"/>
            <w:vAlign w:val="center"/>
          </w:tcPr>
          <w:p>
            <w:pPr>
              <w:spacing w:before="40" w:after="40" w:line="250" w:lineRule="auto"/>
              <w:ind w:left="0"/>
              <w:jc w:val="center"/>
            </w:pPr>
            <w:r>
              <w:rPr>
                <w:rFonts w:eastAsia="等线" w:ascii="Arial" w:hAnsi="Arial" w:cs="Arial"/>
                <w:b w:val="true"/>
                <w:color w:val="FFFFFF"/>
                <w:sz w:val="18"/>
              </w:rPr>
              <w:t>定义</w:t>
            </w:r>
          </w:p>
        </w:tc>
        <w:tc>
          <w:tcPr>
            <w:tcW w:w="4200" w:type="dxa"/>
            <w:shd w:fill="1F4E79"/>
            <w:vAlign w:val="center"/>
          </w:tcPr>
          <w:p>
            <w:pPr>
              <w:spacing w:before="40" w:after="40" w:line="250" w:lineRule="auto"/>
              <w:ind w:left="0"/>
              <w:jc w:val="center"/>
            </w:pPr>
            <w:r>
              <w:rPr>
                <w:rFonts w:eastAsia="等线" w:ascii="Arial" w:hAnsi="Arial" w:cs="Arial"/>
                <w:b w:val="true"/>
                <w:color w:val="FFFFFF"/>
                <w:sz w:val="18"/>
              </w:rPr>
              <w:t>用途</w:t>
            </w:r>
          </w:p>
        </w:tc>
      </w:tr>
      <w:tr>
        <w:tc>
          <w:tcPr>
            <w:tcW w:w="2100" w:type="dxa"/>
            <w:shd w:fill="FFFFFF"/>
            <w:vAlign w:val="center"/>
          </w:tcPr>
          <w:p>
            <w:pPr>
              <w:spacing w:before="40" w:after="40" w:line="250" w:lineRule="auto"/>
              <w:ind w:left="0"/>
              <w:jc w:val="left"/>
            </w:pPr>
            <w:r>
              <w:rPr>
                <w:rFonts w:eastAsia="等线" w:ascii="Arial" w:hAnsi="Arial" w:cs="Arial"/>
                <w:sz w:val="18"/>
              </w:rPr>
              <w:t>within25</w:t>
            </w:r>
          </w:p>
        </w:tc>
        <w:tc>
          <w:tcPr>
            <w:tcW w:w="4700" w:type="dxa"/>
            <w:shd w:fill="FFFFFF"/>
            <w:vAlign w:val="center"/>
          </w:tcPr>
          <w:p>
            <w:pPr>
              <w:spacing w:before="40" w:after="40" w:line="250" w:lineRule="auto"/>
              <w:ind w:left="0"/>
              <w:jc w:val="left"/>
            </w:pPr>
            <w:r>
              <w:rPr>
                <w:rFonts w:eastAsia="等线" w:ascii="Arial" w:hAnsi="Arial" w:cs="Arial"/>
                <w:sz w:val="18"/>
              </w:rPr>
              <w:t>abs(pred-target)/abs(target) ≤ 25% 的点占比</w:t>
            </w:r>
          </w:p>
        </w:tc>
        <w:tc>
          <w:tcPr>
            <w:tcW w:w="4200" w:type="dxa"/>
            <w:shd w:fill="FFFFFF"/>
            <w:vAlign w:val="center"/>
          </w:tcPr>
          <w:p>
            <w:pPr>
              <w:spacing w:before="40" w:after="40" w:line="250" w:lineRule="auto"/>
              <w:ind w:left="0"/>
              <w:jc w:val="left"/>
            </w:pPr>
            <w:r>
              <w:rPr>
                <w:rFonts w:eastAsia="等线" w:ascii="Arial" w:hAnsi="Arial" w:cs="Arial"/>
                <w:sz w:val="18"/>
              </w:rPr>
              <w:t>判断工程误差带内的命中率</w:t>
            </w:r>
          </w:p>
        </w:tc>
      </w:tr>
      <w:tr>
        <w:tc>
          <w:tcPr>
            <w:tcW w:w="2100" w:type="dxa"/>
            <w:shd w:fill="FFFFFF"/>
            <w:vAlign w:val="center"/>
          </w:tcPr>
          <w:p>
            <w:pPr>
              <w:spacing w:before="40" w:after="40" w:line="250" w:lineRule="auto"/>
              <w:ind w:left="0"/>
              <w:jc w:val="left"/>
            </w:pPr>
            <w:r>
              <w:rPr>
                <w:rFonts w:eastAsia="等线" w:ascii="Arial" w:hAnsi="Arial" w:cs="Arial"/>
                <w:sz w:val="18"/>
              </w:rPr>
              <w:t>相对 MAE</w:t>
            </w:r>
          </w:p>
        </w:tc>
        <w:tc>
          <w:tcPr>
            <w:tcW w:w="4700" w:type="dxa"/>
            <w:shd w:fill="FFFFFF"/>
            <w:vAlign w:val="center"/>
          </w:tcPr>
          <w:p>
            <w:pPr>
              <w:spacing w:before="40" w:after="40" w:line="250" w:lineRule="auto"/>
              <w:ind w:left="0"/>
              <w:jc w:val="left"/>
            </w:pPr>
            <w:r>
              <w:rPr>
                <w:rFonts w:eastAsia="等线" w:ascii="Arial" w:hAnsi="Arial" w:cs="Arial"/>
                <w:sz w:val="18"/>
              </w:rPr>
              <w:t>逐点相对误差均值</w:t>
            </w:r>
          </w:p>
        </w:tc>
        <w:tc>
          <w:tcPr>
            <w:tcW w:w="4200" w:type="dxa"/>
            <w:shd w:fill="FFFFFF"/>
            <w:vAlign w:val="center"/>
          </w:tcPr>
          <w:p>
            <w:pPr>
              <w:spacing w:before="40" w:after="40" w:line="250" w:lineRule="auto"/>
              <w:ind w:left="0"/>
              <w:jc w:val="left"/>
            </w:pPr>
            <w:r>
              <w:rPr>
                <w:rFonts w:eastAsia="等线" w:ascii="Arial" w:hAnsi="Arial" w:cs="Arial"/>
                <w:sz w:val="18"/>
              </w:rPr>
              <w:t>衡量整体偏差水平</w:t>
            </w:r>
          </w:p>
        </w:tc>
      </w:tr>
      <w:tr>
        <w:tc>
          <w:tcPr>
            <w:tcW w:w="2100" w:type="dxa"/>
            <w:shd w:fill="FFFFFF"/>
            <w:vAlign w:val="center"/>
          </w:tcPr>
          <w:p>
            <w:pPr>
              <w:spacing w:before="40" w:after="40" w:line="250" w:lineRule="auto"/>
              <w:ind w:left="0"/>
              <w:jc w:val="left"/>
            </w:pPr>
            <w:r>
              <w:rPr>
                <w:rFonts w:eastAsia="等线" w:ascii="Arial" w:hAnsi="Arial" w:cs="Arial"/>
                <w:sz w:val="18"/>
              </w:rPr>
              <w:t>相对 log MAE</w:t>
            </w:r>
          </w:p>
        </w:tc>
        <w:tc>
          <w:tcPr>
            <w:tcW w:w="4700" w:type="dxa"/>
            <w:shd w:fill="FFFFFF"/>
            <w:vAlign w:val="center"/>
          </w:tcPr>
          <w:p>
            <w:pPr>
              <w:spacing w:before="40" w:after="40" w:line="250" w:lineRule="auto"/>
              <w:ind w:left="0"/>
              <w:jc w:val="left"/>
            </w:pPr>
            <w:r>
              <w:rPr>
                <w:rFonts w:eastAsia="等线" w:ascii="Arial" w:hAnsi="Arial" w:cs="Arial"/>
                <w:sz w:val="18"/>
              </w:rPr>
              <w:t>log1p(MISES_psd_density) 空间 MAE</w:t>
            </w:r>
          </w:p>
        </w:tc>
        <w:tc>
          <w:tcPr>
            <w:tcW w:w="4200" w:type="dxa"/>
            <w:shd w:fill="FFFFFF"/>
            <w:vAlign w:val="center"/>
          </w:tcPr>
          <w:p>
            <w:pPr>
              <w:spacing w:before="40" w:after="40" w:line="250" w:lineRule="auto"/>
              <w:ind w:left="0"/>
              <w:jc w:val="left"/>
            </w:pPr>
            <w:r>
              <w:rPr>
                <w:rFonts w:eastAsia="等线" w:ascii="Arial" w:hAnsi="Arial" w:cs="Arial"/>
                <w:sz w:val="18"/>
              </w:rPr>
              <w:t>衡量跨数量级响应的拟合稳定性</w:t>
            </w:r>
          </w:p>
        </w:tc>
      </w:tr>
      <w:tr>
        <w:tc>
          <w:tcPr>
            <w:tcW w:w="2100" w:type="dxa"/>
            <w:shd w:fill="FFFFFF"/>
            <w:vAlign w:val="center"/>
          </w:tcPr>
          <w:p>
            <w:pPr>
              <w:spacing w:before="40" w:after="40" w:line="250" w:lineRule="auto"/>
              <w:ind w:left="0"/>
              <w:jc w:val="left"/>
            </w:pPr>
            <w:r>
              <w:rPr>
                <w:rFonts w:eastAsia="等线" w:ascii="Arial" w:hAnsi="Arial" w:cs="Arial"/>
                <w:sz w:val="18"/>
              </w:rPr>
              <w:t>高响应分层</w:t>
            </w:r>
          </w:p>
        </w:tc>
        <w:tc>
          <w:tcPr>
            <w:tcW w:w="4700" w:type="dxa"/>
            <w:shd w:fill="FFFFFF"/>
            <w:vAlign w:val="center"/>
          </w:tcPr>
          <w:p>
            <w:pPr>
              <w:spacing w:before="40" w:after="40" w:line="250" w:lineRule="auto"/>
              <w:ind w:left="0"/>
              <w:jc w:val="left"/>
            </w:pPr>
            <w:r>
              <w:rPr>
                <w:rFonts w:eastAsia="等线" w:ascii="Arial" w:hAnsi="Arial" w:cs="Arial"/>
                <w:sz w:val="18"/>
              </w:rPr>
              <w:t>按每个结构方案-频率帧或结构方案内真实目标值/RMises 从大到小排序，取 top1%、top5%、top25% 等高响应节点集合</w:t>
            </w:r>
          </w:p>
        </w:tc>
        <w:tc>
          <w:tcPr>
            <w:tcW w:w="4200" w:type="dxa"/>
            <w:shd w:fill="FFFFFF"/>
            <w:vAlign w:val="center"/>
          </w:tcPr>
          <w:p>
            <w:pPr>
              <w:spacing w:before="40" w:after="40" w:line="250" w:lineRule="auto"/>
              <w:ind w:left="0"/>
              <w:jc w:val="left"/>
            </w:pPr>
            <w:r>
              <w:rPr>
                <w:rFonts w:eastAsia="等线" w:ascii="Arial" w:hAnsi="Arial" w:cs="Arial"/>
                <w:sz w:val="18"/>
              </w:rPr>
              <w:t>重点检查高应力热点，而不是只看平均误差</w:t>
            </w:r>
          </w:p>
        </w:tc>
      </w:tr>
      <w:tr>
        <w:tc>
          <w:tcPr>
            <w:tcW w:w="2100" w:type="dxa"/>
            <w:shd w:fill="FFFFFF"/>
            <w:vAlign w:val="center"/>
          </w:tcPr>
          <w:p>
            <w:pPr>
              <w:spacing w:before="40" w:after="40" w:line="250" w:lineRule="auto"/>
              <w:ind w:left="0"/>
              <w:jc w:val="left"/>
            </w:pPr>
            <w:r>
              <w:rPr>
                <w:rFonts w:eastAsia="等线" w:ascii="Arial" w:hAnsi="Arial" w:cs="Arial"/>
                <w:sz w:val="18"/>
              </w:rPr>
              <w:t>topk% within25</w:t>
            </w:r>
          </w:p>
        </w:tc>
        <w:tc>
          <w:tcPr>
            <w:tcW w:w="4700" w:type="dxa"/>
            <w:shd w:fill="FFFFFF"/>
            <w:vAlign w:val="center"/>
          </w:tcPr>
          <w:p>
            <w:pPr>
              <w:spacing w:before="40" w:after="40" w:line="250" w:lineRule="auto"/>
              <w:ind w:left="0"/>
              <w:jc w:val="left"/>
            </w:pPr>
            <w:r>
              <w:rPr>
                <w:rFonts w:eastAsia="等线" w:ascii="Arial" w:hAnsi="Arial" w:cs="Arial"/>
                <w:sz w:val="18"/>
              </w:rPr>
              <w:t>在 topk% 高响应节点集合内重新计算 within25；例如 top5% within25 表示真实应力最高 5% 节点中，相对误差 ≤25% 的节点占比</w:t>
            </w:r>
          </w:p>
        </w:tc>
        <w:tc>
          <w:tcPr>
            <w:tcW w:w="4200" w:type="dxa"/>
            <w:shd w:fill="FFFFFF"/>
            <w:vAlign w:val="center"/>
          </w:tcPr>
          <w:p>
            <w:pPr>
              <w:spacing w:before="40" w:after="40" w:line="250" w:lineRule="auto"/>
              <w:ind w:left="0"/>
              <w:jc w:val="left"/>
            </w:pPr>
            <w:r>
              <w:rPr>
                <w:rFonts w:eastAsia="等线" w:ascii="Arial" w:hAnsi="Arial" w:cs="Arial"/>
                <w:sz w:val="18"/>
              </w:rPr>
              <w:t>衡量高风险热点区域是否落入工程误差带</w:t>
            </w:r>
          </w:p>
        </w:tc>
      </w:tr>
      <w:tr>
        <w:tc>
          <w:tcPr>
            <w:tcW w:w="2100" w:type="dxa"/>
            <w:shd w:fill="FFFFFF"/>
            <w:vAlign w:val="center"/>
          </w:tcPr>
          <w:p>
            <w:pPr>
              <w:spacing w:before="40" w:after="40" w:line="250" w:lineRule="auto"/>
              <w:ind w:left="0"/>
              <w:jc w:val="left"/>
            </w:pPr>
            <w:r>
              <w:rPr>
                <w:rFonts w:eastAsia="等线" w:ascii="Arial" w:hAnsi="Arial" w:cs="Arial"/>
                <w:sz w:val="18"/>
              </w:rPr>
              <w:t>topk% 相对 MAE</w:t>
            </w:r>
          </w:p>
        </w:tc>
        <w:tc>
          <w:tcPr>
            <w:tcW w:w="4700" w:type="dxa"/>
            <w:shd w:fill="FFFFFF"/>
            <w:vAlign w:val="center"/>
          </w:tcPr>
          <w:p>
            <w:pPr>
              <w:spacing w:before="40" w:after="40" w:line="250" w:lineRule="auto"/>
              <w:ind w:left="0"/>
              <w:jc w:val="left"/>
            </w:pPr>
            <w:r>
              <w:rPr>
                <w:rFonts w:eastAsia="等线" w:ascii="Arial" w:hAnsi="Arial" w:cs="Arial"/>
                <w:sz w:val="18"/>
              </w:rPr>
              <w:t>在 topk% 高响应节点集合内重新计算逐点相对误差均值</w:t>
            </w:r>
          </w:p>
        </w:tc>
        <w:tc>
          <w:tcPr>
            <w:tcW w:w="4200" w:type="dxa"/>
            <w:shd w:fill="FFFFFF"/>
            <w:vAlign w:val="center"/>
          </w:tcPr>
          <w:p>
            <w:pPr>
              <w:spacing w:before="40" w:after="40" w:line="250" w:lineRule="auto"/>
              <w:ind w:left="0"/>
              <w:jc w:val="left"/>
            </w:pPr>
            <w:r>
              <w:rPr>
                <w:rFonts w:eastAsia="等线" w:ascii="Arial" w:hAnsi="Arial" w:cs="Arial"/>
                <w:sz w:val="18"/>
              </w:rPr>
              <w:t>衡量高风险热点区域的平均偏差水平，补充 within25 只看阈值命中的不足</w:t>
            </w:r>
          </w:p>
        </w:tc>
      </w:tr>
      <w:tr>
        <w:tc>
          <w:tcPr>
            <w:tcW w:w="2100" w:type="dxa"/>
            <w:shd w:fill="FFFFFF"/>
            <w:vAlign w:val="center"/>
          </w:tcPr>
          <w:p>
            <w:pPr>
              <w:spacing w:before="40" w:after="40" w:line="250" w:lineRule="auto"/>
              <w:ind w:left="0"/>
              <w:jc w:val="left"/>
            </w:pPr>
            <w:r>
              <w:rPr>
                <w:rFonts w:eastAsia="等线" w:ascii="Arial" w:hAnsi="Arial" w:cs="Arial"/>
                <w:sz w:val="18"/>
              </w:rPr>
              <w:t>pred/target</w:t>
            </w:r>
          </w:p>
        </w:tc>
        <w:tc>
          <w:tcPr>
            <w:tcW w:w="4700" w:type="dxa"/>
            <w:shd w:fill="FFFFFF"/>
            <w:vAlign w:val="center"/>
          </w:tcPr>
          <w:p>
            <w:pPr>
              <w:spacing w:before="40" w:after="40" w:line="250" w:lineRule="auto"/>
              <w:ind w:left="0"/>
              <w:jc w:val="left"/>
            </w:pPr>
            <w:r>
              <w:rPr>
                <w:rFonts w:eastAsia="等线" w:ascii="Arial" w:hAnsi="Arial" w:cs="Arial"/>
                <w:sz w:val="18"/>
              </w:rPr>
              <w:t>预测均值与真实均值比值</w:t>
            </w:r>
          </w:p>
        </w:tc>
        <w:tc>
          <w:tcPr>
            <w:tcW w:w="4200" w:type="dxa"/>
            <w:shd w:fill="FFFFFF"/>
            <w:vAlign w:val="center"/>
          </w:tcPr>
          <w:p>
            <w:pPr>
              <w:spacing w:before="40" w:after="40" w:line="250" w:lineRule="auto"/>
              <w:ind w:left="0"/>
              <w:jc w:val="left"/>
            </w:pPr>
            <w:r>
              <w:rPr>
                <w:rFonts w:eastAsia="等线" w:ascii="Arial" w:hAnsi="Arial" w:cs="Arial"/>
                <w:sz w:val="18"/>
              </w:rPr>
              <w:t>检查系统性高估或低估</w:t>
            </w:r>
          </w:p>
        </w:tc>
      </w:tr>
    </w:tbl>
    <w:p>
      <w:pPr>
        <w:spacing w:before="120" w:after="120" w:line="288" w:lineRule="auto"/>
        <w:ind w:left="0" w:firstLine="420"/>
        <w:jc w:val="left"/>
      </w:pPr>
      <w:r>
        <w:rPr>
          <w:rFonts w:eastAsia="等线" w:ascii="Arial" w:hAnsi="Arial" w:cs="Arial"/>
          <w:sz w:val="22"/>
        </w:rPr>
        <w:t>因此，第 7 章阶段性成果表中的“top1% / top5% / top25% within25/相对 MAE”均不是全场整体指标，而是在对应高响应节点集合内单独统计得到。逐频 PSD 维度按每个结构方案-频率帧内的真实应力谱密度排序；最终 RMises 维度按每个结构方案内的最终 RMises 排序。</w:t>
      </w:r>
    </w:p>
    <w:p>
      <w:pPr>
        <w:pStyle w:val="2"/>
        <w:spacing w:before="320" w:after="120" w:line="288" w:lineRule="auto"/>
        <w:ind w:left="0"/>
        <w:jc w:val="left"/>
        <w:outlineLvl w:val="1"/>
      </w:pPr>
      <w:r>
        <w:rPr>
          <w:rFonts w:eastAsia="等线" w:ascii="Arial" w:hAnsi="Arial" w:cs="Arial"/>
          <w:b w:val="true"/>
          <w:sz w:val="32"/>
        </w:rPr>
        <w:t>7. 阶段性成果</w:t>
      </w:r>
    </w:p>
    <w:p>
      <w:pPr>
        <w:spacing w:before="120" w:after="120" w:line="288" w:lineRule="auto"/>
        <w:ind w:left="0" w:firstLine="420"/>
        <w:jc w:val="left"/>
      </w:pPr>
      <w:r>
        <w:rPr>
          <w:rFonts w:eastAsia="等线" w:ascii="Arial" w:hAnsi="Arial" w:cs="Arial"/>
          <w:sz w:val="22"/>
        </w:rPr>
        <w:t>终版模型已完成 100 轮训练，并在独立测试集上重算逐频 PSD 高响应分层指标和最终 RMises 指标。测试集逐频点规模约 1.35 亿，最终 RMises 评估覆盖 100 个结构方案。</w:t>
      </w:r>
    </w:p>
    <w:p>
      <w:pPr>
        <w:spacing w:before="120" w:after="60" w:line="288" w:lineRule="auto"/>
        <w:ind w:left="0"/>
        <w:jc w:val="center"/>
      </w:pPr>
      <w:r>
        <w:drawing>
          <wp:inline distT="0" distR="0" distB="0" distL="0">
            <wp:extent cx="5440680" cy="2343677"/>
            <wp:docPr id="22" name="tobdoc_result_overview" descr=""/>
            <a:graphic>
              <a:graphicData uri="http://schemas.openxmlformats.org/drawingml/2006/picture">
                <pic:pic>
                  <pic:nvPicPr>
                    <pic:cNvPr id="22" name="tobdoc_result_overview" descr=""/>
                    <pic:cNvPicPr>
                      <a:picLocks noChangeAspect="true"/>
                    </pic:cNvPicPr>
                  </pic:nvPicPr>
                  <pic:blipFill>
                    <a:blip r:embed="rId9"/>
                    <a:stretch>
                      <a:fillRect/>
                    </a:stretch>
                  </pic:blipFill>
                  <pic:spPr>
                    <a:xfrm>
                      <a:off x="0" y="0"/>
                      <a:ext cx="5440680" cy="2343677"/>
                    </a:xfrm>
                    <a:prstGeom prst="rect">
                      <a:avLst/>
                    </a:prstGeom>
                  </pic:spPr>
                </pic:pic>
              </a:graphicData>
            </a:graphic>
          </wp:inline>
        </w:drawing>
      </w:r>
    </w:p>
    <w:p>
      <w:pPr>
        <w:spacing w:before="60" w:after="120" w:line="288" w:lineRule="auto"/>
        <w:ind w:left="0"/>
        <w:jc w:val="center"/>
      </w:pPr>
      <w:r>
        <w:rPr>
          <w:rFonts w:eastAsia="等线" w:ascii="Arial" w:hAnsi="Arial" w:cs="Arial"/>
          <w:color w:val="64748B"/>
          <w:sz w:val="18"/>
        </w:rPr>
        <w:t>图 7-1 终版模型独立测试集总体效果</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firstRow="1" w:noHBand="0" w:noVBand="1"/>
      </w:tblPr>
      <w:tr>
        <w:tc>
          <w:tcPr>
            <w:tcW w:w="1350" w:type="dxa"/>
            <w:shd w:fill="1F4E79"/>
            <w:vAlign w:val="center"/>
          </w:tcPr>
          <w:p>
            <w:pPr>
              <w:spacing w:before="40" w:after="40" w:line="250" w:lineRule="auto"/>
              <w:ind w:left="0"/>
              <w:jc w:val="center"/>
            </w:pPr>
            <w:r>
              <w:rPr>
                <w:rFonts w:eastAsia="等线" w:ascii="Arial" w:hAnsi="Arial" w:cs="Arial"/>
                <w:b w:val="true"/>
                <w:color w:val="FFFFFF"/>
                <w:sz w:val="16"/>
              </w:rPr>
              <w:t>评估区域</w:t>
            </w:r>
          </w:p>
        </w:tc>
        <w:tc>
          <w:tcPr>
            <w:tcW w:w="1700" w:type="dxa"/>
            <w:shd w:fill="1F4E79"/>
            <w:vAlign w:val="center"/>
          </w:tcPr>
          <w:p>
            <w:pPr>
              <w:spacing w:before="40" w:after="40" w:line="250" w:lineRule="auto"/>
              <w:ind w:left="0"/>
              <w:jc w:val="center"/>
            </w:pPr>
            <w:r>
              <w:rPr>
                <w:rFonts w:eastAsia="等线" w:ascii="Arial" w:hAnsi="Arial" w:cs="Arial"/>
                <w:b w:val="true"/>
                <w:color w:val="FFFFFF"/>
                <w:sz w:val="16"/>
              </w:rPr>
              <w:t>评估维度</w:t>
            </w:r>
          </w:p>
        </w:tc>
        <w:tc>
          <w:tcPr>
            <w:tcW w:w="2500" w:type="dxa"/>
            <w:shd w:fill="1F4E79"/>
            <w:vAlign w:val="center"/>
          </w:tcPr>
          <w:p>
            <w:pPr>
              <w:spacing w:before="40" w:after="40" w:line="250" w:lineRule="auto"/>
              <w:ind w:left="0"/>
              <w:jc w:val="center"/>
            </w:pPr>
            <w:r>
              <w:rPr>
                <w:rFonts w:eastAsia="等线" w:ascii="Arial" w:hAnsi="Arial" w:cs="Arial"/>
                <w:b w:val="true"/>
                <w:color w:val="FFFFFF"/>
                <w:sz w:val="16"/>
              </w:rPr>
              <w:t>整体
within25/相对MAE</w:t>
            </w:r>
          </w:p>
        </w:tc>
        <w:tc>
          <w:tcPr>
            <w:tcW w:w="2500" w:type="dxa"/>
            <w:shd w:fill="1F4E79"/>
            <w:vAlign w:val="center"/>
          </w:tcPr>
          <w:p>
            <w:pPr>
              <w:spacing w:before="40" w:after="40" w:line="250" w:lineRule="auto"/>
              <w:ind w:left="0"/>
              <w:jc w:val="center"/>
            </w:pPr>
            <w:r>
              <w:rPr>
                <w:rFonts w:eastAsia="等线" w:ascii="Arial" w:hAnsi="Arial" w:cs="Arial"/>
                <w:b w:val="true"/>
                <w:color w:val="FFFFFF"/>
                <w:sz w:val="16"/>
              </w:rPr>
              <w:t>top1%
within25/相对MAE</w:t>
            </w:r>
          </w:p>
        </w:tc>
        <w:tc>
          <w:tcPr>
            <w:tcW w:w="2500" w:type="dxa"/>
            <w:shd w:fill="1F4E79"/>
            <w:vAlign w:val="center"/>
          </w:tcPr>
          <w:p>
            <w:pPr>
              <w:spacing w:before="40" w:after="40" w:line="250" w:lineRule="auto"/>
              <w:ind w:left="0"/>
              <w:jc w:val="center"/>
            </w:pPr>
            <w:r>
              <w:rPr>
                <w:rFonts w:eastAsia="等线" w:ascii="Arial" w:hAnsi="Arial" w:cs="Arial"/>
                <w:b w:val="true"/>
                <w:color w:val="FFFFFF"/>
                <w:sz w:val="16"/>
              </w:rPr>
              <w:t>top5%
within25/相对MAE</w:t>
            </w:r>
          </w:p>
        </w:tc>
        <w:tc>
          <w:tcPr>
            <w:tcW w:w="2500" w:type="dxa"/>
            <w:shd w:fill="1F4E79"/>
            <w:vAlign w:val="center"/>
          </w:tcPr>
          <w:p>
            <w:pPr>
              <w:spacing w:before="40" w:after="40" w:line="250" w:lineRule="auto"/>
              <w:ind w:left="0"/>
              <w:jc w:val="center"/>
            </w:pPr>
            <w:r>
              <w:rPr>
                <w:rFonts w:eastAsia="等线" w:ascii="Arial" w:hAnsi="Arial" w:cs="Arial"/>
                <w:b w:val="true"/>
                <w:color w:val="FFFFFF"/>
                <w:sz w:val="16"/>
              </w:rPr>
              <w:t>top25%
within25/相对MAE</w:t>
            </w:r>
          </w:p>
        </w:tc>
      </w:tr>
      <w:tr>
        <w:tc>
          <w:tcPr>
            <w:tcW w:w="1350" w:type="dxa"/>
            <w:shd w:fill="FFFFFF"/>
            <w:vAlign w:val="center"/>
          </w:tcPr>
          <w:p>
            <w:pPr>
              <w:spacing w:before="40" w:after="40" w:line="250" w:lineRule="auto"/>
              <w:ind w:left="0"/>
              <w:jc w:val="left"/>
            </w:pPr>
            <w:r>
              <w:rPr>
                <w:rFonts w:eastAsia="等线" w:ascii="Arial" w:hAnsi="Arial" w:cs="Arial"/>
                <w:sz w:val="16"/>
              </w:rPr>
              <w:t>全零件</w:t>
            </w:r>
          </w:p>
        </w:tc>
        <w:tc>
          <w:tcPr>
            <w:tcW w:w="1700" w:type="dxa"/>
            <w:shd w:fill="FFFFFF"/>
            <w:vAlign w:val="center"/>
          </w:tcPr>
          <w:p>
            <w:pPr>
              <w:spacing w:before="40" w:after="40" w:line="250" w:lineRule="auto"/>
              <w:ind w:left="0"/>
              <w:jc w:val="left"/>
            </w:pPr>
            <w:r>
              <w:rPr>
                <w:rFonts w:eastAsia="等线" w:ascii="Arial" w:hAnsi="Arial" w:cs="Arial"/>
                <w:sz w:val="16"/>
              </w:rPr>
              <w:t>逐频 PSD</w:t>
            </w:r>
          </w:p>
        </w:tc>
        <w:tc>
          <w:tcPr>
            <w:tcW w:w="2500" w:type="dxa"/>
            <w:shd w:fill="FFFFFF"/>
            <w:vAlign w:val="center"/>
          </w:tcPr>
          <w:p>
            <w:pPr>
              <w:spacing w:before="40" w:after="40" w:line="250" w:lineRule="auto"/>
              <w:ind w:left="0"/>
              <w:jc w:val="left"/>
            </w:pPr>
            <w:r>
              <w:rPr>
                <w:rFonts w:eastAsia="等线" w:ascii="Arial" w:hAnsi="Arial" w:cs="Arial"/>
                <w:sz w:val="16"/>
              </w:rPr>
              <w:t>85.38% / 17.11%</w:t>
            </w:r>
          </w:p>
        </w:tc>
        <w:tc>
          <w:tcPr>
            <w:tcW w:w="2500" w:type="dxa"/>
            <w:shd w:fill="FFFFFF"/>
            <w:vAlign w:val="center"/>
          </w:tcPr>
          <w:p>
            <w:pPr>
              <w:spacing w:before="40" w:after="40" w:line="250" w:lineRule="auto"/>
              <w:ind w:left="0"/>
              <w:jc w:val="left"/>
            </w:pPr>
            <w:r>
              <w:rPr>
                <w:rFonts w:eastAsia="等线" w:ascii="Arial" w:hAnsi="Arial" w:cs="Arial"/>
                <w:sz w:val="16"/>
              </w:rPr>
              <w:t>78.15% / 16.91%</w:t>
            </w:r>
          </w:p>
        </w:tc>
        <w:tc>
          <w:tcPr>
            <w:tcW w:w="2500" w:type="dxa"/>
            <w:shd w:fill="FFFFFF"/>
            <w:vAlign w:val="center"/>
          </w:tcPr>
          <w:p>
            <w:pPr>
              <w:spacing w:before="40" w:after="40" w:line="250" w:lineRule="auto"/>
              <w:ind w:left="0"/>
              <w:jc w:val="left"/>
            </w:pPr>
            <w:r>
              <w:rPr>
                <w:rFonts w:eastAsia="等线" w:ascii="Arial" w:hAnsi="Arial" w:cs="Arial"/>
                <w:sz w:val="16"/>
              </w:rPr>
              <w:t>74.36% / 19.53%</w:t>
            </w:r>
          </w:p>
        </w:tc>
        <w:tc>
          <w:tcPr>
            <w:tcW w:w="2500" w:type="dxa"/>
            <w:shd w:fill="FFFFFF"/>
            <w:vAlign w:val="center"/>
          </w:tcPr>
          <w:p>
            <w:pPr>
              <w:spacing w:before="40" w:after="40" w:line="250" w:lineRule="auto"/>
              <w:ind w:left="0"/>
              <w:jc w:val="left"/>
            </w:pPr>
            <w:r>
              <w:rPr>
                <w:rFonts w:eastAsia="等线" w:ascii="Arial" w:hAnsi="Arial" w:cs="Arial"/>
                <w:sz w:val="16"/>
              </w:rPr>
              <w:t>71.25% / 22.47%</w:t>
            </w:r>
          </w:p>
        </w:tc>
      </w:tr>
      <w:tr>
        <w:tc>
          <w:tcPr>
            <w:tcW w:w="1350" w:type="dxa"/>
            <w:shd w:fill="FFFFFF"/>
            <w:vAlign w:val="center"/>
          </w:tcPr>
          <w:p>
            <w:pPr>
              <w:spacing w:before="40" w:after="40" w:line="250" w:lineRule="auto"/>
              <w:ind w:left="0"/>
              <w:jc w:val="left"/>
            </w:pPr>
            <w:r>
              <w:rPr>
                <w:rFonts w:eastAsia="等线" w:ascii="Arial" w:hAnsi="Arial" w:cs="Arial"/>
                <w:sz w:val="16"/>
              </w:rPr>
              <w:t>全零件</w:t>
            </w:r>
          </w:p>
        </w:tc>
        <w:tc>
          <w:tcPr>
            <w:tcW w:w="1700" w:type="dxa"/>
            <w:shd w:fill="FFFFFF"/>
            <w:vAlign w:val="center"/>
          </w:tcPr>
          <w:p>
            <w:pPr>
              <w:spacing w:before="40" w:after="40" w:line="250" w:lineRule="auto"/>
              <w:ind w:left="0"/>
              <w:jc w:val="left"/>
            </w:pPr>
            <w:r>
              <w:rPr>
                <w:rFonts w:eastAsia="等线" w:ascii="Arial" w:hAnsi="Arial" w:cs="Arial"/>
                <w:sz w:val="16"/>
              </w:rPr>
              <w:t>最终 RMises</w:t>
            </w:r>
          </w:p>
        </w:tc>
        <w:tc>
          <w:tcPr>
            <w:tcW w:w="2500" w:type="dxa"/>
            <w:shd w:fill="FFFFFF"/>
            <w:vAlign w:val="center"/>
          </w:tcPr>
          <w:p>
            <w:pPr>
              <w:spacing w:before="40" w:after="40" w:line="250" w:lineRule="auto"/>
              <w:ind w:left="0"/>
              <w:jc w:val="left"/>
            </w:pPr>
            <w:r>
              <w:rPr>
                <w:rFonts w:eastAsia="等线" w:ascii="Arial" w:hAnsi="Arial" w:cs="Arial"/>
                <w:sz w:val="16"/>
              </w:rPr>
              <w:t>90.10% / 12.39%</w:t>
            </w:r>
          </w:p>
        </w:tc>
        <w:tc>
          <w:tcPr>
            <w:tcW w:w="2500" w:type="dxa"/>
            <w:shd w:fill="FFFFFF"/>
            <w:vAlign w:val="center"/>
          </w:tcPr>
          <w:p>
            <w:pPr>
              <w:spacing w:before="40" w:after="40" w:line="250" w:lineRule="auto"/>
              <w:ind w:left="0"/>
              <w:jc w:val="left"/>
            </w:pPr>
            <w:r>
              <w:rPr>
                <w:rFonts w:eastAsia="等线" w:ascii="Arial" w:hAnsi="Arial" w:cs="Arial"/>
                <w:sz w:val="16"/>
              </w:rPr>
              <w:t>95.67% / 8.61%</w:t>
            </w:r>
          </w:p>
        </w:tc>
        <w:tc>
          <w:tcPr>
            <w:tcW w:w="2500" w:type="dxa"/>
            <w:shd w:fill="FFFFFF"/>
            <w:vAlign w:val="center"/>
          </w:tcPr>
          <w:p>
            <w:pPr>
              <w:spacing w:before="40" w:after="40" w:line="250" w:lineRule="auto"/>
              <w:ind w:left="0"/>
              <w:jc w:val="left"/>
            </w:pPr>
            <w:r>
              <w:rPr>
                <w:rFonts w:eastAsia="等线" w:ascii="Arial" w:hAnsi="Arial" w:cs="Arial"/>
                <w:sz w:val="16"/>
              </w:rPr>
              <w:t>94.75% / 9.40%</w:t>
            </w:r>
          </w:p>
        </w:tc>
        <w:tc>
          <w:tcPr>
            <w:tcW w:w="2500" w:type="dxa"/>
            <w:shd w:fill="FFFFFF"/>
            <w:vAlign w:val="center"/>
          </w:tcPr>
          <w:p>
            <w:pPr>
              <w:spacing w:before="40" w:after="40" w:line="250" w:lineRule="auto"/>
              <w:ind w:left="0"/>
              <w:jc w:val="left"/>
            </w:pPr>
            <w:r>
              <w:rPr>
                <w:rFonts w:eastAsia="等线" w:ascii="Arial" w:hAnsi="Arial" w:cs="Arial"/>
                <w:sz w:val="16"/>
              </w:rPr>
              <w:t>89.47% / 12.36%</w:t>
            </w:r>
          </w:p>
        </w:tc>
      </w:tr>
      <w:tr>
        <w:tc>
          <w:tcPr>
            <w:tcW w:w="1350" w:type="dxa"/>
            <w:shd w:fill="FFFFFF"/>
            <w:vAlign w:val="center"/>
          </w:tcPr>
          <w:p>
            <w:pPr>
              <w:spacing w:before="40" w:after="40" w:line="250" w:lineRule="auto"/>
              <w:ind w:left="0"/>
              <w:jc w:val="left"/>
            </w:pPr>
            <w:r>
              <w:rPr>
                <w:rFonts w:eastAsia="等线" w:ascii="Arial" w:hAnsi="Arial" w:cs="Arial"/>
                <w:sz w:val="16"/>
              </w:rPr>
              <w:t>耳片区域</w:t>
            </w:r>
          </w:p>
        </w:tc>
        <w:tc>
          <w:tcPr>
            <w:tcW w:w="1700" w:type="dxa"/>
            <w:shd w:fill="FFFFFF"/>
            <w:vAlign w:val="center"/>
          </w:tcPr>
          <w:p>
            <w:pPr>
              <w:spacing w:before="40" w:after="40" w:line="250" w:lineRule="auto"/>
              <w:ind w:left="0"/>
              <w:jc w:val="left"/>
            </w:pPr>
            <w:r>
              <w:rPr>
                <w:rFonts w:eastAsia="等线" w:ascii="Arial" w:hAnsi="Arial" w:cs="Arial"/>
                <w:sz w:val="16"/>
              </w:rPr>
              <w:t>逐频 PSD</w:t>
            </w:r>
          </w:p>
        </w:tc>
        <w:tc>
          <w:tcPr>
            <w:tcW w:w="2500" w:type="dxa"/>
            <w:shd w:fill="FFFFFF"/>
            <w:vAlign w:val="center"/>
          </w:tcPr>
          <w:p>
            <w:pPr>
              <w:spacing w:before="40" w:after="40" w:line="250" w:lineRule="auto"/>
              <w:ind w:left="0"/>
              <w:jc w:val="left"/>
            </w:pPr>
            <w:r>
              <w:rPr>
                <w:rFonts w:eastAsia="等线" w:ascii="Arial" w:hAnsi="Arial" w:cs="Arial"/>
                <w:sz w:val="16"/>
              </w:rPr>
              <w:t>68.28% / 37.10%</w:t>
            </w:r>
          </w:p>
        </w:tc>
        <w:tc>
          <w:tcPr>
            <w:tcW w:w="2500" w:type="dxa"/>
            <w:shd w:fill="FFFFFF"/>
            <w:vAlign w:val="center"/>
          </w:tcPr>
          <w:p>
            <w:pPr>
              <w:spacing w:before="40" w:after="40" w:line="250" w:lineRule="auto"/>
              <w:ind w:left="0"/>
              <w:jc w:val="left"/>
            </w:pPr>
            <w:r>
              <w:rPr>
                <w:rFonts w:eastAsia="等线" w:ascii="Arial" w:hAnsi="Arial" w:cs="Arial"/>
                <w:sz w:val="16"/>
              </w:rPr>
              <w:t>80.84% / 15.50%</w:t>
            </w:r>
          </w:p>
        </w:tc>
        <w:tc>
          <w:tcPr>
            <w:tcW w:w="2500" w:type="dxa"/>
            <w:shd w:fill="FFFFFF"/>
            <w:vAlign w:val="center"/>
          </w:tcPr>
          <w:p>
            <w:pPr>
              <w:spacing w:before="40" w:after="40" w:line="250" w:lineRule="auto"/>
              <w:ind w:left="0"/>
              <w:jc w:val="left"/>
            </w:pPr>
            <w:r>
              <w:rPr>
                <w:rFonts w:eastAsia="等线" w:ascii="Arial" w:hAnsi="Arial" w:cs="Arial"/>
                <w:sz w:val="16"/>
              </w:rPr>
              <w:t>77.34% / 17.47%</w:t>
            </w:r>
          </w:p>
        </w:tc>
        <w:tc>
          <w:tcPr>
            <w:tcW w:w="2500" w:type="dxa"/>
            <w:shd w:fill="FFFFFF"/>
            <w:vAlign w:val="center"/>
          </w:tcPr>
          <w:p>
            <w:pPr>
              <w:spacing w:before="40" w:after="40" w:line="250" w:lineRule="auto"/>
              <w:ind w:left="0"/>
              <w:jc w:val="left"/>
            </w:pPr>
            <w:r>
              <w:rPr>
                <w:rFonts w:eastAsia="等线" w:ascii="Arial" w:hAnsi="Arial" w:cs="Arial"/>
                <w:sz w:val="16"/>
              </w:rPr>
              <w:t>73.06% / 20.80%</w:t>
            </w:r>
          </w:p>
        </w:tc>
      </w:tr>
      <w:tr>
        <w:tc>
          <w:tcPr>
            <w:tcW w:w="1350" w:type="dxa"/>
            <w:shd w:fill="FFFFFF"/>
            <w:vAlign w:val="center"/>
          </w:tcPr>
          <w:p>
            <w:pPr>
              <w:spacing w:before="40" w:after="40" w:line="250" w:lineRule="auto"/>
              <w:ind w:left="0"/>
              <w:jc w:val="left"/>
            </w:pPr>
            <w:r>
              <w:rPr>
                <w:rFonts w:eastAsia="等线" w:ascii="Arial" w:hAnsi="Arial" w:cs="Arial"/>
                <w:sz w:val="16"/>
              </w:rPr>
              <w:t>耳片区域</w:t>
            </w:r>
          </w:p>
        </w:tc>
        <w:tc>
          <w:tcPr>
            <w:tcW w:w="1700" w:type="dxa"/>
            <w:shd w:fill="FFFFFF"/>
            <w:vAlign w:val="center"/>
          </w:tcPr>
          <w:p>
            <w:pPr>
              <w:spacing w:before="40" w:after="40" w:line="250" w:lineRule="auto"/>
              <w:ind w:left="0"/>
              <w:jc w:val="left"/>
            </w:pPr>
            <w:r>
              <w:rPr>
                <w:rFonts w:eastAsia="等线" w:ascii="Arial" w:hAnsi="Arial" w:cs="Arial"/>
                <w:sz w:val="16"/>
              </w:rPr>
              <w:t>最终 RMises</w:t>
            </w:r>
          </w:p>
        </w:tc>
        <w:tc>
          <w:tcPr>
            <w:tcW w:w="2500" w:type="dxa"/>
            <w:shd w:fill="FFFFFF"/>
            <w:vAlign w:val="center"/>
          </w:tcPr>
          <w:p>
            <w:pPr>
              <w:spacing w:before="40" w:after="40" w:line="250" w:lineRule="auto"/>
              <w:ind w:left="0"/>
              <w:jc w:val="left"/>
            </w:pPr>
            <w:r>
              <w:rPr>
                <w:rFonts w:eastAsia="等线" w:ascii="Arial" w:hAnsi="Arial" w:cs="Arial"/>
                <w:sz w:val="16"/>
              </w:rPr>
              <w:t>81.47% / 20.15%</w:t>
            </w:r>
          </w:p>
        </w:tc>
        <w:tc>
          <w:tcPr>
            <w:tcW w:w="2500" w:type="dxa"/>
            <w:shd w:fill="FFFFFF"/>
            <w:vAlign w:val="center"/>
          </w:tcPr>
          <w:p>
            <w:pPr>
              <w:spacing w:before="40" w:after="40" w:line="250" w:lineRule="auto"/>
              <w:ind w:left="0"/>
              <w:jc w:val="left"/>
            </w:pPr>
            <w:r>
              <w:rPr>
                <w:rFonts w:eastAsia="等线" w:ascii="Arial" w:hAnsi="Arial" w:cs="Arial"/>
                <w:sz w:val="16"/>
              </w:rPr>
              <w:t>95.66% / 8.74%</w:t>
            </w:r>
          </w:p>
        </w:tc>
        <w:tc>
          <w:tcPr>
            <w:tcW w:w="2500" w:type="dxa"/>
            <w:shd w:fill="FFFFFF"/>
            <w:vAlign w:val="center"/>
          </w:tcPr>
          <w:p>
            <w:pPr>
              <w:spacing w:before="40" w:after="40" w:line="250" w:lineRule="auto"/>
              <w:ind w:left="0"/>
              <w:jc w:val="left"/>
            </w:pPr>
            <w:r>
              <w:rPr>
                <w:rFonts w:eastAsia="等线" w:ascii="Arial" w:hAnsi="Arial" w:cs="Arial"/>
                <w:sz w:val="16"/>
              </w:rPr>
              <w:t>95.70% / 8.69%</w:t>
            </w:r>
          </w:p>
        </w:tc>
        <w:tc>
          <w:tcPr>
            <w:tcW w:w="2500" w:type="dxa"/>
            <w:shd w:fill="FFFFFF"/>
            <w:vAlign w:val="center"/>
          </w:tcPr>
          <w:p>
            <w:pPr>
              <w:spacing w:before="40" w:after="40" w:line="250" w:lineRule="auto"/>
              <w:ind w:left="0"/>
              <w:jc w:val="left"/>
            </w:pPr>
            <w:r>
              <w:rPr>
                <w:rFonts w:eastAsia="等线" w:ascii="Arial" w:hAnsi="Arial" w:cs="Arial"/>
                <w:sz w:val="16"/>
              </w:rPr>
              <w:t>94.32% / 9.65%</w:t>
            </w:r>
          </w:p>
        </w:tc>
      </w:tr>
      <w:tr>
        <w:tc>
          <w:tcPr>
            <w:tcW w:w="1350" w:type="dxa"/>
            <w:shd w:fill="FFFFFF"/>
            <w:vAlign w:val="center"/>
          </w:tcPr>
          <w:p>
            <w:pPr>
              <w:spacing w:before="40" w:after="40" w:line="250" w:lineRule="auto"/>
              <w:ind w:left="0"/>
              <w:jc w:val="left"/>
            </w:pPr>
            <w:r>
              <w:rPr>
                <w:rFonts w:eastAsia="等线" w:ascii="Arial" w:hAnsi="Arial" w:cs="Arial"/>
                <w:sz w:val="16"/>
              </w:rPr>
              <w:t>圆盘区域</w:t>
            </w:r>
          </w:p>
        </w:tc>
        <w:tc>
          <w:tcPr>
            <w:tcW w:w="1700" w:type="dxa"/>
            <w:shd w:fill="FFFFFF"/>
            <w:vAlign w:val="center"/>
          </w:tcPr>
          <w:p>
            <w:pPr>
              <w:spacing w:before="40" w:after="40" w:line="250" w:lineRule="auto"/>
              <w:ind w:left="0"/>
              <w:jc w:val="left"/>
            </w:pPr>
            <w:r>
              <w:rPr>
                <w:rFonts w:eastAsia="等线" w:ascii="Arial" w:hAnsi="Arial" w:cs="Arial"/>
                <w:sz w:val="16"/>
              </w:rPr>
              <w:t>逐频 PSD</w:t>
            </w:r>
          </w:p>
        </w:tc>
        <w:tc>
          <w:tcPr>
            <w:tcW w:w="2500" w:type="dxa"/>
            <w:shd w:fill="FFFFFF"/>
            <w:vAlign w:val="center"/>
          </w:tcPr>
          <w:p>
            <w:pPr>
              <w:spacing w:before="40" w:after="40" w:line="250" w:lineRule="auto"/>
              <w:ind w:left="0"/>
              <w:jc w:val="left"/>
            </w:pPr>
            <w:r>
              <w:rPr>
                <w:rFonts w:eastAsia="等线" w:ascii="Arial" w:hAnsi="Arial" w:cs="Arial"/>
                <w:sz w:val="16"/>
              </w:rPr>
              <w:t>90.61% / 10.99%</w:t>
            </w:r>
          </w:p>
        </w:tc>
        <w:tc>
          <w:tcPr>
            <w:tcW w:w="2500" w:type="dxa"/>
            <w:shd w:fill="FFFFFF"/>
            <w:vAlign w:val="center"/>
          </w:tcPr>
          <w:p>
            <w:pPr>
              <w:spacing w:before="40" w:after="40" w:line="250" w:lineRule="auto"/>
              <w:ind w:left="0"/>
              <w:jc w:val="left"/>
            </w:pPr>
            <w:r>
              <w:rPr>
                <w:rFonts w:eastAsia="等线" w:ascii="Arial" w:hAnsi="Arial" w:cs="Arial"/>
                <w:sz w:val="16"/>
              </w:rPr>
              <w:t>74.08% / 17.28%</w:t>
            </w:r>
          </w:p>
        </w:tc>
        <w:tc>
          <w:tcPr>
            <w:tcW w:w="2500" w:type="dxa"/>
            <w:shd w:fill="FFFFFF"/>
            <w:vAlign w:val="center"/>
          </w:tcPr>
          <w:p>
            <w:pPr>
              <w:spacing w:before="40" w:after="40" w:line="250" w:lineRule="auto"/>
              <w:ind w:left="0"/>
              <w:jc w:val="left"/>
            </w:pPr>
            <w:r>
              <w:rPr>
                <w:rFonts w:eastAsia="等线" w:ascii="Arial" w:hAnsi="Arial" w:cs="Arial"/>
                <w:sz w:val="16"/>
              </w:rPr>
              <w:t>71.84% / 18.65%</w:t>
            </w:r>
          </w:p>
        </w:tc>
        <w:tc>
          <w:tcPr>
            <w:tcW w:w="2500" w:type="dxa"/>
            <w:shd w:fill="FFFFFF"/>
            <w:vAlign w:val="center"/>
          </w:tcPr>
          <w:p>
            <w:pPr>
              <w:spacing w:before="40" w:after="40" w:line="250" w:lineRule="auto"/>
              <w:ind w:left="0"/>
              <w:jc w:val="left"/>
            </w:pPr>
            <w:r>
              <w:rPr>
                <w:rFonts w:eastAsia="等线" w:ascii="Arial" w:hAnsi="Arial" w:cs="Arial"/>
                <w:sz w:val="16"/>
              </w:rPr>
              <w:t>77.36% / 17.95%</w:t>
            </w:r>
          </w:p>
        </w:tc>
      </w:tr>
      <w:tr>
        <w:tc>
          <w:tcPr>
            <w:tcW w:w="1350" w:type="dxa"/>
            <w:shd w:fill="FFFFFF"/>
            <w:vAlign w:val="center"/>
          </w:tcPr>
          <w:p>
            <w:pPr>
              <w:spacing w:before="40" w:after="40" w:line="250" w:lineRule="auto"/>
              <w:ind w:left="0"/>
              <w:jc w:val="left"/>
            </w:pPr>
            <w:r>
              <w:rPr>
                <w:rFonts w:eastAsia="等线" w:ascii="Arial" w:hAnsi="Arial" w:cs="Arial"/>
                <w:sz w:val="16"/>
              </w:rPr>
              <w:t>圆盘区域</w:t>
            </w:r>
          </w:p>
        </w:tc>
        <w:tc>
          <w:tcPr>
            <w:tcW w:w="1700" w:type="dxa"/>
            <w:shd w:fill="FFFFFF"/>
            <w:vAlign w:val="center"/>
          </w:tcPr>
          <w:p>
            <w:pPr>
              <w:spacing w:before="40" w:after="40" w:line="250" w:lineRule="auto"/>
              <w:ind w:left="0"/>
              <w:jc w:val="left"/>
            </w:pPr>
            <w:r>
              <w:rPr>
                <w:rFonts w:eastAsia="等线" w:ascii="Arial" w:hAnsi="Arial" w:cs="Arial"/>
                <w:sz w:val="16"/>
              </w:rPr>
              <w:t>最终 RMises</w:t>
            </w:r>
          </w:p>
        </w:tc>
        <w:tc>
          <w:tcPr>
            <w:tcW w:w="2500" w:type="dxa"/>
            <w:shd w:fill="FFFFFF"/>
            <w:vAlign w:val="center"/>
          </w:tcPr>
          <w:p>
            <w:pPr>
              <w:spacing w:before="40" w:after="40" w:line="250" w:lineRule="auto"/>
              <w:ind w:left="0"/>
              <w:jc w:val="left"/>
            </w:pPr>
            <w:r>
              <w:rPr>
                <w:rFonts w:eastAsia="等线" w:ascii="Arial" w:hAnsi="Arial" w:cs="Arial"/>
                <w:sz w:val="16"/>
              </w:rPr>
              <w:t>92.75% / 10.00%</w:t>
            </w:r>
          </w:p>
        </w:tc>
        <w:tc>
          <w:tcPr>
            <w:tcW w:w="2500" w:type="dxa"/>
            <w:shd w:fill="FFFFFF"/>
            <w:vAlign w:val="center"/>
          </w:tcPr>
          <w:p>
            <w:pPr>
              <w:spacing w:before="40" w:after="40" w:line="250" w:lineRule="auto"/>
              <w:ind w:left="0"/>
              <w:jc w:val="left"/>
            </w:pPr>
            <w:r>
              <w:rPr>
                <w:rFonts w:eastAsia="等线" w:ascii="Arial" w:hAnsi="Arial" w:cs="Arial"/>
                <w:sz w:val="16"/>
              </w:rPr>
              <w:t>94.38% / 10.12%</w:t>
            </w:r>
          </w:p>
        </w:tc>
        <w:tc>
          <w:tcPr>
            <w:tcW w:w="2500" w:type="dxa"/>
            <w:shd w:fill="FFFFFF"/>
            <w:vAlign w:val="center"/>
          </w:tcPr>
          <w:p>
            <w:pPr>
              <w:spacing w:before="40" w:after="40" w:line="250" w:lineRule="auto"/>
              <w:ind w:left="0"/>
              <w:jc w:val="left"/>
            </w:pPr>
            <w:r>
              <w:rPr>
                <w:rFonts w:eastAsia="等线" w:ascii="Arial" w:hAnsi="Arial" w:cs="Arial"/>
                <w:sz w:val="16"/>
              </w:rPr>
              <w:t>92.12% / 11.13%</w:t>
            </w:r>
          </w:p>
        </w:tc>
        <w:tc>
          <w:tcPr>
            <w:tcW w:w="2500" w:type="dxa"/>
            <w:shd w:fill="FFFFFF"/>
            <w:vAlign w:val="center"/>
          </w:tcPr>
          <w:p>
            <w:pPr>
              <w:spacing w:before="40" w:after="40" w:line="250" w:lineRule="auto"/>
              <w:ind w:left="0"/>
              <w:jc w:val="left"/>
            </w:pPr>
            <w:r>
              <w:rPr>
                <w:rFonts w:eastAsia="等线" w:ascii="Arial" w:hAnsi="Arial" w:cs="Arial"/>
                <w:sz w:val="16"/>
              </w:rPr>
              <w:t>85.25% / 15.05%</w:t>
            </w:r>
          </w:p>
        </w:tc>
      </w:tr>
    </w:tbl>
    <w:p>
      <w:pPr>
        <w:spacing w:before="120" w:after="120" w:line="288" w:lineRule="auto"/>
        <w:ind w:left="0" w:firstLine="420"/>
        <w:jc w:val="left"/>
      </w:pPr>
      <w:r>
        <w:rPr>
          <w:rFonts w:eastAsia="等线" w:ascii="Arial" w:hAnsi="Arial" w:cs="Arial"/>
          <w:sz w:val="22"/>
        </w:rPr>
        <w:t>从结果看，RMises 维度整体更接近工程使用需求：全零件、耳片区域和圆盘区域的 overall within25 分别达到 90.10%、81.47% 和 92.75%。耳片逐频 PSD 的 overall 指标仍低于其他区域，但在最终 RMises 的 top1% 到 top25% 热点区间内均达到 94% 以上，说明高风险节点排序和最终危险区域捕捉能力较强。</w:t>
      </w:r>
    </w:p>
    <w:p>
      <w:pPr>
        <w:spacing w:before="120" w:after="60" w:line="288" w:lineRule="auto"/>
        <w:ind w:left="0"/>
        <w:jc w:val="center"/>
      </w:pPr>
      <w:r>
        <w:drawing>
          <wp:inline distT="0" distR="0" distB="0" distL="0">
            <wp:extent cx="5440680" cy="2343677"/>
            <wp:docPr id="23" name="tobdoc_top_curve" descr=""/>
            <a:graphic>
              <a:graphicData uri="http://schemas.openxmlformats.org/drawingml/2006/picture">
                <pic:pic>
                  <pic:nvPicPr>
                    <pic:cNvPr id="23" name="tobdoc_top_curve" descr=""/>
                    <pic:cNvPicPr>
                      <a:picLocks noChangeAspect="true"/>
                    </pic:cNvPicPr>
                  </pic:nvPicPr>
                  <pic:blipFill>
                    <a:blip r:embed="rId10"/>
                    <a:stretch>
                      <a:fillRect/>
                    </a:stretch>
                  </pic:blipFill>
                  <pic:spPr>
                    <a:xfrm>
                      <a:off x="0" y="0"/>
                      <a:ext cx="5440680" cy="2343677"/>
                    </a:xfrm>
                    <a:prstGeom prst="rect">
                      <a:avLst/>
                    </a:prstGeom>
                  </pic:spPr>
                </pic:pic>
              </a:graphicData>
            </a:graphic>
          </wp:inline>
        </w:drawing>
      </w:r>
    </w:p>
    <w:p>
      <w:pPr>
        <w:spacing w:before="60" w:after="120" w:line="288" w:lineRule="auto"/>
        <w:ind w:left="0"/>
        <w:jc w:val="center"/>
      </w:pPr>
      <w:r>
        <w:rPr>
          <w:rFonts w:eastAsia="等线" w:ascii="Arial" w:hAnsi="Arial" w:cs="Arial"/>
          <w:color w:val="64748B"/>
          <w:sz w:val="18"/>
        </w:rPr>
        <w:t>图 7-2 高响应热点分层 within25 指标</w:t>
      </w:r>
    </w:p>
    <w:p>
      <w:pPr>
        <w:spacing w:before="120" w:after="120" w:line="288" w:lineRule="auto"/>
        <w:ind w:left="0" w:firstLine="420"/>
        <w:jc w:val="left"/>
      </w:pPr>
      <w:r>
        <w:rPr>
          <w:rFonts w:eastAsia="等线" w:ascii="Arial" w:hAnsi="Arial" w:cs="Arial"/>
          <w:sz w:val="22"/>
        </w:rPr>
        <w:t>除汇总指标外，本阶段还对整体指标表现较好的三个测试样本进行空间误差可视化，用于同时识别模型拟合稳定区域和需要重点复核的区域。由于模型同时输出逐频 PSD 和最终 RMises，空间图分为两个口径：逐频 PSD 图先对同一节点跨所有频率帧计算聚合相对误差，再映射到节点空间；最终 RMises 图则直接展示积分后的最终应力相对误差。图中颜色均表示相对误差：绿色代表相对误差接近 0、模型拟合较好的节点，黄色附近对应 25% 工程误差阈值，红色代表相对误差较高、需要重点关注的节点。</w:t>
      </w:r>
    </w:p>
    <w:p>
      <w:pPr>
        <w:spacing w:before="120" w:after="60" w:line="288" w:lineRule="auto"/>
        <w:ind w:left="0"/>
        <w:jc w:val="center"/>
      </w:pPr>
      <w:r>
        <w:drawing>
          <wp:inline distT="0" distR="0" distB="0" distL="0">
            <wp:extent cx="5440680" cy="4984535"/>
            <wp:docPr id="24" name="tobdoc_spatial_psd_cases" descr=""/>
            <a:graphic>
              <a:graphicData uri="http://schemas.openxmlformats.org/drawingml/2006/picture">
                <pic:pic>
                  <pic:nvPicPr>
                    <pic:cNvPr id="24" name="tobdoc_spatial_psd_cases" descr=""/>
                    <pic:cNvPicPr>
                      <a:picLocks noChangeAspect="true"/>
                    </pic:cNvPicPr>
                  </pic:nvPicPr>
                  <pic:blipFill>
                    <a:blip r:embed="rId11"/>
                    <a:stretch>
                      <a:fillRect/>
                    </a:stretch>
                  </pic:blipFill>
                  <pic:spPr>
                    <a:xfrm>
                      <a:off x="0" y="0"/>
                      <a:ext cx="5440680" cy="4984535"/>
                    </a:xfrm>
                    <a:prstGeom prst="rect">
                      <a:avLst/>
                    </a:prstGeom>
                  </pic:spPr>
                </pic:pic>
              </a:graphicData>
            </a:graphic>
          </wp:inline>
        </w:drawing>
      </w:r>
    </w:p>
    <w:p>
      <w:pPr>
        <w:spacing w:before="60" w:after="120" w:line="288" w:lineRule="auto"/>
        <w:ind w:left="0"/>
        <w:jc w:val="center"/>
      </w:pPr>
      <w:r>
        <w:rPr>
          <w:rFonts w:eastAsia="等线" w:ascii="Arial" w:hAnsi="Arial" w:cs="Arial"/>
          <w:color w:val="64748B"/>
          <w:sz w:val="18"/>
        </w:rPr>
        <w:t>图 7-3 三个表现较好测试样本的逐频 PSD 节点聚合相对误差分布（俯视图与侧视图）</w:t>
      </w:r>
    </w:p>
    <w:p>
      <w:pPr>
        <w:spacing w:before="120" w:after="120" w:line="288" w:lineRule="auto"/>
        <w:ind w:left="0" w:firstLine="420"/>
        <w:jc w:val="left"/>
      </w:pPr>
      <w:r>
        <w:rPr>
          <w:rFonts w:eastAsia="等线" w:ascii="Arial" w:hAnsi="Arial" w:cs="Arial"/>
          <w:sz w:val="22"/>
        </w:rPr>
        <w:t>图 7-3 反映的是频率响应过程的空间稳定性。图内标注的 within25 和相对 MAE 按逐频点统计，颜色则按每个节点跨频率帧的平均相对误差显示，因此可用于观察哪些空间位置在频率过程预测中更稳定，哪些位置在多个频率帧上反复出现较大误差。</w:t>
      </w:r>
    </w:p>
    <w:p>
      <w:pPr>
        <w:spacing w:before="120" w:after="60" w:line="288" w:lineRule="auto"/>
        <w:ind w:left="0"/>
        <w:jc w:val="center"/>
      </w:pPr>
      <w:r>
        <w:drawing>
          <wp:inline distT="0" distR="0" distB="0" distL="0">
            <wp:extent cx="5440680" cy="4984535"/>
            <wp:docPr id="25" name="tobdoc_spatial_cases" descr=""/>
            <a:graphic>
              <a:graphicData uri="http://schemas.openxmlformats.org/drawingml/2006/picture">
                <pic:pic>
                  <pic:nvPicPr>
                    <pic:cNvPr id="25" name="tobdoc_spatial_cases" descr=""/>
                    <pic:cNvPicPr>
                      <a:picLocks noChangeAspect="true"/>
                    </pic:cNvPicPr>
                  </pic:nvPicPr>
                  <pic:blipFill>
                    <a:blip r:embed="rId12"/>
                    <a:stretch>
                      <a:fillRect/>
                    </a:stretch>
                  </pic:blipFill>
                  <pic:spPr>
                    <a:xfrm>
                      <a:off x="0" y="0"/>
                      <a:ext cx="5440680" cy="4984535"/>
                    </a:xfrm>
                    <a:prstGeom prst="rect">
                      <a:avLst/>
                    </a:prstGeom>
                  </pic:spPr>
                </pic:pic>
              </a:graphicData>
            </a:graphic>
          </wp:inline>
        </w:drawing>
      </w:r>
    </w:p>
    <w:p>
      <w:pPr>
        <w:spacing w:before="60" w:after="120" w:line="288" w:lineRule="auto"/>
        <w:ind w:left="0"/>
        <w:jc w:val="center"/>
      </w:pPr>
      <w:r>
        <w:rPr>
          <w:rFonts w:eastAsia="等线" w:ascii="Arial" w:hAnsi="Arial" w:cs="Arial"/>
          <w:color w:val="64748B"/>
          <w:sz w:val="18"/>
        </w:rPr>
        <w:t>图 7-4 三个表现较好测试样本的全零件最终 RMises 相对误差分布（俯视图与侧视图）</w:t>
      </w:r>
    </w:p>
    <w:p>
      <w:pPr>
        <w:spacing w:before="120" w:after="120" w:line="288" w:lineRule="auto"/>
        <w:ind w:left="0" w:firstLine="420"/>
        <w:jc w:val="left"/>
      </w:pPr>
      <w:r>
        <w:rPr>
          <w:rFonts w:eastAsia="等线" w:ascii="Arial" w:hAnsi="Arial" w:cs="Arial"/>
          <w:sz w:val="22"/>
        </w:rPr>
        <w:t>图 7-4 反映的是最终 RMises 的逐节点相对误差分布。需要注意，空间误差图反映的是全零件逐节点相对误差分布，红色区域表示局部节点相对误差较高；但区域指标尤其是 topK 指标按高响应节点集合统计。耳片区域局部低/中响应节点可能出现较高相对误差，因此在图上更醒目；同时，耳片高响应热点节点的 RMises 预测稳定性较好，因此 top1% 到 top25% 指标仍表现更优。该现象说明模型对工程关注的耳片高风险热点已有较好捕捉能力，但耳片低/中响应背景区域仍是后续校准重点。</w:t>
      </w:r>
    </w:p>
    <w:p>
      <w:pPr>
        <w:pStyle w:val="3"/>
        <w:spacing w:before="260" w:after="100" w:line="288" w:lineRule="auto"/>
        <w:ind w:left="0"/>
        <w:jc w:val="left"/>
        <w:outlineLvl w:val="2"/>
      </w:pPr>
      <w:r>
        <w:rPr>
          <w:rFonts w:eastAsia="等线" w:ascii="Arial" w:hAnsi="Arial" w:cs="Arial"/>
          <w:b w:val="true"/>
          <w:sz w:val="26"/>
        </w:rPr>
        <w:t>7.1 与前序基线模型的对比</w:t>
      </w:r>
    </w:p>
    <w:p>
      <w:pPr>
        <w:spacing w:before="120" w:after="120" w:line="288" w:lineRule="auto"/>
        <w:ind w:left="0" w:firstLine="420"/>
        <w:jc w:val="left"/>
      </w:pPr>
      <w:r>
        <w:rPr>
          <w:rFonts w:eastAsia="等线" w:ascii="Arial" w:hAnsi="Arial" w:cs="Arial"/>
          <w:sz w:val="22"/>
        </w:rPr>
        <w:t>与未采用低响应阈值处理的前序基线模型相比，当前策略在逐频 PSD 维度显著改善了整体 within25，尤其是低响应背景点占比更高的圆盘区域。该对比用于说明训练目标口径调整对背景点主导问题的改善效果；由于两组模型评估口径不同，不应作为完全同口径的最终精度对比。</w:t>
      </w:r>
    </w:p>
    <w:p>
      <w:pPr>
        <w:spacing w:before="120" w:after="60" w:line="288" w:lineRule="auto"/>
        <w:ind w:left="0"/>
        <w:jc w:val="center"/>
      </w:pPr>
      <w:r>
        <w:drawing>
          <wp:inline distT="0" distR="0" distB="0" distL="0">
            <wp:extent cx="5440680" cy="3030126"/>
            <wp:docPr id="26" name="tobdoc_baseline" descr=""/>
            <a:graphic>
              <a:graphicData uri="http://schemas.openxmlformats.org/drawingml/2006/picture">
                <pic:pic>
                  <pic:nvPicPr>
                    <pic:cNvPr id="26" name="tobdoc_baseline" descr=""/>
                    <pic:cNvPicPr>
                      <a:picLocks noChangeAspect="true"/>
                    </pic:cNvPicPr>
                  </pic:nvPicPr>
                  <pic:blipFill>
                    <a:blip r:embed="rId13"/>
                    <a:stretch>
                      <a:fillRect/>
                    </a:stretch>
                  </pic:blipFill>
                  <pic:spPr>
                    <a:xfrm>
                      <a:off x="0" y="0"/>
                      <a:ext cx="5440680" cy="3030126"/>
                    </a:xfrm>
                    <a:prstGeom prst="rect">
                      <a:avLst/>
                    </a:prstGeom>
                  </pic:spPr>
                </pic:pic>
              </a:graphicData>
            </a:graphic>
          </wp:inline>
        </w:drawing>
      </w:r>
    </w:p>
    <w:p>
      <w:pPr>
        <w:spacing w:before="60" w:after="120" w:line="288" w:lineRule="auto"/>
        <w:ind w:left="0"/>
        <w:jc w:val="center"/>
      </w:pPr>
      <w:r>
        <w:rPr>
          <w:rFonts w:eastAsia="等线" w:ascii="Arial" w:hAnsi="Arial" w:cs="Arial"/>
          <w:color w:val="64748B"/>
          <w:sz w:val="18"/>
        </w:rPr>
        <w:t>图 7-5 前序基线模型与当前模型对比（逐频 PSD 维度）</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firstRow="1" w:noHBand="0" w:noVBand="1"/>
      </w:tblPr>
      <w:tr>
        <w:tc>
          <w:tcPr>
            <w:tcW w:w="2500" w:type="dxa"/>
            <w:shd w:fill="1F4E79"/>
            <w:vAlign w:val="center"/>
          </w:tcPr>
          <w:p>
            <w:pPr>
              <w:spacing w:before="40" w:after="40" w:line="250" w:lineRule="auto"/>
              <w:ind w:left="0"/>
              <w:jc w:val="center"/>
            </w:pPr>
            <w:r>
              <w:rPr>
                <w:rFonts w:eastAsia="等线" w:ascii="Arial" w:hAnsi="Arial" w:cs="Arial"/>
                <w:b w:val="true"/>
                <w:color w:val="FFFFFF"/>
                <w:sz w:val="16"/>
              </w:rPr>
              <w:t>范围</w:t>
            </w:r>
          </w:p>
        </w:tc>
        <w:tc>
          <w:tcPr>
            <w:tcW w:w="2500" w:type="dxa"/>
            <w:shd w:fill="1F4E79"/>
            <w:vAlign w:val="center"/>
          </w:tcPr>
          <w:p>
            <w:pPr>
              <w:spacing w:before="40" w:after="40" w:line="250" w:lineRule="auto"/>
              <w:ind w:left="0"/>
              <w:jc w:val="center"/>
            </w:pPr>
            <w:r>
              <w:rPr>
                <w:rFonts w:eastAsia="等线" w:ascii="Arial" w:hAnsi="Arial" w:cs="Arial"/>
                <w:b w:val="true"/>
                <w:color w:val="FFFFFF"/>
                <w:sz w:val="16"/>
              </w:rPr>
              <w:t>前序基线
within25/相对MAE</w:t>
            </w:r>
          </w:p>
        </w:tc>
        <w:tc>
          <w:tcPr>
            <w:tcW w:w="2500" w:type="dxa"/>
            <w:shd w:fill="1F4E79"/>
            <w:vAlign w:val="center"/>
          </w:tcPr>
          <w:p>
            <w:pPr>
              <w:spacing w:before="40" w:after="40" w:line="250" w:lineRule="auto"/>
              <w:ind w:left="0"/>
              <w:jc w:val="center"/>
            </w:pPr>
            <w:r>
              <w:rPr>
                <w:rFonts w:eastAsia="等线" w:ascii="Arial" w:hAnsi="Arial" w:cs="Arial"/>
                <w:b w:val="true"/>
                <w:color w:val="FFFFFF"/>
                <w:sz w:val="16"/>
              </w:rPr>
              <w:t>当前模型
within25/相对MAE</w:t>
            </w:r>
          </w:p>
        </w:tc>
        <w:tc>
          <w:tcPr>
            <w:tcW w:w="1700" w:type="dxa"/>
            <w:shd w:fill="1F4E79"/>
            <w:vAlign w:val="center"/>
          </w:tcPr>
          <w:p>
            <w:pPr>
              <w:spacing w:before="40" w:after="40" w:line="250" w:lineRule="auto"/>
              <w:ind w:left="0"/>
              <w:jc w:val="center"/>
            </w:pPr>
            <w:r>
              <w:rPr>
                <w:rFonts w:eastAsia="等线" w:ascii="Arial" w:hAnsi="Arial" w:cs="Arial"/>
                <w:b w:val="true"/>
                <w:color w:val="FFFFFF"/>
                <w:sz w:val="16"/>
              </w:rPr>
              <w:t>within25变化</w:t>
            </w:r>
          </w:p>
        </w:tc>
        <w:tc>
          <w:tcPr>
            <w:tcW w:w="1800" w:type="dxa"/>
            <w:shd w:fill="1F4E79"/>
            <w:vAlign w:val="center"/>
          </w:tcPr>
          <w:p>
            <w:pPr>
              <w:spacing w:before="40" w:after="40" w:line="250" w:lineRule="auto"/>
              <w:ind w:left="0"/>
              <w:jc w:val="center"/>
            </w:pPr>
            <w:r>
              <w:rPr>
                <w:rFonts w:eastAsia="等线" w:ascii="Arial" w:hAnsi="Arial" w:cs="Arial"/>
                <w:b w:val="true"/>
                <w:color w:val="FFFFFF"/>
                <w:sz w:val="16"/>
              </w:rPr>
              <w:t>相对MAE变化</w:t>
            </w:r>
          </w:p>
        </w:tc>
      </w:tr>
      <w:tr>
        <w:tc>
          <w:tcPr>
            <w:tcW w:w="2500" w:type="dxa"/>
            <w:shd w:fill="FFFFFF"/>
            <w:vAlign w:val="center"/>
          </w:tcPr>
          <w:p>
            <w:pPr>
              <w:spacing w:before="40" w:after="40" w:line="250" w:lineRule="auto"/>
              <w:ind w:left="0"/>
              <w:jc w:val="left"/>
            </w:pPr>
            <w:r>
              <w:rPr>
                <w:rFonts w:eastAsia="等线" w:ascii="Arial" w:hAnsi="Arial" w:cs="Arial"/>
                <w:sz w:val="16"/>
              </w:rPr>
              <w:t>全零件-整体</w:t>
            </w:r>
          </w:p>
        </w:tc>
        <w:tc>
          <w:tcPr>
            <w:tcW w:w="2500" w:type="dxa"/>
            <w:shd w:fill="FFFFFF"/>
            <w:vAlign w:val="center"/>
          </w:tcPr>
          <w:p>
            <w:pPr>
              <w:spacing w:before="40" w:after="40" w:line="250" w:lineRule="auto"/>
              <w:ind w:left="0"/>
              <w:jc w:val="left"/>
            </w:pPr>
            <w:r>
              <w:rPr>
                <w:rFonts w:eastAsia="等线" w:ascii="Arial" w:hAnsi="Arial" w:cs="Arial"/>
                <w:sz w:val="16"/>
              </w:rPr>
              <w:t>54.19% / 81.66%</w:t>
            </w:r>
          </w:p>
        </w:tc>
        <w:tc>
          <w:tcPr>
            <w:tcW w:w="2500" w:type="dxa"/>
            <w:shd w:fill="FFFFFF"/>
            <w:vAlign w:val="center"/>
          </w:tcPr>
          <w:p>
            <w:pPr>
              <w:spacing w:before="40" w:after="40" w:line="250" w:lineRule="auto"/>
              <w:ind w:left="0"/>
              <w:jc w:val="left"/>
            </w:pPr>
            <w:r>
              <w:rPr>
                <w:rFonts w:eastAsia="等线" w:ascii="Arial" w:hAnsi="Arial" w:cs="Arial"/>
                <w:sz w:val="16"/>
              </w:rPr>
              <w:t>85.38% / 17.11%</w:t>
            </w:r>
          </w:p>
        </w:tc>
        <w:tc>
          <w:tcPr>
            <w:tcW w:w="1700" w:type="dxa"/>
            <w:shd w:fill="FFFFFF"/>
            <w:vAlign w:val="center"/>
          </w:tcPr>
          <w:p>
            <w:pPr>
              <w:spacing w:before="40" w:after="40" w:line="250" w:lineRule="auto"/>
              <w:ind w:left="0"/>
              <w:jc w:val="left"/>
            </w:pPr>
            <w:r>
              <w:rPr>
                <w:rFonts w:eastAsia="等线" w:ascii="Arial" w:hAnsi="Arial" w:cs="Arial"/>
                <w:sz w:val="16"/>
              </w:rPr>
              <w:t>+31.19 pp</w:t>
            </w:r>
          </w:p>
        </w:tc>
        <w:tc>
          <w:tcPr>
            <w:tcW w:w="1800" w:type="dxa"/>
            <w:shd w:fill="FFFFFF"/>
            <w:vAlign w:val="center"/>
          </w:tcPr>
          <w:p>
            <w:pPr>
              <w:spacing w:before="40" w:after="40" w:line="250" w:lineRule="auto"/>
              <w:ind w:left="0"/>
              <w:jc w:val="left"/>
            </w:pPr>
            <w:r>
              <w:rPr>
                <w:rFonts w:eastAsia="等线" w:ascii="Arial" w:hAnsi="Arial" w:cs="Arial"/>
                <w:sz w:val="16"/>
              </w:rPr>
              <w:t>+64.55 pp</w:t>
            </w:r>
          </w:p>
        </w:tc>
      </w:tr>
      <w:tr>
        <w:tc>
          <w:tcPr>
            <w:tcW w:w="2500" w:type="dxa"/>
            <w:shd w:fill="FFFFFF"/>
            <w:vAlign w:val="center"/>
          </w:tcPr>
          <w:p>
            <w:pPr>
              <w:spacing w:before="40" w:after="40" w:line="250" w:lineRule="auto"/>
              <w:ind w:left="0"/>
              <w:jc w:val="left"/>
            </w:pPr>
            <w:r>
              <w:rPr>
                <w:rFonts w:eastAsia="等线" w:ascii="Arial" w:hAnsi="Arial" w:cs="Arial"/>
                <w:sz w:val="16"/>
              </w:rPr>
              <w:t>全零件-top1%</w:t>
            </w:r>
          </w:p>
        </w:tc>
        <w:tc>
          <w:tcPr>
            <w:tcW w:w="2500" w:type="dxa"/>
            <w:shd w:fill="FFFFFF"/>
            <w:vAlign w:val="center"/>
          </w:tcPr>
          <w:p>
            <w:pPr>
              <w:spacing w:before="40" w:after="40" w:line="250" w:lineRule="auto"/>
              <w:ind w:left="0"/>
              <w:jc w:val="left"/>
            </w:pPr>
            <w:r>
              <w:rPr>
                <w:rFonts w:eastAsia="等线" w:ascii="Arial" w:hAnsi="Arial" w:cs="Arial"/>
                <w:sz w:val="16"/>
              </w:rPr>
              <w:t>70.80% / 20.79%</w:t>
            </w:r>
          </w:p>
        </w:tc>
        <w:tc>
          <w:tcPr>
            <w:tcW w:w="2500" w:type="dxa"/>
            <w:shd w:fill="FFFFFF"/>
            <w:vAlign w:val="center"/>
          </w:tcPr>
          <w:p>
            <w:pPr>
              <w:spacing w:before="40" w:after="40" w:line="250" w:lineRule="auto"/>
              <w:ind w:left="0"/>
              <w:jc w:val="left"/>
            </w:pPr>
            <w:r>
              <w:rPr>
                <w:rFonts w:eastAsia="等线" w:ascii="Arial" w:hAnsi="Arial" w:cs="Arial"/>
                <w:sz w:val="16"/>
              </w:rPr>
              <w:t>78.15% / 16.91%</w:t>
            </w:r>
          </w:p>
        </w:tc>
        <w:tc>
          <w:tcPr>
            <w:tcW w:w="1700" w:type="dxa"/>
            <w:shd w:fill="FFFFFF"/>
            <w:vAlign w:val="center"/>
          </w:tcPr>
          <w:p>
            <w:pPr>
              <w:spacing w:before="40" w:after="40" w:line="250" w:lineRule="auto"/>
              <w:ind w:left="0"/>
              <w:jc w:val="left"/>
            </w:pPr>
            <w:r>
              <w:rPr>
                <w:rFonts w:eastAsia="等线" w:ascii="Arial" w:hAnsi="Arial" w:cs="Arial"/>
                <w:sz w:val="16"/>
              </w:rPr>
              <w:t>+7.35 pp</w:t>
            </w:r>
          </w:p>
        </w:tc>
        <w:tc>
          <w:tcPr>
            <w:tcW w:w="1800" w:type="dxa"/>
            <w:shd w:fill="FFFFFF"/>
            <w:vAlign w:val="center"/>
          </w:tcPr>
          <w:p>
            <w:pPr>
              <w:spacing w:before="40" w:after="40" w:line="250" w:lineRule="auto"/>
              <w:ind w:left="0"/>
              <w:jc w:val="left"/>
            </w:pPr>
            <w:r>
              <w:rPr>
                <w:rFonts w:eastAsia="等线" w:ascii="Arial" w:hAnsi="Arial" w:cs="Arial"/>
                <w:sz w:val="16"/>
              </w:rPr>
              <w:t>+3.88 pp</w:t>
            </w:r>
          </w:p>
        </w:tc>
      </w:tr>
      <w:tr>
        <w:tc>
          <w:tcPr>
            <w:tcW w:w="2500" w:type="dxa"/>
            <w:shd w:fill="FFFFFF"/>
            <w:vAlign w:val="center"/>
          </w:tcPr>
          <w:p>
            <w:pPr>
              <w:spacing w:before="40" w:after="40" w:line="250" w:lineRule="auto"/>
              <w:ind w:left="0"/>
              <w:jc w:val="left"/>
            </w:pPr>
            <w:r>
              <w:rPr>
                <w:rFonts w:eastAsia="等线" w:ascii="Arial" w:hAnsi="Arial" w:cs="Arial"/>
                <w:sz w:val="16"/>
              </w:rPr>
              <w:t>全零件-top5%</w:t>
            </w:r>
          </w:p>
        </w:tc>
        <w:tc>
          <w:tcPr>
            <w:tcW w:w="2500" w:type="dxa"/>
            <w:shd w:fill="FFFFFF"/>
            <w:vAlign w:val="center"/>
          </w:tcPr>
          <w:p>
            <w:pPr>
              <w:spacing w:before="40" w:after="40" w:line="250" w:lineRule="auto"/>
              <w:ind w:left="0"/>
              <w:jc w:val="left"/>
            </w:pPr>
            <w:r>
              <w:rPr>
                <w:rFonts w:eastAsia="等线" w:ascii="Arial" w:hAnsi="Arial" w:cs="Arial"/>
                <w:sz w:val="16"/>
              </w:rPr>
              <w:t>61.38% / 27.16%</w:t>
            </w:r>
          </w:p>
        </w:tc>
        <w:tc>
          <w:tcPr>
            <w:tcW w:w="2500" w:type="dxa"/>
            <w:shd w:fill="FFFFFF"/>
            <w:vAlign w:val="center"/>
          </w:tcPr>
          <w:p>
            <w:pPr>
              <w:spacing w:before="40" w:after="40" w:line="250" w:lineRule="auto"/>
              <w:ind w:left="0"/>
              <w:jc w:val="left"/>
            </w:pPr>
            <w:r>
              <w:rPr>
                <w:rFonts w:eastAsia="等线" w:ascii="Arial" w:hAnsi="Arial" w:cs="Arial"/>
                <w:sz w:val="16"/>
              </w:rPr>
              <w:t>74.36% / 19.53%</w:t>
            </w:r>
          </w:p>
        </w:tc>
        <w:tc>
          <w:tcPr>
            <w:tcW w:w="1700" w:type="dxa"/>
            <w:shd w:fill="FFFFFF"/>
            <w:vAlign w:val="center"/>
          </w:tcPr>
          <w:p>
            <w:pPr>
              <w:spacing w:before="40" w:after="40" w:line="250" w:lineRule="auto"/>
              <w:ind w:left="0"/>
              <w:jc w:val="left"/>
            </w:pPr>
            <w:r>
              <w:rPr>
                <w:rFonts w:eastAsia="等线" w:ascii="Arial" w:hAnsi="Arial" w:cs="Arial"/>
                <w:sz w:val="16"/>
              </w:rPr>
              <w:t>+12.98 pp</w:t>
            </w:r>
          </w:p>
        </w:tc>
        <w:tc>
          <w:tcPr>
            <w:tcW w:w="1800" w:type="dxa"/>
            <w:shd w:fill="FFFFFF"/>
            <w:vAlign w:val="center"/>
          </w:tcPr>
          <w:p>
            <w:pPr>
              <w:spacing w:before="40" w:after="40" w:line="250" w:lineRule="auto"/>
              <w:ind w:left="0"/>
              <w:jc w:val="left"/>
            </w:pPr>
            <w:r>
              <w:rPr>
                <w:rFonts w:eastAsia="等线" w:ascii="Arial" w:hAnsi="Arial" w:cs="Arial"/>
                <w:sz w:val="16"/>
              </w:rPr>
              <w:t>+7.63 pp</w:t>
            </w:r>
          </w:p>
        </w:tc>
      </w:tr>
      <w:tr>
        <w:tc>
          <w:tcPr>
            <w:tcW w:w="2500" w:type="dxa"/>
            <w:shd w:fill="FFFFFF"/>
            <w:vAlign w:val="center"/>
          </w:tcPr>
          <w:p>
            <w:pPr>
              <w:spacing w:before="40" w:after="40" w:line="250" w:lineRule="auto"/>
              <w:ind w:left="0"/>
              <w:jc w:val="left"/>
            </w:pPr>
            <w:r>
              <w:rPr>
                <w:rFonts w:eastAsia="等线" w:ascii="Arial" w:hAnsi="Arial" w:cs="Arial"/>
                <w:sz w:val="16"/>
              </w:rPr>
              <w:t>全零件-top25%</w:t>
            </w:r>
          </w:p>
        </w:tc>
        <w:tc>
          <w:tcPr>
            <w:tcW w:w="2500" w:type="dxa"/>
            <w:shd w:fill="FFFFFF"/>
            <w:vAlign w:val="center"/>
          </w:tcPr>
          <w:p>
            <w:pPr>
              <w:spacing w:before="40" w:after="40" w:line="250" w:lineRule="auto"/>
              <w:ind w:left="0"/>
              <w:jc w:val="left"/>
            </w:pPr>
            <w:r>
              <w:rPr>
                <w:rFonts w:eastAsia="等线" w:ascii="Arial" w:hAnsi="Arial" w:cs="Arial"/>
                <w:sz w:val="16"/>
              </w:rPr>
              <w:t>48.13% / 40.10%</w:t>
            </w:r>
          </w:p>
        </w:tc>
        <w:tc>
          <w:tcPr>
            <w:tcW w:w="2500" w:type="dxa"/>
            <w:shd w:fill="FFFFFF"/>
            <w:vAlign w:val="center"/>
          </w:tcPr>
          <w:p>
            <w:pPr>
              <w:spacing w:before="40" w:after="40" w:line="250" w:lineRule="auto"/>
              <w:ind w:left="0"/>
              <w:jc w:val="left"/>
            </w:pPr>
            <w:r>
              <w:rPr>
                <w:rFonts w:eastAsia="等线" w:ascii="Arial" w:hAnsi="Arial" w:cs="Arial"/>
                <w:sz w:val="16"/>
              </w:rPr>
              <w:t>71.25% / 22.47%</w:t>
            </w:r>
          </w:p>
        </w:tc>
        <w:tc>
          <w:tcPr>
            <w:tcW w:w="1700" w:type="dxa"/>
            <w:shd w:fill="FFFFFF"/>
            <w:vAlign w:val="center"/>
          </w:tcPr>
          <w:p>
            <w:pPr>
              <w:spacing w:before="40" w:after="40" w:line="250" w:lineRule="auto"/>
              <w:ind w:left="0"/>
              <w:jc w:val="left"/>
            </w:pPr>
            <w:r>
              <w:rPr>
                <w:rFonts w:eastAsia="等线" w:ascii="Arial" w:hAnsi="Arial" w:cs="Arial"/>
                <w:sz w:val="16"/>
              </w:rPr>
              <w:t>+23.12 pp</w:t>
            </w:r>
          </w:p>
        </w:tc>
        <w:tc>
          <w:tcPr>
            <w:tcW w:w="1800" w:type="dxa"/>
            <w:shd w:fill="FFFFFF"/>
            <w:vAlign w:val="center"/>
          </w:tcPr>
          <w:p>
            <w:pPr>
              <w:spacing w:before="40" w:after="40" w:line="250" w:lineRule="auto"/>
              <w:ind w:left="0"/>
              <w:jc w:val="left"/>
            </w:pPr>
            <w:r>
              <w:rPr>
                <w:rFonts w:eastAsia="等线" w:ascii="Arial" w:hAnsi="Arial" w:cs="Arial"/>
                <w:sz w:val="16"/>
              </w:rPr>
              <w:t>+17.63 pp</w:t>
            </w:r>
          </w:p>
        </w:tc>
      </w:tr>
      <w:tr>
        <w:tc>
          <w:tcPr>
            <w:tcW w:w="2500" w:type="dxa"/>
            <w:shd w:fill="FFFFFF"/>
            <w:vAlign w:val="center"/>
          </w:tcPr>
          <w:p>
            <w:pPr>
              <w:spacing w:before="40" w:after="40" w:line="250" w:lineRule="auto"/>
              <w:ind w:left="0"/>
              <w:jc w:val="left"/>
            </w:pPr>
            <w:r>
              <w:rPr>
                <w:rFonts w:eastAsia="等线" w:ascii="Arial" w:hAnsi="Arial" w:cs="Arial"/>
                <w:sz w:val="16"/>
              </w:rPr>
              <w:t>耳片区域-整体</w:t>
            </w:r>
          </w:p>
        </w:tc>
        <w:tc>
          <w:tcPr>
            <w:tcW w:w="2500" w:type="dxa"/>
            <w:shd w:fill="FFFFFF"/>
            <w:vAlign w:val="center"/>
          </w:tcPr>
          <w:p>
            <w:pPr>
              <w:spacing w:before="40" w:after="40" w:line="250" w:lineRule="auto"/>
              <w:ind w:left="0"/>
              <w:jc w:val="left"/>
            </w:pPr>
            <w:r>
              <w:rPr>
                <w:rFonts w:eastAsia="等线" w:ascii="Arial" w:hAnsi="Arial" w:cs="Arial"/>
                <w:sz w:val="16"/>
              </w:rPr>
              <w:t>43.26% / 124.87%</w:t>
            </w:r>
          </w:p>
        </w:tc>
        <w:tc>
          <w:tcPr>
            <w:tcW w:w="2500" w:type="dxa"/>
            <w:shd w:fill="FFFFFF"/>
            <w:vAlign w:val="center"/>
          </w:tcPr>
          <w:p>
            <w:pPr>
              <w:spacing w:before="40" w:after="40" w:line="250" w:lineRule="auto"/>
              <w:ind w:left="0"/>
              <w:jc w:val="left"/>
            </w:pPr>
            <w:r>
              <w:rPr>
                <w:rFonts w:eastAsia="等线" w:ascii="Arial" w:hAnsi="Arial" w:cs="Arial"/>
                <w:sz w:val="16"/>
              </w:rPr>
              <w:t>68.28% / 37.10%</w:t>
            </w:r>
          </w:p>
        </w:tc>
        <w:tc>
          <w:tcPr>
            <w:tcW w:w="1700" w:type="dxa"/>
            <w:shd w:fill="FFFFFF"/>
            <w:vAlign w:val="center"/>
          </w:tcPr>
          <w:p>
            <w:pPr>
              <w:spacing w:before="40" w:after="40" w:line="250" w:lineRule="auto"/>
              <w:ind w:left="0"/>
              <w:jc w:val="left"/>
            </w:pPr>
            <w:r>
              <w:rPr>
                <w:rFonts w:eastAsia="等线" w:ascii="Arial" w:hAnsi="Arial" w:cs="Arial"/>
                <w:sz w:val="16"/>
              </w:rPr>
              <w:t>+25.02 pp</w:t>
            </w:r>
          </w:p>
        </w:tc>
        <w:tc>
          <w:tcPr>
            <w:tcW w:w="1800" w:type="dxa"/>
            <w:shd w:fill="FFFFFF"/>
            <w:vAlign w:val="center"/>
          </w:tcPr>
          <w:p>
            <w:pPr>
              <w:spacing w:before="40" w:after="40" w:line="250" w:lineRule="auto"/>
              <w:ind w:left="0"/>
              <w:jc w:val="left"/>
            </w:pPr>
            <w:r>
              <w:rPr>
                <w:rFonts w:eastAsia="等线" w:ascii="Arial" w:hAnsi="Arial" w:cs="Arial"/>
                <w:sz w:val="16"/>
              </w:rPr>
              <w:t>+87.77 pp</w:t>
            </w:r>
          </w:p>
        </w:tc>
      </w:tr>
      <w:tr>
        <w:tc>
          <w:tcPr>
            <w:tcW w:w="2500" w:type="dxa"/>
            <w:shd w:fill="FFFFFF"/>
            <w:vAlign w:val="center"/>
          </w:tcPr>
          <w:p>
            <w:pPr>
              <w:spacing w:before="40" w:after="40" w:line="250" w:lineRule="auto"/>
              <w:ind w:left="0"/>
              <w:jc w:val="left"/>
            </w:pPr>
            <w:r>
              <w:rPr>
                <w:rFonts w:eastAsia="等线" w:ascii="Arial" w:hAnsi="Arial" w:cs="Arial"/>
                <w:sz w:val="16"/>
              </w:rPr>
              <w:t>耳片区域-top1%</w:t>
            </w:r>
          </w:p>
        </w:tc>
        <w:tc>
          <w:tcPr>
            <w:tcW w:w="2500" w:type="dxa"/>
            <w:shd w:fill="FFFFFF"/>
            <w:vAlign w:val="center"/>
          </w:tcPr>
          <w:p>
            <w:pPr>
              <w:spacing w:before="40" w:after="40" w:line="250" w:lineRule="auto"/>
              <w:ind w:left="0"/>
              <w:jc w:val="left"/>
            </w:pPr>
            <w:r>
              <w:rPr>
                <w:rFonts w:eastAsia="等线" w:ascii="Arial" w:hAnsi="Arial" w:cs="Arial"/>
                <w:sz w:val="16"/>
              </w:rPr>
              <w:t>73.14% / 18.77%</w:t>
            </w:r>
          </w:p>
        </w:tc>
        <w:tc>
          <w:tcPr>
            <w:tcW w:w="2500" w:type="dxa"/>
            <w:shd w:fill="FFFFFF"/>
            <w:vAlign w:val="center"/>
          </w:tcPr>
          <w:p>
            <w:pPr>
              <w:spacing w:before="40" w:after="40" w:line="250" w:lineRule="auto"/>
              <w:ind w:left="0"/>
              <w:jc w:val="left"/>
            </w:pPr>
            <w:r>
              <w:rPr>
                <w:rFonts w:eastAsia="等线" w:ascii="Arial" w:hAnsi="Arial" w:cs="Arial"/>
                <w:sz w:val="16"/>
              </w:rPr>
              <w:t>80.84% / 15.50%</w:t>
            </w:r>
          </w:p>
        </w:tc>
        <w:tc>
          <w:tcPr>
            <w:tcW w:w="1700" w:type="dxa"/>
            <w:shd w:fill="FFFFFF"/>
            <w:vAlign w:val="center"/>
          </w:tcPr>
          <w:p>
            <w:pPr>
              <w:spacing w:before="40" w:after="40" w:line="250" w:lineRule="auto"/>
              <w:ind w:left="0"/>
              <w:jc w:val="left"/>
            </w:pPr>
            <w:r>
              <w:rPr>
                <w:rFonts w:eastAsia="等线" w:ascii="Arial" w:hAnsi="Arial" w:cs="Arial"/>
                <w:sz w:val="16"/>
              </w:rPr>
              <w:t>+7.70 pp</w:t>
            </w:r>
          </w:p>
        </w:tc>
        <w:tc>
          <w:tcPr>
            <w:tcW w:w="1800" w:type="dxa"/>
            <w:shd w:fill="FFFFFF"/>
            <w:vAlign w:val="center"/>
          </w:tcPr>
          <w:p>
            <w:pPr>
              <w:spacing w:before="40" w:after="40" w:line="250" w:lineRule="auto"/>
              <w:ind w:left="0"/>
              <w:jc w:val="left"/>
            </w:pPr>
            <w:r>
              <w:rPr>
                <w:rFonts w:eastAsia="等线" w:ascii="Arial" w:hAnsi="Arial" w:cs="Arial"/>
                <w:sz w:val="16"/>
              </w:rPr>
              <w:t>+3.27 pp</w:t>
            </w:r>
          </w:p>
        </w:tc>
      </w:tr>
      <w:tr>
        <w:tc>
          <w:tcPr>
            <w:tcW w:w="2500" w:type="dxa"/>
            <w:shd w:fill="FFFFFF"/>
            <w:vAlign w:val="center"/>
          </w:tcPr>
          <w:p>
            <w:pPr>
              <w:spacing w:before="40" w:after="40" w:line="250" w:lineRule="auto"/>
              <w:ind w:left="0"/>
              <w:jc w:val="left"/>
            </w:pPr>
            <w:r>
              <w:rPr>
                <w:rFonts w:eastAsia="等线" w:ascii="Arial" w:hAnsi="Arial" w:cs="Arial"/>
                <w:sz w:val="16"/>
              </w:rPr>
              <w:t>耳片区域-top5%</w:t>
            </w:r>
          </w:p>
        </w:tc>
        <w:tc>
          <w:tcPr>
            <w:tcW w:w="2500" w:type="dxa"/>
            <w:shd w:fill="FFFFFF"/>
            <w:vAlign w:val="center"/>
          </w:tcPr>
          <w:p>
            <w:pPr>
              <w:spacing w:before="40" w:after="40" w:line="250" w:lineRule="auto"/>
              <w:ind w:left="0"/>
              <w:jc w:val="left"/>
            </w:pPr>
            <w:r>
              <w:rPr>
                <w:rFonts w:eastAsia="等线" w:ascii="Arial" w:hAnsi="Arial" w:cs="Arial"/>
                <w:sz w:val="16"/>
              </w:rPr>
              <w:t>70.01% / 21.41%</w:t>
            </w:r>
          </w:p>
        </w:tc>
        <w:tc>
          <w:tcPr>
            <w:tcW w:w="2500" w:type="dxa"/>
            <w:shd w:fill="FFFFFF"/>
            <w:vAlign w:val="center"/>
          </w:tcPr>
          <w:p>
            <w:pPr>
              <w:spacing w:before="40" w:after="40" w:line="250" w:lineRule="auto"/>
              <w:ind w:left="0"/>
              <w:jc w:val="left"/>
            </w:pPr>
            <w:r>
              <w:rPr>
                <w:rFonts w:eastAsia="等线" w:ascii="Arial" w:hAnsi="Arial" w:cs="Arial"/>
                <w:sz w:val="16"/>
              </w:rPr>
              <w:t>77.34% / 17.47%</w:t>
            </w:r>
          </w:p>
        </w:tc>
        <w:tc>
          <w:tcPr>
            <w:tcW w:w="1700" w:type="dxa"/>
            <w:shd w:fill="FFFFFF"/>
            <w:vAlign w:val="center"/>
          </w:tcPr>
          <w:p>
            <w:pPr>
              <w:spacing w:before="40" w:after="40" w:line="250" w:lineRule="auto"/>
              <w:ind w:left="0"/>
              <w:jc w:val="left"/>
            </w:pPr>
            <w:r>
              <w:rPr>
                <w:rFonts w:eastAsia="等线" w:ascii="Arial" w:hAnsi="Arial" w:cs="Arial"/>
                <w:sz w:val="16"/>
              </w:rPr>
              <w:t>+7.33 pp</w:t>
            </w:r>
          </w:p>
        </w:tc>
        <w:tc>
          <w:tcPr>
            <w:tcW w:w="1800" w:type="dxa"/>
            <w:shd w:fill="FFFFFF"/>
            <w:vAlign w:val="center"/>
          </w:tcPr>
          <w:p>
            <w:pPr>
              <w:spacing w:before="40" w:after="40" w:line="250" w:lineRule="auto"/>
              <w:ind w:left="0"/>
              <w:jc w:val="left"/>
            </w:pPr>
            <w:r>
              <w:rPr>
                <w:rFonts w:eastAsia="等线" w:ascii="Arial" w:hAnsi="Arial" w:cs="Arial"/>
                <w:sz w:val="16"/>
              </w:rPr>
              <w:t>+3.94 pp</w:t>
            </w:r>
          </w:p>
        </w:tc>
      </w:tr>
      <w:tr>
        <w:tc>
          <w:tcPr>
            <w:tcW w:w="2500" w:type="dxa"/>
            <w:shd w:fill="FFFFFF"/>
            <w:vAlign w:val="center"/>
          </w:tcPr>
          <w:p>
            <w:pPr>
              <w:spacing w:before="40" w:after="40" w:line="250" w:lineRule="auto"/>
              <w:ind w:left="0"/>
              <w:jc w:val="left"/>
            </w:pPr>
            <w:r>
              <w:rPr>
                <w:rFonts w:eastAsia="等线" w:ascii="Arial" w:hAnsi="Arial" w:cs="Arial"/>
                <w:sz w:val="16"/>
              </w:rPr>
              <w:t>耳片区域-top25%</w:t>
            </w:r>
          </w:p>
        </w:tc>
        <w:tc>
          <w:tcPr>
            <w:tcW w:w="2500" w:type="dxa"/>
            <w:shd w:fill="FFFFFF"/>
            <w:vAlign w:val="center"/>
          </w:tcPr>
          <w:p>
            <w:pPr>
              <w:spacing w:before="40" w:after="40" w:line="250" w:lineRule="auto"/>
              <w:ind w:left="0"/>
              <w:jc w:val="left"/>
            </w:pPr>
            <w:r>
              <w:rPr>
                <w:rFonts w:eastAsia="等线" w:ascii="Arial" w:hAnsi="Arial" w:cs="Arial"/>
                <w:sz w:val="16"/>
              </w:rPr>
              <w:t>59.73% / 28.96%</w:t>
            </w:r>
          </w:p>
        </w:tc>
        <w:tc>
          <w:tcPr>
            <w:tcW w:w="2500" w:type="dxa"/>
            <w:shd w:fill="FFFFFF"/>
            <w:vAlign w:val="center"/>
          </w:tcPr>
          <w:p>
            <w:pPr>
              <w:spacing w:before="40" w:after="40" w:line="250" w:lineRule="auto"/>
              <w:ind w:left="0"/>
              <w:jc w:val="left"/>
            </w:pPr>
            <w:r>
              <w:rPr>
                <w:rFonts w:eastAsia="等线" w:ascii="Arial" w:hAnsi="Arial" w:cs="Arial"/>
                <w:sz w:val="16"/>
              </w:rPr>
              <w:t>73.06% / 20.80%</w:t>
            </w:r>
          </w:p>
        </w:tc>
        <w:tc>
          <w:tcPr>
            <w:tcW w:w="1700" w:type="dxa"/>
            <w:shd w:fill="FFFFFF"/>
            <w:vAlign w:val="center"/>
          </w:tcPr>
          <w:p>
            <w:pPr>
              <w:spacing w:before="40" w:after="40" w:line="250" w:lineRule="auto"/>
              <w:ind w:left="0"/>
              <w:jc w:val="left"/>
            </w:pPr>
            <w:r>
              <w:rPr>
                <w:rFonts w:eastAsia="等线" w:ascii="Arial" w:hAnsi="Arial" w:cs="Arial"/>
                <w:sz w:val="16"/>
              </w:rPr>
              <w:t>+13.33 pp</w:t>
            </w:r>
          </w:p>
        </w:tc>
        <w:tc>
          <w:tcPr>
            <w:tcW w:w="1800" w:type="dxa"/>
            <w:shd w:fill="FFFFFF"/>
            <w:vAlign w:val="center"/>
          </w:tcPr>
          <w:p>
            <w:pPr>
              <w:spacing w:before="40" w:after="40" w:line="250" w:lineRule="auto"/>
              <w:ind w:left="0"/>
              <w:jc w:val="left"/>
            </w:pPr>
            <w:r>
              <w:rPr>
                <w:rFonts w:eastAsia="等线" w:ascii="Arial" w:hAnsi="Arial" w:cs="Arial"/>
                <w:sz w:val="16"/>
              </w:rPr>
              <w:t>+8.16 pp</w:t>
            </w:r>
          </w:p>
        </w:tc>
      </w:tr>
      <w:tr>
        <w:tc>
          <w:tcPr>
            <w:tcW w:w="2500" w:type="dxa"/>
            <w:shd w:fill="FFFFFF"/>
            <w:vAlign w:val="center"/>
          </w:tcPr>
          <w:p>
            <w:pPr>
              <w:spacing w:before="40" w:after="40" w:line="250" w:lineRule="auto"/>
              <w:ind w:left="0"/>
              <w:jc w:val="left"/>
            </w:pPr>
            <w:r>
              <w:rPr>
                <w:rFonts w:eastAsia="等线" w:ascii="Arial" w:hAnsi="Arial" w:cs="Arial"/>
                <w:sz w:val="16"/>
              </w:rPr>
              <w:t>圆盘区域-整体</w:t>
            </w:r>
          </w:p>
        </w:tc>
        <w:tc>
          <w:tcPr>
            <w:tcW w:w="2500" w:type="dxa"/>
            <w:shd w:fill="FFFFFF"/>
            <w:vAlign w:val="center"/>
          </w:tcPr>
          <w:p>
            <w:pPr>
              <w:spacing w:before="40" w:after="40" w:line="250" w:lineRule="auto"/>
              <w:ind w:left="0"/>
              <w:jc w:val="left"/>
            </w:pPr>
            <w:r>
              <w:rPr>
                <w:rFonts w:eastAsia="等线" w:ascii="Arial" w:hAnsi="Arial" w:cs="Arial"/>
                <w:sz w:val="16"/>
              </w:rPr>
              <w:t>57.54% / 68.39%</w:t>
            </w:r>
          </w:p>
        </w:tc>
        <w:tc>
          <w:tcPr>
            <w:tcW w:w="2500" w:type="dxa"/>
            <w:shd w:fill="FFFFFF"/>
            <w:vAlign w:val="center"/>
          </w:tcPr>
          <w:p>
            <w:pPr>
              <w:spacing w:before="40" w:after="40" w:line="250" w:lineRule="auto"/>
              <w:ind w:left="0"/>
              <w:jc w:val="left"/>
            </w:pPr>
            <w:r>
              <w:rPr>
                <w:rFonts w:eastAsia="等线" w:ascii="Arial" w:hAnsi="Arial" w:cs="Arial"/>
                <w:sz w:val="16"/>
              </w:rPr>
              <w:t>90.61% / 10.99%</w:t>
            </w:r>
          </w:p>
        </w:tc>
        <w:tc>
          <w:tcPr>
            <w:tcW w:w="1700" w:type="dxa"/>
            <w:shd w:fill="FFFFFF"/>
            <w:vAlign w:val="center"/>
          </w:tcPr>
          <w:p>
            <w:pPr>
              <w:spacing w:before="40" w:after="40" w:line="250" w:lineRule="auto"/>
              <w:ind w:left="0"/>
              <w:jc w:val="left"/>
            </w:pPr>
            <w:r>
              <w:rPr>
                <w:rFonts w:eastAsia="等线" w:ascii="Arial" w:hAnsi="Arial" w:cs="Arial"/>
                <w:sz w:val="16"/>
              </w:rPr>
              <w:t>+33.07 pp</w:t>
            </w:r>
          </w:p>
        </w:tc>
        <w:tc>
          <w:tcPr>
            <w:tcW w:w="1800" w:type="dxa"/>
            <w:shd w:fill="FFFFFF"/>
            <w:vAlign w:val="center"/>
          </w:tcPr>
          <w:p>
            <w:pPr>
              <w:spacing w:before="40" w:after="40" w:line="250" w:lineRule="auto"/>
              <w:ind w:left="0"/>
              <w:jc w:val="left"/>
            </w:pPr>
            <w:r>
              <w:rPr>
                <w:rFonts w:eastAsia="等线" w:ascii="Arial" w:hAnsi="Arial" w:cs="Arial"/>
                <w:sz w:val="16"/>
              </w:rPr>
              <w:t>+57.40 pp</w:t>
            </w:r>
          </w:p>
        </w:tc>
      </w:tr>
      <w:tr>
        <w:tc>
          <w:tcPr>
            <w:tcW w:w="2500" w:type="dxa"/>
            <w:shd w:fill="FFFFFF"/>
            <w:vAlign w:val="center"/>
          </w:tcPr>
          <w:p>
            <w:pPr>
              <w:spacing w:before="40" w:after="40" w:line="250" w:lineRule="auto"/>
              <w:ind w:left="0"/>
              <w:jc w:val="left"/>
            </w:pPr>
            <w:r>
              <w:rPr>
                <w:rFonts w:eastAsia="等线" w:ascii="Arial" w:hAnsi="Arial" w:cs="Arial"/>
                <w:sz w:val="16"/>
              </w:rPr>
              <w:t>圆盘区域-top1%</w:t>
            </w:r>
          </w:p>
        </w:tc>
        <w:tc>
          <w:tcPr>
            <w:tcW w:w="2500" w:type="dxa"/>
            <w:shd w:fill="FFFFFF"/>
            <w:vAlign w:val="center"/>
          </w:tcPr>
          <w:p>
            <w:pPr>
              <w:spacing w:before="40" w:after="40" w:line="250" w:lineRule="auto"/>
              <w:ind w:left="0"/>
              <w:jc w:val="left"/>
            </w:pPr>
            <w:r>
              <w:rPr>
                <w:rFonts w:eastAsia="等线" w:ascii="Arial" w:hAnsi="Arial" w:cs="Arial"/>
                <w:sz w:val="16"/>
              </w:rPr>
              <w:t>53.33% / 27.50%</w:t>
            </w:r>
          </w:p>
        </w:tc>
        <w:tc>
          <w:tcPr>
            <w:tcW w:w="2500" w:type="dxa"/>
            <w:shd w:fill="FFFFFF"/>
            <w:vAlign w:val="center"/>
          </w:tcPr>
          <w:p>
            <w:pPr>
              <w:spacing w:before="40" w:after="40" w:line="250" w:lineRule="auto"/>
              <w:ind w:left="0"/>
              <w:jc w:val="left"/>
            </w:pPr>
            <w:r>
              <w:rPr>
                <w:rFonts w:eastAsia="等线" w:ascii="Arial" w:hAnsi="Arial" w:cs="Arial"/>
                <w:sz w:val="16"/>
              </w:rPr>
              <w:t>74.08% / 17.28%</w:t>
            </w:r>
          </w:p>
        </w:tc>
        <w:tc>
          <w:tcPr>
            <w:tcW w:w="1700" w:type="dxa"/>
            <w:shd w:fill="FFFFFF"/>
            <w:vAlign w:val="center"/>
          </w:tcPr>
          <w:p>
            <w:pPr>
              <w:spacing w:before="40" w:after="40" w:line="250" w:lineRule="auto"/>
              <w:ind w:left="0"/>
              <w:jc w:val="left"/>
            </w:pPr>
            <w:r>
              <w:rPr>
                <w:rFonts w:eastAsia="等线" w:ascii="Arial" w:hAnsi="Arial" w:cs="Arial"/>
                <w:sz w:val="16"/>
              </w:rPr>
              <w:t>+20.75 pp</w:t>
            </w:r>
          </w:p>
        </w:tc>
        <w:tc>
          <w:tcPr>
            <w:tcW w:w="1800" w:type="dxa"/>
            <w:shd w:fill="FFFFFF"/>
            <w:vAlign w:val="center"/>
          </w:tcPr>
          <w:p>
            <w:pPr>
              <w:spacing w:before="40" w:after="40" w:line="250" w:lineRule="auto"/>
              <w:ind w:left="0"/>
              <w:jc w:val="left"/>
            </w:pPr>
            <w:r>
              <w:rPr>
                <w:rFonts w:eastAsia="等线" w:ascii="Arial" w:hAnsi="Arial" w:cs="Arial"/>
                <w:sz w:val="16"/>
              </w:rPr>
              <w:t>+10.22 pp</w:t>
            </w:r>
          </w:p>
        </w:tc>
      </w:tr>
      <w:tr>
        <w:tc>
          <w:tcPr>
            <w:tcW w:w="2500" w:type="dxa"/>
            <w:shd w:fill="FFFFFF"/>
            <w:vAlign w:val="center"/>
          </w:tcPr>
          <w:p>
            <w:pPr>
              <w:spacing w:before="40" w:after="40" w:line="250" w:lineRule="auto"/>
              <w:ind w:left="0"/>
              <w:jc w:val="left"/>
            </w:pPr>
            <w:r>
              <w:rPr>
                <w:rFonts w:eastAsia="等线" w:ascii="Arial" w:hAnsi="Arial" w:cs="Arial"/>
                <w:sz w:val="16"/>
              </w:rPr>
              <w:t>圆盘区域-top5%</w:t>
            </w:r>
          </w:p>
        </w:tc>
        <w:tc>
          <w:tcPr>
            <w:tcW w:w="2500" w:type="dxa"/>
            <w:shd w:fill="FFFFFF"/>
            <w:vAlign w:val="center"/>
          </w:tcPr>
          <w:p>
            <w:pPr>
              <w:spacing w:before="40" w:after="40" w:line="250" w:lineRule="auto"/>
              <w:ind w:left="0"/>
              <w:jc w:val="left"/>
            </w:pPr>
            <w:r>
              <w:rPr>
                <w:rFonts w:eastAsia="等线" w:ascii="Arial" w:hAnsi="Arial" w:cs="Arial"/>
                <w:sz w:val="16"/>
              </w:rPr>
              <w:t>47.35% / 32.24%</w:t>
            </w:r>
          </w:p>
        </w:tc>
        <w:tc>
          <w:tcPr>
            <w:tcW w:w="2500" w:type="dxa"/>
            <w:shd w:fill="FFFFFF"/>
            <w:vAlign w:val="center"/>
          </w:tcPr>
          <w:p>
            <w:pPr>
              <w:spacing w:before="40" w:after="40" w:line="250" w:lineRule="auto"/>
              <w:ind w:left="0"/>
              <w:jc w:val="left"/>
            </w:pPr>
            <w:r>
              <w:rPr>
                <w:rFonts w:eastAsia="等线" w:ascii="Arial" w:hAnsi="Arial" w:cs="Arial"/>
                <w:sz w:val="16"/>
              </w:rPr>
              <w:t>71.84% / 18.65%</w:t>
            </w:r>
          </w:p>
        </w:tc>
        <w:tc>
          <w:tcPr>
            <w:tcW w:w="1700" w:type="dxa"/>
            <w:shd w:fill="FFFFFF"/>
            <w:vAlign w:val="center"/>
          </w:tcPr>
          <w:p>
            <w:pPr>
              <w:spacing w:before="40" w:after="40" w:line="250" w:lineRule="auto"/>
              <w:ind w:left="0"/>
              <w:jc w:val="left"/>
            </w:pPr>
            <w:r>
              <w:rPr>
                <w:rFonts w:eastAsia="等线" w:ascii="Arial" w:hAnsi="Arial" w:cs="Arial"/>
                <w:sz w:val="16"/>
              </w:rPr>
              <w:t>+24.49 pp</w:t>
            </w:r>
          </w:p>
        </w:tc>
        <w:tc>
          <w:tcPr>
            <w:tcW w:w="1800" w:type="dxa"/>
            <w:shd w:fill="FFFFFF"/>
            <w:vAlign w:val="center"/>
          </w:tcPr>
          <w:p>
            <w:pPr>
              <w:spacing w:before="40" w:after="40" w:line="250" w:lineRule="auto"/>
              <w:ind w:left="0"/>
              <w:jc w:val="left"/>
            </w:pPr>
            <w:r>
              <w:rPr>
                <w:rFonts w:eastAsia="等线" w:ascii="Arial" w:hAnsi="Arial" w:cs="Arial"/>
                <w:sz w:val="16"/>
              </w:rPr>
              <w:t>+13.59 pp</w:t>
            </w:r>
          </w:p>
        </w:tc>
      </w:tr>
      <w:tr>
        <w:tc>
          <w:tcPr>
            <w:tcW w:w="2500" w:type="dxa"/>
            <w:shd w:fill="FFFFFF"/>
            <w:vAlign w:val="center"/>
          </w:tcPr>
          <w:p>
            <w:pPr>
              <w:spacing w:before="40" w:after="40" w:line="250" w:lineRule="auto"/>
              <w:ind w:left="0"/>
              <w:jc w:val="left"/>
            </w:pPr>
            <w:r>
              <w:rPr>
                <w:rFonts w:eastAsia="等线" w:ascii="Arial" w:hAnsi="Arial" w:cs="Arial"/>
                <w:sz w:val="16"/>
              </w:rPr>
              <w:t>圆盘区域-top25%</w:t>
            </w:r>
          </w:p>
        </w:tc>
        <w:tc>
          <w:tcPr>
            <w:tcW w:w="2500" w:type="dxa"/>
            <w:shd w:fill="FFFFFF"/>
            <w:vAlign w:val="center"/>
          </w:tcPr>
          <w:p>
            <w:pPr>
              <w:spacing w:before="40" w:after="40" w:line="250" w:lineRule="auto"/>
              <w:ind w:left="0"/>
              <w:jc w:val="left"/>
            </w:pPr>
            <w:r>
              <w:rPr>
                <w:rFonts w:eastAsia="等线" w:ascii="Arial" w:hAnsi="Arial" w:cs="Arial"/>
                <w:sz w:val="16"/>
              </w:rPr>
              <w:t>43.86% / 44.42%</w:t>
            </w:r>
          </w:p>
        </w:tc>
        <w:tc>
          <w:tcPr>
            <w:tcW w:w="2500" w:type="dxa"/>
            <w:shd w:fill="FFFFFF"/>
            <w:vAlign w:val="center"/>
          </w:tcPr>
          <w:p>
            <w:pPr>
              <w:spacing w:before="40" w:after="40" w:line="250" w:lineRule="auto"/>
              <w:ind w:left="0"/>
              <w:jc w:val="left"/>
            </w:pPr>
            <w:r>
              <w:rPr>
                <w:rFonts w:eastAsia="等线" w:ascii="Arial" w:hAnsi="Arial" w:cs="Arial"/>
                <w:sz w:val="16"/>
              </w:rPr>
              <w:t>77.36% / 17.95%</w:t>
            </w:r>
          </w:p>
        </w:tc>
        <w:tc>
          <w:tcPr>
            <w:tcW w:w="1700" w:type="dxa"/>
            <w:shd w:fill="FFFFFF"/>
            <w:vAlign w:val="center"/>
          </w:tcPr>
          <w:p>
            <w:pPr>
              <w:spacing w:before="40" w:after="40" w:line="250" w:lineRule="auto"/>
              <w:ind w:left="0"/>
              <w:jc w:val="left"/>
            </w:pPr>
            <w:r>
              <w:rPr>
                <w:rFonts w:eastAsia="等线" w:ascii="Arial" w:hAnsi="Arial" w:cs="Arial"/>
                <w:sz w:val="16"/>
              </w:rPr>
              <w:t>+33.50 pp</w:t>
            </w:r>
          </w:p>
        </w:tc>
        <w:tc>
          <w:tcPr>
            <w:tcW w:w="1800" w:type="dxa"/>
            <w:shd w:fill="FFFFFF"/>
            <w:vAlign w:val="center"/>
          </w:tcPr>
          <w:p>
            <w:pPr>
              <w:spacing w:before="40" w:after="40" w:line="250" w:lineRule="auto"/>
              <w:ind w:left="0"/>
              <w:jc w:val="left"/>
            </w:pPr>
            <w:r>
              <w:rPr>
                <w:rFonts w:eastAsia="等线" w:ascii="Arial" w:hAnsi="Arial" w:cs="Arial"/>
                <w:sz w:val="16"/>
              </w:rPr>
              <w:t>+26.47 pp</w:t>
            </w:r>
          </w:p>
        </w:tc>
      </w:tr>
    </w:tbl>
    <w:p>
      <w:pPr>
        <w:spacing w:before="120" w:after="120" w:line="288" w:lineRule="auto"/>
        <w:ind w:left="0" w:firstLine="420"/>
        <w:jc w:val="left"/>
      </w:pPr>
      <w:r>
        <w:rPr>
          <w:rFonts w:eastAsia="等线" w:ascii="Arial" w:hAnsi="Arial" w:cs="Arial"/>
          <w:sz w:val="22"/>
        </w:rPr>
        <w:t>阶段性结论是：当前低响应阈值处理对全零件和圆盘区域的提升最明确，证明低响应背景点确实是相对误差和 log 损失口径下的重要干扰源；耳片区域高响应段相对误差已降至 15% 到 21% 区间，但整体背景段仍是后续校准和专项优化重点。</w:t>
      </w:r>
    </w:p>
    <w:p>
      <w:pPr>
        <w:pStyle w:val="2"/>
        <w:spacing w:before="320" w:after="120" w:line="288" w:lineRule="auto"/>
        <w:ind w:left="0"/>
        <w:jc w:val="left"/>
        <w:outlineLvl w:val="1"/>
      </w:pPr>
      <w:r>
        <w:rPr>
          <w:rFonts w:eastAsia="等线" w:ascii="Arial" w:hAnsi="Arial" w:cs="Arial"/>
          <w:b w:val="true"/>
          <w:sz w:val="32"/>
        </w:rPr>
        <w:t>8. 工程应用价值</w:t>
      </w:r>
    </w:p>
    <w:p>
      <w:pPr>
        <w:spacing w:before="120" w:after="120" w:line="288" w:lineRule="auto"/>
        <w:ind w:left="0" w:firstLine="420"/>
        <w:jc w:val="left"/>
      </w:pPr>
      <w:r>
        <w:rPr>
          <w:rFonts w:eastAsia="等线" w:ascii="Arial" w:hAnsi="Arial" w:cs="Arial"/>
          <w:sz w:val="22"/>
        </w:rPr>
        <w:t>当前模型的价值不在于替代最终有限元校核，而在于把高成本仿真前置筛查变成快速、可批量、可诊断的工程流程。模型可在方案早期给出全场应力分布趋势、重点热点区域和需要复核的频率/区域，从而提升仿真资源使用效率。</w:t>
      </w:r>
    </w:p>
    <w:p>
      <w:pPr>
        <w:pStyle w:val="3"/>
        <w:spacing w:before="260" w:after="100" w:line="288" w:lineRule="auto"/>
        <w:ind w:left="0"/>
        <w:jc w:val="left"/>
        <w:outlineLvl w:val="2"/>
      </w:pPr>
      <w:r>
        <w:rPr>
          <w:rFonts w:eastAsia="等线" w:ascii="Arial" w:hAnsi="Arial" w:cs="Arial"/>
          <w:b w:val="true"/>
          <w:sz w:val="26"/>
        </w:rPr>
        <w:t>8.1 提升方案筛查效率</w:t>
      </w:r>
    </w:p>
    <w:p>
      <w:pPr>
        <w:spacing w:before="120" w:after="120" w:line="288" w:lineRule="auto"/>
        <w:ind w:left="0" w:firstLine="420"/>
        <w:jc w:val="left"/>
      </w:pPr>
      <w:r>
        <w:rPr>
          <w:rFonts w:eastAsia="等线" w:ascii="Arial" w:hAnsi="Arial" w:cs="Arial"/>
          <w:sz w:val="22"/>
        </w:rPr>
        <w:t>传统流程中，每个几何方案和配重组合都需要完整建模、求解和后处理。代理模型训练完成后，可对候选方案进行快速全场预测，用于初筛明显低风险方案和定位高风险方案。工程团队可将高保真有限元计算集中在模型提示的风险方案、临界工况和异常区域上。</w:t>
      </w:r>
    </w:p>
    <w:p>
      <w:pPr>
        <w:pStyle w:val="3"/>
        <w:spacing w:before="260" w:after="100" w:line="288" w:lineRule="auto"/>
        <w:ind w:left="0"/>
        <w:jc w:val="left"/>
        <w:outlineLvl w:val="2"/>
      </w:pPr>
      <w:r>
        <w:rPr>
          <w:rFonts w:eastAsia="等线" w:ascii="Arial" w:hAnsi="Arial" w:cs="Arial"/>
          <w:b w:val="true"/>
          <w:sz w:val="26"/>
        </w:rPr>
        <w:t>8.2 强化高风险区域识别能力</w:t>
      </w:r>
    </w:p>
    <w:p>
      <w:pPr>
        <w:spacing w:before="120" w:after="120" w:line="288" w:lineRule="auto"/>
        <w:ind w:left="0" w:firstLine="420"/>
        <w:jc w:val="left"/>
      </w:pPr>
      <w:r>
        <w:rPr>
          <w:rFonts w:eastAsia="等线" w:ascii="Arial" w:hAnsi="Arial" w:cs="Arial"/>
          <w:sz w:val="22"/>
        </w:rPr>
        <w:t>模型输出不是单一最大值，而是覆盖全场节点、频率帧和最终 RMises 的分布结果。结合高响应分层评估，可以重点查看 top1%、top5%、top25% 高响应节点。当前独立测试集中，全零件 RMises top1% within25 达到 95.67%，耳片区域 RMises top5% within25 达到 95.70%，说明模型对工程关注的危险节点具有较强识别能力。</w:t>
      </w:r>
    </w:p>
    <w:p>
      <w:pPr>
        <w:pStyle w:val="3"/>
        <w:spacing w:before="260" w:after="100" w:line="288" w:lineRule="auto"/>
        <w:ind w:left="0"/>
        <w:jc w:val="left"/>
        <w:outlineLvl w:val="2"/>
      </w:pPr>
      <w:r>
        <w:rPr>
          <w:rFonts w:eastAsia="等线" w:ascii="Arial" w:hAnsi="Arial" w:cs="Arial"/>
          <w:b w:val="true"/>
          <w:sz w:val="26"/>
        </w:rPr>
        <w:t>8.3 支撑区域化诊断和设计迭代</w:t>
      </w:r>
    </w:p>
    <w:p>
      <w:pPr>
        <w:spacing w:before="120" w:after="120" w:line="288" w:lineRule="auto"/>
        <w:ind w:left="0" w:firstLine="420"/>
        <w:jc w:val="left"/>
      </w:pPr>
      <w:r>
        <w:rPr>
          <w:rFonts w:eastAsia="等线" w:ascii="Arial" w:hAnsi="Arial" w:cs="Arial"/>
          <w:sz w:val="22"/>
        </w:rPr>
        <w:t>通过分区域指标，模型能够区分耳片固定孔/根部、圆盘中心耦合区、板孔邻域等不同响应机制。对于设计人员，模型结果可以转化为更直接的设计反馈：哪些区域对几何变化敏感，哪些频段可能诱发热点，哪些节点应进入下一轮有限元复核。</w:t>
      </w:r>
    </w:p>
    <w:p>
      <w:pPr>
        <w:pStyle w:val="3"/>
        <w:spacing w:before="260" w:after="100" w:line="288" w:lineRule="auto"/>
        <w:ind w:left="0"/>
        <w:jc w:val="left"/>
        <w:outlineLvl w:val="2"/>
      </w:pPr>
      <w:r>
        <w:rPr>
          <w:rFonts w:eastAsia="等线" w:ascii="Arial" w:hAnsi="Arial" w:cs="Arial"/>
          <w:b w:val="true"/>
          <w:sz w:val="26"/>
        </w:rPr>
        <w:t>8.4 沉淀可复用的 AI 辅助仿真方法</w:t>
      </w:r>
    </w:p>
    <w:p>
      <w:pPr>
        <w:spacing w:before="120" w:after="120" w:line="288" w:lineRule="auto"/>
        <w:ind w:left="0" w:firstLine="420"/>
        <w:jc w:val="left"/>
      </w:pPr>
      <w:r>
        <w:rPr>
          <w:rFonts w:eastAsia="等线" w:ascii="Arial" w:hAnsi="Arial" w:cs="Arial"/>
          <w:sz w:val="22"/>
        </w:rPr>
        <w:t>本项目形成了一套可复用方法：仿真数据组织、节点级物理特征构建、长尾目标处理、热点分层评估、RMises 汇总和区域诊断。后续可迁移到其他结构件、其他载荷谱、其他材料或其他强度校核指标，降低新项目从零搭建 AI 代理模型的成本。</w:t>
      </w:r>
    </w:p>
    <w:p>
      <w:pPr>
        <w:pStyle w:val="3"/>
        <w:spacing w:before="260" w:after="100" w:line="288" w:lineRule="auto"/>
        <w:ind w:left="0"/>
        <w:jc w:val="left"/>
        <w:outlineLvl w:val="2"/>
      </w:pPr>
      <w:r>
        <w:rPr>
          <w:rFonts w:eastAsia="等线" w:ascii="Arial" w:hAnsi="Arial" w:cs="Arial"/>
          <w:b w:val="true"/>
          <w:sz w:val="26"/>
        </w:rPr>
        <w:t>8.5 支撑仿真数据与实测数据融合校准</w:t>
      </w:r>
    </w:p>
    <w:p>
      <w:pPr>
        <w:spacing w:before="120" w:after="120" w:line="288" w:lineRule="auto"/>
        <w:ind w:left="0" w:firstLine="420"/>
        <w:jc w:val="left"/>
      </w:pPr>
      <w:r>
        <w:rPr>
          <w:rFonts w:eastAsia="等线" w:ascii="Arial" w:hAnsi="Arial" w:cs="Arial"/>
          <w:sz w:val="22"/>
        </w:rPr>
        <w:t>长期看，代理模型可作为仿真和试验之间的桥梁。有限元提供大规模全场标签，少量传感器实测提供真实约束；模型可在二者之间做偏差校准、场量补全和不确定性提示，帮助工程团队形成更接近真实服役状态的全场应力判断。</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firstRow="1" w:noHBand="0" w:noVBand="1"/>
      </w:tblPr>
      <w:tr>
        <w:tc>
          <w:tcPr>
            <w:tcW w:w="2600" w:type="dxa"/>
            <w:shd w:fill="1F4E79"/>
            <w:vAlign w:val="center"/>
          </w:tcPr>
          <w:p>
            <w:pPr>
              <w:spacing w:before="40" w:after="40" w:line="250" w:lineRule="auto"/>
              <w:ind w:left="0"/>
              <w:jc w:val="center"/>
            </w:pPr>
            <w:r>
              <w:rPr>
                <w:rFonts w:eastAsia="等线" w:ascii="Arial" w:hAnsi="Arial" w:cs="Arial"/>
                <w:b w:val="true"/>
                <w:color w:val="FFFFFF"/>
                <w:sz w:val="18"/>
              </w:rPr>
              <w:t>应用场景</w:t>
            </w:r>
          </w:p>
        </w:tc>
        <w:tc>
          <w:tcPr>
            <w:tcW w:w="4200" w:type="dxa"/>
            <w:shd w:fill="1F4E79"/>
            <w:vAlign w:val="center"/>
          </w:tcPr>
          <w:p>
            <w:pPr>
              <w:spacing w:before="40" w:after="40" w:line="250" w:lineRule="auto"/>
              <w:ind w:left="0"/>
              <w:jc w:val="center"/>
            </w:pPr>
            <w:r>
              <w:rPr>
                <w:rFonts w:eastAsia="等线" w:ascii="Arial" w:hAnsi="Arial" w:cs="Arial"/>
                <w:b w:val="true"/>
                <w:color w:val="FFFFFF"/>
                <w:sz w:val="18"/>
              </w:rPr>
              <w:t>模型输出</w:t>
            </w:r>
          </w:p>
        </w:tc>
        <w:tc>
          <w:tcPr>
            <w:tcW w:w="4200" w:type="dxa"/>
            <w:shd w:fill="1F4E79"/>
            <w:vAlign w:val="center"/>
          </w:tcPr>
          <w:p>
            <w:pPr>
              <w:spacing w:before="40" w:after="40" w:line="250" w:lineRule="auto"/>
              <w:ind w:left="0"/>
              <w:jc w:val="center"/>
            </w:pPr>
            <w:r>
              <w:rPr>
                <w:rFonts w:eastAsia="等线" w:ascii="Arial" w:hAnsi="Arial" w:cs="Arial"/>
                <w:b w:val="true"/>
                <w:color w:val="FFFFFF"/>
                <w:sz w:val="18"/>
              </w:rPr>
              <w:t>工程使用方式</w:t>
            </w:r>
          </w:p>
        </w:tc>
      </w:tr>
      <w:tr>
        <w:tc>
          <w:tcPr>
            <w:tcW w:w="2600" w:type="dxa"/>
            <w:shd w:fill="FFFFFF"/>
            <w:vAlign w:val="center"/>
          </w:tcPr>
          <w:p>
            <w:pPr>
              <w:spacing w:before="40" w:after="40" w:line="250" w:lineRule="auto"/>
              <w:ind w:left="0"/>
              <w:jc w:val="left"/>
            </w:pPr>
            <w:r>
              <w:rPr>
                <w:rFonts w:eastAsia="等线" w:ascii="Arial" w:hAnsi="Arial" w:cs="Arial"/>
                <w:sz w:val="18"/>
              </w:rPr>
              <w:t>方案快速筛查</w:t>
            </w:r>
          </w:p>
        </w:tc>
        <w:tc>
          <w:tcPr>
            <w:tcW w:w="4200" w:type="dxa"/>
            <w:shd w:fill="FFFFFF"/>
            <w:vAlign w:val="center"/>
          </w:tcPr>
          <w:p>
            <w:pPr>
              <w:spacing w:before="40" w:after="40" w:line="250" w:lineRule="auto"/>
              <w:ind w:left="0"/>
              <w:jc w:val="left"/>
            </w:pPr>
            <w:r>
              <w:rPr>
                <w:rFonts w:eastAsia="等线" w:ascii="Arial" w:hAnsi="Arial" w:cs="Arial"/>
                <w:sz w:val="18"/>
              </w:rPr>
              <w:t>全场 PSD / RMises 预测、within25 可信区间参考</w:t>
            </w:r>
          </w:p>
        </w:tc>
        <w:tc>
          <w:tcPr>
            <w:tcW w:w="4200" w:type="dxa"/>
            <w:shd w:fill="FFFFFF"/>
            <w:vAlign w:val="center"/>
          </w:tcPr>
          <w:p>
            <w:pPr>
              <w:spacing w:before="40" w:after="40" w:line="250" w:lineRule="auto"/>
              <w:ind w:left="0"/>
              <w:jc w:val="left"/>
            </w:pPr>
            <w:r>
              <w:rPr>
                <w:rFonts w:eastAsia="等线" w:ascii="Arial" w:hAnsi="Arial" w:cs="Arial"/>
                <w:sz w:val="18"/>
              </w:rPr>
              <w:t>批量筛掉低风险方案，减少盲目高保真仿真</w:t>
            </w:r>
          </w:p>
        </w:tc>
      </w:tr>
      <w:tr>
        <w:tc>
          <w:tcPr>
            <w:tcW w:w="2600" w:type="dxa"/>
            <w:shd w:fill="FFFFFF"/>
            <w:vAlign w:val="center"/>
          </w:tcPr>
          <w:p>
            <w:pPr>
              <w:spacing w:before="40" w:after="40" w:line="250" w:lineRule="auto"/>
              <w:ind w:left="0"/>
              <w:jc w:val="left"/>
            </w:pPr>
            <w:r>
              <w:rPr>
                <w:rFonts w:eastAsia="等线" w:ascii="Arial" w:hAnsi="Arial" w:cs="Arial"/>
                <w:sz w:val="18"/>
              </w:rPr>
              <w:t>热点定位</w:t>
            </w:r>
          </w:p>
        </w:tc>
        <w:tc>
          <w:tcPr>
            <w:tcW w:w="4200" w:type="dxa"/>
            <w:shd w:fill="FFFFFF"/>
            <w:vAlign w:val="center"/>
          </w:tcPr>
          <w:p>
            <w:pPr>
              <w:spacing w:before="40" w:after="40" w:line="250" w:lineRule="auto"/>
              <w:ind w:left="0"/>
              <w:jc w:val="left"/>
            </w:pPr>
            <w:r>
              <w:rPr>
                <w:rFonts w:eastAsia="等线" w:ascii="Arial" w:hAnsi="Arial" w:cs="Arial"/>
                <w:sz w:val="18"/>
              </w:rPr>
              <w:t>top1% / top5% 高响应节点和区域</w:t>
            </w:r>
          </w:p>
        </w:tc>
        <w:tc>
          <w:tcPr>
            <w:tcW w:w="4200" w:type="dxa"/>
            <w:shd w:fill="FFFFFF"/>
            <w:vAlign w:val="center"/>
          </w:tcPr>
          <w:p>
            <w:pPr>
              <w:spacing w:before="40" w:after="40" w:line="250" w:lineRule="auto"/>
              <w:ind w:left="0"/>
              <w:jc w:val="left"/>
            </w:pPr>
            <w:r>
              <w:rPr>
                <w:rFonts w:eastAsia="等线" w:ascii="Arial" w:hAnsi="Arial" w:cs="Arial"/>
                <w:sz w:val="18"/>
              </w:rPr>
              <w:t>指导局部网格加密、结构加强和重点复核</w:t>
            </w:r>
          </w:p>
        </w:tc>
      </w:tr>
      <w:tr>
        <w:tc>
          <w:tcPr>
            <w:tcW w:w="2600" w:type="dxa"/>
            <w:shd w:fill="FFFFFF"/>
            <w:vAlign w:val="center"/>
          </w:tcPr>
          <w:p>
            <w:pPr>
              <w:spacing w:before="40" w:after="40" w:line="250" w:lineRule="auto"/>
              <w:ind w:left="0"/>
              <w:jc w:val="left"/>
            </w:pPr>
            <w:r>
              <w:rPr>
                <w:rFonts w:eastAsia="等线" w:ascii="Arial" w:hAnsi="Arial" w:cs="Arial"/>
                <w:sz w:val="18"/>
              </w:rPr>
              <w:t>频率诊断</w:t>
            </w:r>
          </w:p>
        </w:tc>
        <w:tc>
          <w:tcPr>
            <w:tcW w:w="4200" w:type="dxa"/>
            <w:shd w:fill="FFFFFF"/>
            <w:vAlign w:val="center"/>
          </w:tcPr>
          <w:p>
            <w:pPr>
              <w:spacing w:before="40" w:after="40" w:line="250" w:lineRule="auto"/>
              <w:ind w:left="0"/>
              <w:jc w:val="left"/>
            </w:pPr>
            <w:r>
              <w:rPr>
                <w:rFonts w:eastAsia="等线" w:ascii="Arial" w:hAnsi="Arial" w:cs="Arial"/>
                <w:sz w:val="18"/>
              </w:rPr>
              <w:t>单频 PSD 响应曲线与模态邻域响应</w:t>
            </w:r>
          </w:p>
        </w:tc>
        <w:tc>
          <w:tcPr>
            <w:tcW w:w="4200" w:type="dxa"/>
            <w:shd w:fill="FFFFFF"/>
            <w:vAlign w:val="center"/>
          </w:tcPr>
          <w:p>
            <w:pPr>
              <w:spacing w:before="40" w:after="40" w:line="250" w:lineRule="auto"/>
              <w:ind w:left="0"/>
              <w:jc w:val="left"/>
            </w:pPr>
            <w:r>
              <w:rPr>
                <w:rFonts w:eastAsia="等线" w:ascii="Arial" w:hAnsi="Arial" w:cs="Arial"/>
                <w:sz w:val="18"/>
              </w:rPr>
              <w:t>定位可能的共振频段和主导模态</w:t>
            </w:r>
          </w:p>
        </w:tc>
      </w:tr>
      <w:tr>
        <w:tc>
          <w:tcPr>
            <w:tcW w:w="2600" w:type="dxa"/>
            <w:shd w:fill="FFFFFF"/>
            <w:vAlign w:val="center"/>
          </w:tcPr>
          <w:p>
            <w:pPr>
              <w:spacing w:before="40" w:after="40" w:line="250" w:lineRule="auto"/>
              <w:ind w:left="0"/>
              <w:jc w:val="left"/>
            </w:pPr>
            <w:r>
              <w:rPr>
                <w:rFonts w:eastAsia="等线" w:ascii="Arial" w:hAnsi="Arial" w:cs="Arial"/>
                <w:sz w:val="18"/>
              </w:rPr>
              <w:t>区域设计迭代</w:t>
            </w:r>
          </w:p>
        </w:tc>
        <w:tc>
          <w:tcPr>
            <w:tcW w:w="4200" w:type="dxa"/>
            <w:shd w:fill="FFFFFF"/>
            <w:vAlign w:val="center"/>
          </w:tcPr>
          <w:p>
            <w:pPr>
              <w:spacing w:before="40" w:after="40" w:line="250" w:lineRule="auto"/>
              <w:ind w:left="0"/>
              <w:jc w:val="left"/>
            </w:pPr>
            <w:r>
              <w:rPr>
                <w:rFonts w:eastAsia="等线" w:ascii="Arial" w:hAnsi="Arial" w:cs="Arial"/>
                <w:sz w:val="18"/>
              </w:rPr>
              <w:t>耳片、圆盘、板孔等分区误差和响应分布</w:t>
            </w:r>
          </w:p>
        </w:tc>
        <w:tc>
          <w:tcPr>
            <w:tcW w:w="4200" w:type="dxa"/>
            <w:shd w:fill="FFFFFF"/>
            <w:vAlign w:val="center"/>
          </w:tcPr>
          <w:p>
            <w:pPr>
              <w:spacing w:before="40" w:after="40" w:line="250" w:lineRule="auto"/>
              <w:ind w:left="0"/>
              <w:jc w:val="left"/>
            </w:pPr>
            <w:r>
              <w:rPr>
                <w:rFonts w:eastAsia="等线" w:ascii="Arial" w:hAnsi="Arial" w:cs="Arial"/>
                <w:sz w:val="18"/>
              </w:rPr>
              <w:t>判断几何修改对局部风险的影响</w:t>
            </w:r>
          </w:p>
        </w:tc>
      </w:tr>
      <w:tr>
        <w:tc>
          <w:tcPr>
            <w:tcW w:w="2600" w:type="dxa"/>
            <w:shd w:fill="FFFFFF"/>
            <w:vAlign w:val="center"/>
          </w:tcPr>
          <w:p>
            <w:pPr>
              <w:spacing w:before="40" w:after="40" w:line="250" w:lineRule="auto"/>
              <w:ind w:left="0"/>
              <w:jc w:val="left"/>
            </w:pPr>
            <w:r>
              <w:rPr>
                <w:rFonts w:eastAsia="等线" w:ascii="Arial" w:hAnsi="Arial" w:cs="Arial"/>
                <w:sz w:val="18"/>
              </w:rPr>
              <w:t>试验融合</w:t>
            </w:r>
          </w:p>
        </w:tc>
        <w:tc>
          <w:tcPr>
            <w:tcW w:w="4200" w:type="dxa"/>
            <w:shd w:fill="FFFFFF"/>
            <w:vAlign w:val="center"/>
          </w:tcPr>
          <w:p>
            <w:pPr>
              <w:spacing w:before="40" w:after="40" w:line="250" w:lineRule="auto"/>
              <w:ind w:left="0"/>
              <w:jc w:val="left"/>
            </w:pPr>
            <w:r>
              <w:rPr>
                <w:rFonts w:eastAsia="等线" w:ascii="Arial" w:hAnsi="Arial" w:cs="Arial"/>
                <w:sz w:val="18"/>
              </w:rPr>
              <w:t>仿真场预测 + 实测校准入口</w:t>
            </w:r>
          </w:p>
        </w:tc>
        <w:tc>
          <w:tcPr>
            <w:tcW w:w="4200" w:type="dxa"/>
            <w:shd w:fill="FFFFFF"/>
            <w:vAlign w:val="center"/>
          </w:tcPr>
          <w:p>
            <w:pPr>
              <w:spacing w:before="40" w:after="40" w:line="250" w:lineRule="auto"/>
              <w:ind w:left="0"/>
              <w:jc w:val="left"/>
            </w:pPr>
            <w:r>
              <w:rPr>
                <w:rFonts w:eastAsia="等线" w:ascii="Arial" w:hAnsi="Arial" w:cs="Arial"/>
                <w:sz w:val="18"/>
              </w:rPr>
              <w:t>为后续数字样机和实测修正提供基础</w:t>
            </w:r>
          </w:p>
        </w:tc>
      </w:tr>
    </w:tbl>
    <w:p>
      <w:pPr>
        <w:pStyle w:val="2"/>
        <w:spacing w:before="320" w:after="120" w:line="288" w:lineRule="auto"/>
        <w:ind w:left="0"/>
        <w:jc w:val="left"/>
        <w:outlineLvl w:val="1"/>
      </w:pPr>
      <w:r>
        <w:rPr>
          <w:rFonts w:eastAsia="等线" w:ascii="Arial" w:hAnsi="Arial" w:cs="Arial"/>
          <w:b w:val="true"/>
          <w:sz w:val="32"/>
        </w:rPr>
        <w:t>9. 当前能力边界与主要风险</w:t>
      </w:r>
    </w:p>
    <w:p>
      <w:pPr>
        <w:spacing w:before="120" w:after="120" w:line="288" w:lineRule="auto"/>
        <w:ind w:left="0" w:firstLine="420"/>
        <w:jc w:val="left"/>
      </w:pPr>
      <w:r>
        <w:rPr>
          <w:rFonts w:eastAsia="等线" w:ascii="Arial" w:hAnsi="Arial" w:cs="Arial"/>
          <w:sz w:val="22"/>
        </w:rPr>
        <w:t>当前模型已具备工程辅助分析价值，但仍处于工程验证阶段，不能表述为完全替代有限元仿真的成熟产品。建议定位为“快速筛查、热点提示和仿真优先级排序工具”，关键结论仍需有限元和试验复核。</w:t>
      </w:r>
    </w:p>
    <w:p>
      <w:pPr>
        <w:pStyle w:val="3"/>
        <w:spacing w:before="260" w:after="100" w:line="288" w:lineRule="auto"/>
        <w:ind w:left="0"/>
        <w:jc w:val="left"/>
        <w:outlineLvl w:val="2"/>
      </w:pPr>
      <w:r>
        <w:rPr>
          <w:rFonts w:eastAsia="等线" w:ascii="Arial" w:hAnsi="Arial" w:cs="Arial"/>
          <w:b w:val="true"/>
          <w:sz w:val="26"/>
        </w:rPr>
        <w:t>9.1 低响应阈值评估口径限制</w:t>
      </w:r>
    </w:p>
    <w:p>
      <w:pPr>
        <w:spacing w:before="120" w:after="120" w:line="288" w:lineRule="auto"/>
        <w:ind w:left="0" w:firstLine="420"/>
        <w:jc w:val="left"/>
      </w:pPr>
      <w:r>
        <w:rPr>
          <w:rFonts w:eastAsia="等线" w:ascii="Arial" w:hAnsi="Arial" w:cs="Arial"/>
          <w:sz w:val="22"/>
        </w:rPr>
        <w:t>本阶段所有终版指标均按低响应阈值口径计算，即目标应力谱密度小于 200 的点在训练和评估时统一按 200 参与相对误差、log 误差和 RMises 积分。因此，报告结果适合判断该策略下的模型效果，但不能直接等同于原始未阈值处理口径下的泛化精度。若需要评估真实低响应背景区域误差，需要补充原始口径下的对照评估。</w:t>
      </w:r>
    </w:p>
    <w:p>
      <w:pPr>
        <w:pStyle w:val="3"/>
        <w:spacing w:before="260" w:after="100" w:line="288" w:lineRule="auto"/>
        <w:ind w:left="0"/>
        <w:jc w:val="left"/>
        <w:outlineLvl w:val="2"/>
      </w:pPr>
      <w:r>
        <w:rPr>
          <w:rFonts w:eastAsia="等线" w:ascii="Arial" w:hAnsi="Arial" w:cs="Arial"/>
          <w:b w:val="true"/>
          <w:sz w:val="26"/>
        </w:rPr>
        <w:t>9.2 极端峰值仍有低估风险</w:t>
      </w:r>
    </w:p>
    <w:p>
      <w:pPr>
        <w:spacing w:before="120" w:after="120" w:line="288" w:lineRule="auto"/>
        <w:ind w:left="0" w:firstLine="420"/>
        <w:jc w:val="left"/>
      </w:pPr>
      <w:r>
        <w:rPr>
          <w:rFonts w:eastAsia="等线" w:ascii="Arial" w:hAnsi="Arial" w:cs="Arial"/>
          <w:sz w:val="22"/>
        </w:rPr>
        <w:t>模型对高响应热点的整体命中率较高，但极端单点峰值仍可能低估。RMises 区域评估中，全零件 target_rmises_max 为 612,647，pred_rmises_max 为 411,525，说明最高单点幅值仍需谨慎解释。工程使用时，应优先相信模型对风险区域和频段的提示，再用有限元对峰值幅值做确认。</w:t>
      </w:r>
    </w:p>
    <w:p>
      <w:pPr>
        <w:pStyle w:val="3"/>
        <w:spacing w:before="260" w:after="100" w:line="288" w:lineRule="auto"/>
        <w:ind w:left="0"/>
        <w:jc w:val="left"/>
        <w:outlineLvl w:val="2"/>
      </w:pPr>
      <w:r>
        <w:rPr>
          <w:rFonts w:eastAsia="等线" w:ascii="Arial" w:hAnsi="Arial" w:cs="Arial"/>
          <w:b w:val="true"/>
          <w:sz w:val="26"/>
        </w:rPr>
        <w:t>9.3 不同区域成熟度不一致</w:t>
      </w:r>
    </w:p>
    <w:p>
      <w:pPr>
        <w:spacing w:before="120" w:after="120" w:line="288" w:lineRule="auto"/>
        <w:ind w:left="0" w:firstLine="420"/>
        <w:jc w:val="left"/>
      </w:pPr>
      <w:r>
        <w:rPr>
          <w:rFonts w:eastAsia="等线" w:ascii="Arial" w:hAnsi="Arial" w:cs="Arial"/>
          <w:sz w:val="22"/>
        </w:rPr>
        <w:t>圆盘区域 overall 指标较稳，耳片区域在最终 RMises 高响应段表现较好，但耳片逐频 PSD overall within25 为 68.28%，说明耳片低/中响应背景区域和局部复杂几何仍更难拟合。后续应继续做耳片区域校准、局部特征增强和分域模型组合。</w:t>
      </w:r>
    </w:p>
    <w:p>
      <w:pPr>
        <w:pStyle w:val="3"/>
        <w:spacing w:before="260" w:after="100" w:line="288" w:lineRule="auto"/>
        <w:ind w:left="0"/>
        <w:jc w:val="left"/>
        <w:outlineLvl w:val="2"/>
      </w:pPr>
      <w:r>
        <w:rPr>
          <w:rFonts w:eastAsia="等线" w:ascii="Arial" w:hAnsi="Arial" w:cs="Arial"/>
          <w:b w:val="true"/>
          <w:sz w:val="26"/>
        </w:rPr>
        <w:t>9.4 数据分布决定泛化边界</w:t>
      </w:r>
    </w:p>
    <w:p>
      <w:pPr>
        <w:spacing w:before="120" w:after="120" w:line="288" w:lineRule="auto"/>
        <w:ind w:left="0" w:firstLine="420"/>
        <w:jc w:val="left"/>
      </w:pPr>
      <w:r>
        <w:rPr>
          <w:rFonts w:eastAsia="等线" w:ascii="Arial" w:hAnsi="Arial" w:cs="Arial"/>
          <w:sz w:val="22"/>
        </w:rPr>
        <w:t>模型可信范围由训练数据覆盖范围决定。若新方案超出现有几何尺寸、质量范围、材料参数、边界条件、PSD 谱形或频率范围，预测可信度会下降。对于超出分布的方案，应补充有限元样本或引入不确定性提示，而不应直接把模型输出作为最终强度结论。</w:t>
      </w:r>
    </w:p>
    <w:p>
      <w:pPr>
        <w:pStyle w:val="3"/>
        <w:spacing w:before="260" w:after="100" w:line="288" w:lineRule="auto"/>
        <w:ind w:left="0"/>
        <w:jc w:val="left"/>
        <w:outlineLvl w:val="2"/>
      </w:pPr>
      <w:r>
        <w:rPr>
          <w:rFonts w:eastAsia="等线" w:ascii="Arial" w:hAnsi="Arial" w:cs="Arial"/>
          <w:b w:val="true"/>
          <w:sz w:val="26"/>
        </w:rPr>
        <w:t>9.5 建议的工程使用边界</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firstRow="1" w:noHBand="0" w:noVBand="1"/>
      </w:tblPr>
      <w:tr>
        <w:tc>
          <w:tcPr>
            <w:tcW w:w="2500" w:type="dxa"/>
            <w:shd w:fill="1F4E79"/>
            <w:vAlign w:val="center"/>
          </w:tcPr>
          <w:p>
            <w:pPr>
              <w:spacing w:before="40" w:after="40" w:line="250" w:lineRule="auto"/>
              <w:ind w:left="0"/>
              <w:jc w:val="center"/>
            </w:pPr>
            <w:r>
              <w:rPr>
                <w:rFonts w:eastAsia="等线" w:ascii="Arial" w:hAnsi="Arial" w:cs="Arial"/>
                <w:b w:val="true"/>
                <w:color w:val="FFFFFF"/>
                <w:sz w:val="18"/>
              </w:rPr>
              <w:t>风险项</w:t>
            </w:r>
          </w:p>
        </w:tc>
        <w:tc>
          <w:tcPr>
            <w:tcW w:w="3900" w:type="dxa"/>
            <w:shd w:fill="1F4E79"/>
            <w:vAlign w:val="center"/>
          </w:tcPr>
          <w:p>
            <w:pPr>
              <w:spacing w:before="40" w:after="40" w:line="250" w:lineRule="auto"/>
              <w:ind w:left="0"/>
              <w:jc w:val="center"/>
            </w:pPr>
            <w:r>
              <w:rPr>
                <w:rFonts w:eastAsia="等线" w:ascii="Arial" w:hAnsi="Arial" w:cs="Arial"/>
                <w:b w:val="true"/>
                <w:color w:val="FFFFFF"/>
                <w:sz w:val="18"/>
              </w:rPr>
              <w:t>当前表现</w:t>
            </w:r>
          </w:p>
        </w:tc>
        <w:tc>
          <w:tcPr>
            <w:tcW w:w="4600" w:type="dxa"/>
            <w:shd w:fill="1F4E79"/>
            <w:vAlign w:val="center"/>
          </w:tcPr>
          <w:p>
            <w:pPr>
              <w:spacing w:before="40" w:after="40" w:line="250" w:lineRule="auto"/>
              <w:ind w:left="0"/>
              <w:jc w:val="center"/>
            </w:pPr>
            <w:r>
              <w:rPr>
                <w:rFonts w:eastAsia="等线" w:ascii="Arial" w:hAnsi="Arial" w:cs="Arial"/>
                <w:b w:val="true"/>
                <w:color w:val="FFFFFF"/>
                <w:sz w:val="18"/>
              </w:rPr>
              <w:t>建议控制方式</w:t>
            </w:r>
          </w:p>
        </w:tc>
      </w:tr>
      <w:tr>
        <w:tc>
          <w:tcPr>
            <w:tcW w:w="2500" w:type="dxa"/>
            <w:shd w:fill="FFFFFF"/>
            <w:vAlign w:val="center"/>
          </w:tcPr>
          <w:p>
            <w:pPr>
              <w:spacing w:before="40" w:after="40" w:line="250" w:lineRule="auto"/>
              <w:ind w:left="0"/>
              <w:jc w:val="left"/>
            </w:pPr>
            <w:r>
              <w:rPr>
                <w:rFonts w:eastAsia="等线" w:ascii="Arial" w:hAnsi="Arial" w:cs="Arial"/>
                <w:sz w:val="18"/>
              </w:rPr>
              <w:t>低响应背景点</w:t>
            </w:r>
          </w:p>
        </w:tc>
        <w:tc>
          <w:tcPr>
            <w:tcW w:w="3900" w:type="dxa"/>
            <w:shd w:fill="FFFFFF"/>
            <w:vAlign w:val="center"/>
          </w:tcPr>
          <w:p>
            <w:pPr>
              <w:spacing w:before="40" w:after="40" w:line="250" w:lineRule="auto"/>
              <w:ind w:left="0"/>
              <w:jc w:val="left"/>
            </w:pPr>
            <w:r>
              <w:rPr>
                <w:rFonts w:eastAsia="等线" w:ascii="Arial" w:hAnsi="Arial" w:cs="Arial"/>
                <w:sz w:val="18"/>
              </w:rPr>
              <w:t>阈值处理已降低其对训练的主导，但原始口径误差仍需补充确认</w:t>
            </w:r>
          </w:p>
        </w:tc>
        <w:tc>
          <w:tcPr>
            <w:tcW w:w="4600" w:type="dxa"/>
            <w:shd w:fill="FFFFFF"/>
            <w:vAlign w:val="center"/>
          </w:tcPr>
          <w:p>
            <w:pPr>
              <w:spacing w:before="40" w:after="40" w:line="250" w:lineRule="auto"/>
              <w:ind w:left="0"/>
              <w:jc w:val="left"/>
            </w:pPr>
            <w:r>
              <w:rPr>
                <w:rFonts w:eastAsia="等线" w:ascii="Arial" w:hAnsi="Arial" w:cs="Arial"/>
                <w:sz w:val="18"/>
              </w:rPr>
              <w:t>保留当前结果，同时补充原始口径对照评估</w:t>
            </w:r>
          </w:p>
        </w:tc>
      </w:tr>
      <w:tr>
        <w:tc>
          <w:tcPr>
            <w:tcW w:w="2500" w:type="dxa"/>
            <w:shd w:fill="FFFFFF"/>
            <w:vAlign w:val="center"/>
          </w:tcPr>
          <w:p>
            <w:pPr>
              <w:spacing w:before="40" w:after="40" w:line="250" w:lineRule="auto"/>
              <w:ind w:left="0"/>
              <w:jc w:val="left"/>
            </w:pPr>
            <w:r>
              <w:rPr>
                <w:rFonts w:eastAsia="等线" w:ascii="Arial" w:hAnsi="Arial" w:cs="Arial"/>
                <w:sz w:val="18"/>
              </w:rPr>
              <w:t>极端峰值幅值</w:t>
            </w:r>
          </w:p>
        </w:tc>
        <w:tc>
          <w:tcPr>
            <w:tcW w:w="3900" w:type="dxa"/>
            <w:shd w:fill="FFFFFF"/>
            <w:vAlign w:val="center"/>
          </w:tcPr>
          <w:p>
            <w:pPr>
              <w:spacing w:before="40" w:after="40" w:line="250" w:lineRule="auto"/>
              <w:ind w:left="0"/>
              <w:jc w:val="left"/>
            </w:pPr>
            <w:r>
              <w:rPr>
                <w:rFonts w:eastAsia="等线" w:ascii="Arial" w:hAnsi="Arial" w:cs="Arial"/>
                <w:sz w:val="18"/>
              </w:rPr>
              <w:t>热点命中率高，但最高单点可能低估</w:t>
            </w:r>
          </w:p>
        </w:tc>
        <w:tc>
          <w:tcPr>
            <w:tcW w:w="4600" w:type="dxa"/>
            <w:shd w:fill="FFFFFF"/>
            <w:vAlign w:val="center"/>
          </w:tcPr>
          <w:p>
            <w:pPr>
              <w:spacing w:before="40" w:after="40" w:line="250" w:lineRule="auto"/>
              <w:ind w:left="0"/>
              <w:jc w:val="left"/>
            </w:pPr>
            <w:r>
              <w:rPr>
                <w:rFonts w:eastAsia="等线" w:ascii="Arial" w:hAnsi="Arial" w:cs="Arial"/>
                <w:sz w:val="18"/>
              </w:rPr>
              <w:t>峰值结论必须回到有限元或试验复核</w:t>
            </w:r>
          </w:p>
        </w:tc>
      </w:tr>
      <w:tr>
        <w:tc>
          <w:tcPr>
            <w:tcW w:w="2500" w:type="dxa"/>
            <w:shd w:fill="FFFFFF"/>
            <w:vAlign w:val="center"/>
          </w:tcPr>
          <w:p>
            <w:pPr>
              <w:spacing w:before="40" w:after="40" w:line="250" w:lineRule="auto"/>
              <w:ind w:left="0"/>
              <w:jc w:val="left"/>
            </w:pPr>
            <w:r>
              <w:rPr>
                <w:rFonts w:eastAsia="等线" w:ascii="Arial" w:hAnsi="Arial" w:cs="Arial"/>
                <w:sz w:val="18"/>
              </w:rPr>
              <w:t>耳片低/中响应区域</w:t>
            </w:r>
          </w:p>
        </w:tc>
        <w:tc>
          <w:tcPr>
            <w:tcW w:w="3900" w:type="dxa"/>
            <w:shd w:fill="FFFFFF"/>
            <w:vAlign w:val="center"/>
          </w:tcPr>
          <w:p>
            <w:pPr>
              <w:spacing w:before="40" w:after="40" w:line="250" w:lineRule="auto"/>
              <w:ind w:left="0"/>
              <w:jc w:val="left"/>
            </w:pPr>
            <w:r>
              <w:rPr>
                <w:rFonts w:eastAsia="等线" w:ascii="Arial" w:hAnsi="Arial" w:cs="Arial"/>
                <w:sz w:val="18"/>
              </w:rPr>
              <w:t>逐频 PSD overall 指标低于圆盘</w:t>
            </w:r>
          </w:p>
        </w:tc>
        <w:tc>
          <w:tcPr>
            <w:tcW w:w="4600" w:type="dxa"/>
            <w:shd w:fill="FFFFFF"/>
            <w:vAlign w:val="center"/>
          </w:tcPr>
          <w:p>
            <w:pPr>
              <w:spacing w:before="40" w:after="40" w:line="250" w:lineRule="auto"/>
              <w:ind w:left="0"/>
              <w:jc w:val="left"/>
            </w:pPr>
            <w:r>
              <w:rPr>
                <w:rFonts w:eastAsia="等线" w:ascii="Arial" w:hAnsi="Arial" w:cs="Arial"/>
                <w:sz w:val="18"/>
              </w:rPr>
              <w:t>继续进行耳片专项校准和区域化模型融合</w:t>
            </w:r>
          </w:p>
        </w:tc>
      </w:tr>
      <w:tr>
        <w:tc>
          <w:tcPr>
            <w:tcW w:w="2500" w:type="dxa"/>
            <w:shd w:fill="FFFFFF"/>
            <w:vAlign w:val="center"/>
          </w:tcPr>
          <w:p>
            <w:pPr>
              <w:spacing w:before="40" w:after="40" w:line="250" w:lineRule="auto"/>
              <w:ind w:left="0"/>
              <w:jc w:val="left"/>
            </w:pPr>
            <w:r>
              <w:rPr>
                <w:rFonts w:eastAsia="等线" w:ascii="Arial" w:hAnsi="Arial" w:cs="Arial"/>
                <w:sz w:val="18"/>
              </w:rPr>
              <w:t>外推方案</w:t>
            </w:r>
          </w:p>
        </w:tc>
        <w:tc>
          <w:tcPr>
            <w:tcW w:w="3900" w:type="dxa"/>
            <w:shd w:fill="FFFFFF"/>
            <w:vAlign w:val="center"/>
          </w:tcPr>
          <w:p>
            <w:pPr>
              <w:spacing w:before="40" w:after="40" w:line="250" w:lineRule="auto"/>
              <w:ind w:left="0"/>
              <w:jc w:val="left"/>
            </w:pPr>
            <w:r>
              <w:rPr>
                <w:rFonts w:eastAsia="等线" w:ascii="Arial" w:hAnsi="Arial" w:cs="Arial"/>
                <w:sz w:val="18"/>
              </w:rPr>
              <w:t>超出训练分布时可信度下降</w:t>
            </w:r>
          </w:p>
        </w:tc>
        <w:tc>
          <w:tcPr>
            <w:tcW w:w="4600" w:type="dxa"/>
            <w:shd w:fill="FFFFFF"/>
            <w:vAlign w:val="center"/>
          </w:tcPr>
          <w:p>
            <w:pPr>
              <w:spacing w:before="40" w:after="40" w:line="250" w:lineRule="auto"/>
              <w:ind w:left="0"/>
              <w:jc w:val="left"/>
            </w:pPr>
            <w:r>
              <w:rPr>
                <w:rFonts w:eastAsia="等线" w:ascii="Arial" w:hAnsi="Arial" w:cs="Arial"/>
                <w:sz w:val="18"/>
              </w:rPr>
              <w:t>增加相似仿真样本，并标记模型置信范围</w:t>
            </w:r>
          </w:p>
        </w:tc>
      </w:tr>
      <w:tr>
        <w:tc>
          <w:tcPr>
            <w:tcW w:w="2500" w:type="dxa"/>
            <w:shd w:fill="FFFFFF"/>
            <w:vAlign w:val="center"/>
          </w:tcPr>
          <w:p>
            <w:pPr>
              <w:spacing w:before="40" w:after="40" w:line="250" w:lineRule="auto"/>
              <w:ind w:left="0"/>
              <w:jc w:val="left"/>
            </w:pPr>
            <w:r>
              <w:rPr>
                <w:rFonts w:eastAsia="等线" w:ascii="Arial" w:hAnsi="Arial" w:cs="Arial"/>
                <w:sz w:val="18"/>
              </w:rPr>
              <w:t>PSD 工况变化</w:t>
            </w:r>
          </w:p>
        </w:tc>
        <w:tc>
          <w:tcPr>
            <w:tcW w:w="3900" w:type="dxa"/>
            <w:shd w:fill="FFFFFF"/>
            <w:vAlign w:val="center"/>
          </w:tcPr>
          <w:p>
            <w:pPr>
              <w:spacing w:before="40" w:after="40" w:line="250" w:lineRule="auto"/>
              <w:ind w:left="0"/>
              <w:jc w:val="left"/>
            </w:pPr>
            <w:r>
              <w:rPr>
                <w:rFonts w:eastAsia="等线" w:ascii="Arial" w:hAnsi="Arial" w:cs="Arial"/>
                <w:sz w:val="18"/>
              </w:rPr>
              <w:t>若训练谱形变化有限，载荷谱外推能力受限</w:t>
            </w:r>
          </w:p>
        </w:tc>
        <w:tc>
          <w:tcPr>
            <w:tcW w:w="4600" w:type="dxa"/>
            <w:shd w:fill="FFFFFF"/>
            <w:vAlign w:val="center"/>
          </w:tcPr>
          <w:p>
            <w:pPr>
              <w:spacing w:before="40" w:after="40" w:line="250" w:lineRule="auto"/>
              <w:ind w:left="0"/>
              <w:jc w:val="left"/>
            </w:pPr>
            <w:r>
              <w:rPr>
                <w:rFonts w:eastAsia="等线" w:ascii="Arial" w:hAnsi="Arial" w:cs="Arial"/>
                <w:sz w:val="18"/>
              </w:rPr>
              <w:t>补充不同 PSD 谱形和边界条件样本</w:t>
            </w:r>
          </w:p>
        </w:tc>
      </w:tr>
    </w:tbl>
    <w:p>
      <w:pPr>
        <w:spacing w:before="120" w:after="120" w:line="288" w:lineRule="auto"/>
        <w:ind w:left="0" w:firstLine="420"/>
        <w:jc w:val="left"/>
      </w:pPr>
      <w:r>
        <w:rPr>
          <w:rFonts w:eastAsia="等线" w:ascii="Arial" w:hAnsi="Arial" w:cs="Arial"/>
          <w:sz w:val="22"/>
        </w:rPr>
        <w:t>综上，当前模型适合进入工程辅助验证和内部试用阶段：用于方案初筛、热点定位、仿真优先级排序和报告诊断；但在强度定型、极端峰值判定和超出训练分布的新方案上，仍需与高保真有限元及试验数据闭环使用。</w:t>
      </w:r>
    </w:p>
    <w:p>
      <w:pPr>
        <w:pStyle w:val="2"/>
        <w:spacing w:before="320" w:after="120" w:line="288" w:lineRule="auto"/>
        <w:ind w:left="0"/>
        <w:jc w:val="left"/>
        <w:outlineLvl w:val="1"/>
      </w:pPr>
      <w:r>
        <w:rPr>
          <w:rFonts w:eastAsia="等线" w:ascii="Arial" w:hAnsi="Arial" w:cs="Arial"/>
          <w:b w:val="true"/>
          <w:sz w:val="32"/>
        </w:rPr>
        <w:t>10. 后续工作计划</w:t>
      </w:r>
    </w:p>
    <w:p>
      <w:pPr>
        <w:spacing w:before="120" w:after="120" w:line="288" w:lineRule="auto"/>
        <w:ind w:left="0" w:firstLine="420"/>
        <w:jc w:val="left"/>
      </w:pPr>
      <w:r>
        <w:rPr>
          <w:rFonts w:eastAsia="等线" w:ascii="Arial" w:hAnsi="Arial" w:cs="Arial"/>
          <w:sz w:val="22"/>
        </w:rPr>
        <w:t>结合当前模型训练和评估结果，后续工作不宜只依赖继续增加训练轮次，而应围绕误差口径复核、区域分层优化、频率曲线表达、峰值安全校准和工程化闭环五个方向推进。当前模型已完成 100 轮训练，验证集指标在后期仍有小幅改善，说明模型尚未出现明显过拟合；但逐频 PSD 指标、低/中响应背景区域、同量级响应区间的区域差异以及极端峰值幅值仍是主要提升空间。</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firstRow="1" w:noHBand="0" w:noVBand="1"/>
      </w:tblPr>
      <w:tr>
        <w:tc>
          <w:tcPr>
            <w:tcW w:w="1900" w:type="dxa"/>
            <w:shd w:fill="1F4E79"/>
            <w:vAlign w:val="center"/>
          </w:tcPr>
          <w:p>
            <w:pPr>
              <w:spacing w:before="40" w:after="40" w:line="250" w:lineRule="auto"/>
              <w:ind w:left="0"/>
              <w:jc w:val="center"/>
            </w:pPr>
            <w:r>
              <w:rPr>
                <w:rFonts w:eastAsia="等线" w:ascii="Arial" w:hAnsi="Arial" w:cs="Arial"/>
                <w:b w:val="true"/>
                <w:color w:val="FFFFFF"/>
                <w:sz w:val="16"/>
              </w:rPr>
              <w:t>方向</w:t>
            </w:r>
          </w:p>
        </w:tc>
        <w:tc>
          <w:tcPr>
            <w:tcW w:w="3300" w:type="dxa"/>
            <w:shd w:fill="1F4E79"/>
            <w:vAlign w:val="center"/>
          </w:tcPr>
          <w:p>
            <w:pPr>
              <w:spacing w:before="40" w:after="40" w:line="250" w:lineRule="auto"/>
              <w:ind w:left="0"/>
              <w:jc w:val="center"/>
            </w:pPr>
            <w:r>
              <w:rPr>
                <w:rFonts w:eastAsia="等线" w:ascii="Arial" w:hAnsi="Arial" w:cs="Arial"/>
                <w:b w:val="true"/>
                <w:color w:val="FFFFFF"/>
                <w:sz w:val="16"/>
              </w:rPr>
              <w:t>当前依据</w:t>
            </w:r>
          </w:p>
        </w:tc>
        <w:tc>
          <w:tcPr>
            <w:tcW w:w="3300" w:type="dxa"/>
            <w:shd w:fill="1F4E79"/>
            <w:vAlign w:val="center"/>
          </w:tcPr>
          <w:p>
            <w:pPr>
              <w:spacing w:before="40" w:after="40" w:line="250" w:lineRule="auto"/>
              <w:ind w:left="0"/>
              <w:jc w:val="center"/>
            </w:pPr>
            <w:r>
              <w:rPr>
                <w:rFonts w:eastAsia="等线" w:ascii="Arial" w:hAnsi="Arial" w:cs="Arial"/>
                <w:b w:val="true"/>
                <w:color w:val="FFFFFF"/>
                <w:sz w:val="16"/>
              </w:rPr>
              <w:t>主要工作</w:t>
            </w:r>
          </w:p>
        </w:tc>
        <w:tc>
          <w:tcPr>
            <w:tcW w:w="3600" w:type="dxa"/>
            <w:shd w:fill="1F4E79"/>
            <w:vAlign w:val="center"/>
          </w:tcPr>
          <w:p>
            <w:pPr>
              <w:spacing w:before="40" w:after="40" w:line="250" w:lineRule="auto"/>
              <w:ind w:left="0"/>
              <w:jc w:val="center"/>
            </w:pPr>
            <w:r>
              <w:rPr>
                <w:rFonts w:eastAsia="等线" w:ascii="Arial" w:hAnsi="Arial" w:cs="Arial"/>
                <w:b w:val="true"/>
                <w:color w:val="FFFFFF"/>
                <w:sz w:val="16"/>
              </w:rPr>
              <w:t>交付物与验收口径</w:t>
            </w:r>
          </w:p>
        </w:tc>
      </w:tr>
      <w:tr>
        <w:tc>
          <w:tcPr>
            <w:tcW w:w="1900" w:type="dxa"/>
            <w:shd w:fill="FFFFFF"/>
            <w:vAlign w:val="center"/>
          </w:tcPr>
          <w:p>
            <w:pPr>
              <w:spacing w:before="40" w:after="40" w:line="250" w:lineRule="auto"/>
              <w:ind w:left="0"/>
              <w:jc w:val="left"/>
            </w:pPr>
            <w:r>
              <w:rPr>
                <w:rFonts w:eastAsia="等线" w:ascii="Arial" w:hAnsi="Arial" w:cs="Arial"/>
                <w:sz w:val="16"/>
              </w:rPr>
              <w:t>原始口径复核与误差闭环</w:t>
            </w:r>
          </w:p>
        </w:tc>
        <w:tc>
          <w:tcPr>
            <w:tcW w:w="3300" w:type="dxa"/>
            <w:shd w:fill="FFFFFF"/>
            <w:vAlign w:val="center"/>
          </w:tcPr>
          <w:p>
            <w:pPr>
              <w:spacing w:before="40" w:after="40" w:line="250" w:lineRule="auto"/>
              <w:ind w:left="0"/>
              <w:jc w:val="left"/>
            </w:pPr>
            <w:r>
              <w:rPr>
                <w:rFonts w:eastAsia="等线" w:ascii="Arial" w:hAnsi="Arial" w:cs="Arial"/>
                <w:sz w:val="16"/>
              </w:rPr>
              <w:t>当前终版指标采用低响应阈值口径；需要补充原始目标口径下的误差形态，明确低响应背景区域的真实误差边界。</w:t>
            </w:r>
          </w:p>
        </w:tc>
        <w:tc>
          <w:tcPr>
            <w:tcW w:w="3300" w:type="dxa"/>
            <w:shd w:fill="FFFFFF"/>
            <w:vAlign w:val="center"/>
          </w:tcPr>
          <w:p>
            <w:pPr>
              <w:spacing w:before="40" w:after="40" w:line="250" w:lineRule="auto"/>
              <w:ind w:left="0"/>
              <w:jc w:val="left"/>
            </w:pPr>
            <w:r>
              <w:rPr>
                <w:rFonts w:eastAsia="等线" w:ascii="Arial" w:hAnsi="Arial" w:cs="Arial"/>
                <w:sz w:val="16"/>
              </w:rPr>
              <w:t>在独立测试集上并行输出阈值口径与原始口径指标；按响应强度、区域和频率段拆分误差；沉淀逐节点误差样本库。</w:t>
            </w:r>
          </w:p>
        </w:tc>
        <w:tc>
          <w:tcPr>
            <w:tcW w:w="3600" w:type="dxa"/>
            <w:shd w:fill="FFFFFF"/>
            <w:vAlign w:val="center"/>
          </w:tcPr>
          <w:p>
            <w:pPr>
              <w:spacing w:before="40" w:after="40" w:line="250" w:lineRule="auto"/>
              <w:ind w:left="0"/>
              <w:jc w:val="left"/>
            </w:pPr>
            <w:r>
              <w:rPr>
                <w:rFonts w:eastAsia="等线" w:ascii="Arial" w:hAnsi="Arial" w:cs="Arial"/>
                <w:sz w:val="16"/>
              </w:rPr>
              <w:t>原始口径对照评估报告、误差分层表、典型样本误差图谱；形成可解释的模型适用边界，并给出需要有限元复核的触发条件。</w:t>
            </w:r>
          </w:p>
        </w:tc>
      </w:tr>
      <w:tr>
        <w:tc>
          <w:tcPr>
            <w:tcW w:w="1900" w:type="dxa"/>
            <w:shd w:fill="FFFFFF"/>
            <w:vAlign w:val="center"/>
          </w:tcPr>
          <w:p>
            <w:pPr>
              <w:spacing w:before="40" w:after="40" w:line="250" w:lineRule="auto"/>
              <w:ind w:left="0"/>
              <w:jc w:val="left"/>
            </w:pPr>
            <w:r>
              <w:rPr>
                <w:rFonts w:eastAsia="等线" w:ascii="Arial" w:hAnsi="Arial" w:cs="Arial"/>
                <w:sz w:val="16"/>
              </w:rPr>
              <w:t>区域与响应分层专项优化</w:t>
            </w:r>
          </w:p>
        </w:tc>
        <w:tc>
          <w:tcPr>
            <w:tcW w:w="3300" w:type="dxa"/>
            <w:shd w:fill="FFFFFF"/>
            <w:vAlign w:val="center"/>
          </w:tcPr>
          <w:p>
            <w:pPr>
              <w:spacing w:before="40" w:after="40" w:line="250" w:lineRule="auto"/>
              <w:ind w:left="0"/>
              <w:jc w:val="left"/>
            </w:pPr>
            <w:r>
              <w:rPr>
                <w:rFonts w:eastAsia="等线" w:ascii="Arial" w:hAnsi="Arial" w:cs="Arial"/>
                <w:sz w:val="16"/>
              </w:rPr>
              <w:t>最终 RMises 口径已较稳定，但逐频 PSD、耳片低/中响应区域以及圆盘中高响应扩展带仍存在提升空间；平坦响应区实验显示目标量级不是唯一误差来源。</w:t>
            </w:r>
          </w:p>
        </w:tc>
        <w:tc>
          <w:tcPr>
            <w:tcW w:w="3300" w:type="dxa"/>
            <w:shd w:fill="FFFFFF"/>
            <w:vAlign w:val="center"/>
          </w:tcPr>
          <w:p>
            <w:pPr>
              <w:spacing w:before="40" w:after="40" w:line="250" w:lineRule="auto"/>
              <w:ind w:left="0"/>
              <w:jc w:val="left"/>
            </w:pPr>
            <w:r>
              <w:rPr>
                <w:rFonts w:eastAsia="等线" w:ascii="Arial" w:hAnsi="Arial" w:cs="Arial"/>
                <w:sz w:val="16"/>
              </w:rPr>
              <w:t>按低/中/高响应区间建立诊断集；对耳片、圆盘、板孔邻域做局部特征增强、分层损失权重和区域化校准。</w:t>
            </w:r>
          </w:p>
        </w:tc>
        <w:tc>
          <w:tcPr>
            <w:tcW w:w="3600" w:type="dxa"/>
            <w:shd w:fill="FFFFFF"/>
            <w:vAlign w:val="center"/>
          </w:tcPr>
          <w:p>
            <w:pPr>
              <w:spacing w:before="40" w:after="40" w:line="250" w:lineRule="auto"/>
              <w:ind w:left="0"/>
              <w:jc w:val="left"/>
            </w:pPr>
            <w:r>
              <w:rPr>
                <w:rFonts w:eastAsia="等线" w:ascii="Arial" w:hAnsi="Arial" w:cs="Arial"/>
                <w:sz w:val="16"/>
              </w:rPr>
              <w:t>分层优化模型、区域误差对比表、低/中/高响应误差分布图；耳片逐频 PSD overall 指标和圆盘中高响应分层指标取得可量化提升，且高响应 RMises 指标不下降。</w:t>
            </w:r>
          </w:p>
        </w:tc>
      </w:tr>
      <w:tr>
        <w:tc>
          <w:tcPr>
            <w:tcW w:w="1900" w:type="dxa"/>
            <w:shd w:fill="FFFFFF"/>
            <w:vAlign w:val="center"/>
          </w:tcPr>
          <w:p>
            <w:pPr>
              <w:spacing w:before="40" w:after="40" w:line="250" w:lineRule="auto"/>
              <w:ind w:left="0"/>
              <w:jc w:val="left"/>
            </w:pPr>
            <w:r>
              <w:rPr>
                <w:rFonts w:eastAsia="等线" w:ascii="Arial" w:hAnsi="Arial" w:cs="Arial"/>
                <w:sz w:val="16"/>
              </w:rPr>
              <w:t>频率响应曲线表达升级</w:t>
            </w:r>
          </w:p>
        </w:tc>
        <w:tc>
          <w:tcPr>
            <w:tcW w:w="3300" w:type="dxa"/>
            <w:shd w:fill="FFFFFF"/>
            <w:vAlign w:val="center"/>
          </w:tcPr>
          <w:p>
            <w:pPr>
              <w:spacing w:before="40" w:after="40" w:line="250" w:lineRule="auto"/>
              <w:ind w:left="0"/>
              <w:jc w:val="left"/>
            </w:pPr>
            <w:r>
              <w:rPr>
                <w:rFonts w:eastAsia="等线" w:ascii="Arial" w:hAnsi="Arial" w:cs="Arial"/>
                <w:sz w:val="16"/>
              </w:rPr>
              <w:t>当前模型已使用低秩频率曲线表达；已有频率曲线分解实验说明，大量节点曲线可由少量主导曲线模式近似表达。</w:t>
            </w:r>
          </w:p>
        </w:tc>
        <w:tc>
          <w:tcPr>
            <w:tcW w:w="3300" w:type="dxa"/>
            <w:shd w:fill="FFFFFF"/>
            <w:vAlign w:val="center"/>
          </w:tcPr>
          <w:p>
            <w:pPr>
              <w:spacing w:before="40" w:after="40" w:line="250" w:lineRule="auto"/>
              <w:ind w:left="0"/>
              <w:jc w:val="left"/>
            </w:pPr>
            <w:r>
              <w:rPr>
                <w:rFonts w:eastAsia="等线" w:ascii="Arial" w:hAnsi="Arial" w:cs="Arial"/>
                <w:sz w:val="16"/>
              </w:rPr>
              <w:t>引入 SVD 频率基函数诊断；对比不同 rank 的低秩曲线头；增加峰值频率、曲线面积和模态邻域误差指标。</w:t>
            </w:r>
          </w:p>
        </w:tc>
        <w:tc>
          <w:tcPr>
            <w:tcW w:w="3600" w:type="dxa"/>
            <w:shd w:fill="FFFFFF"/>
            <w:vAlign w:val="center"/>
          </w:tcPr>
          <w:p>
            <w:pPr>
              <w:spacing w:before="40" w:after="40" w:line="250" w:lineRule="auto"/>
              <w:ind w:left="0"/>
              <w:jc w:val="left"/>
            </w:pPr>
            <w:r>
              <w:rPr>
                <w:rFonts w:eastAsia="等线" w:ascii="Arial" w:hAnsi="Arial" w:cs="Arial"/>
                <w:sz w:val="16"/>
              </w:rPr>
              <w:t>频率基函数解释报告、rank 对比实验、逐频曲线拟合诊断图；提升逐频 PSD 曲线连续性和峰值频率定位能力，降低积分前误差向 RMises 的传递风险。</w:t>
            </w:r>
          </w:p>
        </w:tc>
      </w:tr>
      <w:tr>
        <w:tc>
          <w:tcPr>
            <w:tcW w:w="1900" w:type="dxa"/>
            <w:shd w:fill="FFFFFF"/>
            <w:vAlign w:val="center"/>
          </w:tcPr>
          <w:p>
            <w:pPr>
              <w:spacing w:before="40" w:after="40" w:line="250" w:lineRule="auto"/>
              <w:ind w:left="0"/>
              <w:jc w:val="left"/>
            </w:pPr>
            <w:r>
              <w:rPr>
                <w:rFonts w:eastAsia="等线" w:ascii="Arial" w:hAnsi="Arial" w:cs="Arial"/>
                <w:sz w:val="16"/>
              </w:rPr>
              <w:t>峰值应力校准与安全侧策略</w:t>
            </w:r>
          </w:p>
        </w:tc>
        <w:tc>
          <w:tcPr>
            <w:tcW w:w="3300" w:type="dxa"/>
            <w:shd w:fill="FFFFFF"/>
            <w:vAlign w:val="center"/>
          </w:tcPr>
          <w:p>
            <w:pPr>
              <w:spacing w:before="40" w:after="40" w:line="250" w:lineRule="auto"/>
              <w:ind w:left="0"/>
              <w:jc w:val="left"/>
            </w:pPr>
            <w:r>
              <w:rPr>
                <w:rFonts w:eastAsia="等线" w:ascii="Arial" w:hAnsi="Arial" w:cs="Arial"/>
                <w:sz w:val="16"/>
              </w:rPr>
              <w:t>当前高响应热点命中率较高，但极端单点峰值仍可能低估；工程定型不能只依赖平均指标。</w:t>
            </w:r>
          </w:p>
        </w:tc>
        <w:tc>
          <w:tcPr>
            <w:tcW w:w="3300" w:type="dxa"/>
            <w:shd w:fill="FFFFFF"/>
            <w:vAlign w:val="center"/>
          </w:tcPr>
          <w:p>
            <w:pPr>
              <w:spacing w:before="40" w:after="40" w:line="250" w:lineRule="auto"/>
              <w:ind w:left="0"/>
              <w:jc w:val="left"/>
            </w:pPr>
            <w:r>
              <w:rPr>
                <w:rFonts w:eastAsia="等线" w:ascii="Arial" w:hAnsi="Arial" w:cs="Arial"/>
                <w:sz w:val="16"/>
              </w:rPr>
              <w:t>建立峰值低估样本集；开展分位数校准、保守修正系数和有限元复核触发规则；输出风险等级提示。</w:t>
            </w:r>
          </w:p>
        </w:tc>
        <w:tc>
          <w:tcPr>
            <w:tcW w:w="3600" w:type="dxa"/>
            <w:shd w:fill="FFFFFF"/>
            <w:vAlign w:val="center"/>
          </w:tcPr>
          <w:p>
            <w:pPr>
              <w:spacing w:before="40" w:after="40" w:line="250" w:lineRule="auto"/>
              <w:ind w:left="0"/>
              <w:jc w:val="left"/>
            </w:pPr>
            <w:r>
              <w:rPr>
                <w:rFonts w:eastAsia="等线" w:ascii="Arial" w:hAnsi="Arial" w:cs="Arial"/>
                <w:sz w:val="16"/>
              </w:rPr>
              <w:t>峰值校准曲线、保守修正建议、有限元复核规则清单；热点区域识别保持稳定，并对极端峰值给出偏安全侧的工程解释口径。</w:t>
            </w:r>
          </w:p>
        </w:tc>
      </w:tr>
      <w:tr>
        <w:tc>
          <w:tcPr>
            <w:tcW w:w="1900" w:type="dxa"/>
            <w:shd w:fill="FFFFFF"/>
            <w:vAlign w:val="center"/>
          </w:tcPr>
          <w:p>
            <w:pPr>
              <w:spacing w:before="40" w:after="40" w:line="250" w:lineRule="auto"/>
              <w:ind w:left="0"/>
              <w:jc w:val="left"/>
            </w:pPr>
            <w:r>
              <w:rPr>
                <w:rFonts w:eastAsia="等线" w:ascii="Arial" w:hAnsi="Arial" w:cs="Arial"/>
                <w:sz w:val="16"/>
              </w:rPr>
              <w:t>工程化工具与闭环验证</w:t>
            </w:r>
          </w:p>
        </w:tc>
        <w:tc>
          <w:tcPr>
            <w:tcW w:w="3300" w:type="dxa"/>
            <w:shd w:fill="FFFFFF"/>
            <w:vAlign w:val="center"/>
          </w:tcPr>
          <w:p>
            <w:pPr>
              <w:spacing w:before="40" w:after="40" w:line="250" w:lineRule="auto"/>
              <w:ind w:left="0"/>
              <w:jc w:val="left"/>
            </w:pPr>
            <w:r>
              <w:rPr>
                <w:rFonts w:eastAsia="等线" w:ascii="Arial" w:hAnsi="Arial" w:cs="Arial"/>
                <w:sz w:val="16"/>
              </w:rPr>
              <w:t>当前方法已形成数据组织、特征构建、模型预测、分层评估和空间可视化链路，需要固化为可重复使用的分析流程。</w:t>
            </w:r>
          </w:p>
        </w:tc>
        <w:tc>
          <w:tcPr>
            <w:tcW w:w="3300" w:type="dxa"/>
            <w:shd w:fill="FFFFFF"/>
            <w:vAlign w:val="center"/>
          </w:tcPr>
          <w:p>
            <w:pPr>
              <w:spacing w:before="40" w:after="40" w:line="250" w:lineRule="auto"/>
              <w:ind w:left="0"/>
              <w:jc w:val="left"/>
            </w:pPr>
            <w:r>
              <w:rPr>
                <w:rFonts w:eastAsia="等线" w:ascii="Arial" w:hAnsi="Arial" w:cs="Arial"/>
                <w:sz w:val="16"/>
              </w:rPr>
              <w:t>建设批量预测入口、自动报告模板、空间热力图、模型版本记录和有限元回灌机制；开展小批量工程试用。</w:t>
            </w:r>
          </w:p>
        </w:tc>
        <w:tc>
          <w:tcPr>
            <w:tcW w:w="3600" w:type="dxa"/>
            <w:shd w:fill="FFFFFF"/>
            <w:vAlign w:val="center"/>
          </w:tcPr>
          <w:p>
            <w:pPr>
              <w:spacing w:before="40" w:after="40" w:line="250" w:lineRule="auto"/>
              <w:ind w:left="0"/>
              <w:jc w:val="left"/>
            </w:pPr>
            <w:r>
              <w:rPr>
                <w:rFonts w:eastAsia="等线" w:ascii="Arial" w:hAnsi="Arial" w:cs="Arial"/>
                <w:sz w:val="16"/>
              </w:rPr>
              <w:t>AI 快速分析原型工具、操作说明、试用方案清单和闭环验证记录；实现从输入工况到应力分布、热点清单和复核建议的自动化输出。</w:t>
            </w:r>
          </w:p>
        </w:tc>
      </w:tr>
    </w:tbl>
    <w:p>
      <w:pPr>
        <w:pStyle w:val="3"/>
        <w:spacing w:before="260" w:after="100" w:line="288" w:lineRule="auto"/>
        <w:ind w:left="0"/>
        <w:jc w:val="left"/>
        <w:outlineLvl w:val="2"/>
      </w:pPr>
      <w:r>
        <w:rPr>
          <w:rFonts w:eastAsia="等线" w:ascii="Arial" w:hAnsi="Arial" w:cs="Arial"/>
          <w:b w:val="true"/>
          <w:sz w:val="26"/>
        </w:rPr>
        <w:t>10.1 原始口径复核与误差闭环</w:t>
      </w:r>
    </w:p>
    <w:p>
      <w:pPr>
        <w:spacing w:before="120" w:after="120" w:line="288" w:lineRule="auto"/>
        <w:ind w:left="0" w:firstLine="420"/>
        <w:jc w:val="left"/>
      </w:pPr>
      <w:r>
        <w:rPr>
          <w:rFonts w:eastAsia="等线" w:ascii="Arial" w:hAnsi="Arial" w:cs="Arial"/>
          <w:sz w:val="22"/>
        </w:rPr>
        <w:t>本阶段终版指标采用低响应阈值口径，即低响应点按统一阈值参与训练和评估。该策略已经显著改善全零件和圆盘区域的 overall within25，但它反映的是当前工程处理口径下的模型效果。为明确模型在真实低响应背景区域的能力边界，下一步需要补充原始目标口径评估。</w:t>
      </w:r>
    </w:p>
    <w:p>
      <w:pPr>
        <w:spacing w:before="120" w:after="120" w:line="288" w:lineRule="auto"/>
        <w:ind w:left="0" w:firstLine="420"/>
        <w:jc w:val="left"/>
      </w:pPr>
      <w:r>
        <w:rPr>
          <w:rFonts w:eastAsia="等线" w:ascii="Arial" w:hAnsi="Arial" w:cs="Arial"/>
          <w:sz w:val="22"/>
        </w:rPr>
        <w:t>具体工作包括：在同一独立测试集上并行输出阈值口径和原始口径指标；按响应强度、区域、频率段和结构方案拆分误差；对误差较大的节点生成空间分布图和样本清单。该工作完成后，应形成“哪些结果可直接用于快速筛查、哪些结果必须回到有限元复核”的触发规则。</w:t>
      </w:r>
    </w:p>
    <w:p>
      <w:pPr>
        <w:pStyle w:val="3"/>
        <w:spacing w:before="260" w:after="100" w:line="288" w:lineRule="auto"/>
        <w:ind w:left="0"/>
        <w:jc w:val="left"/>
        <w:outlineLvl w:val="2"/>
      </w:pPr>
      <w:r>
        <w:rPr>
          <w:rFonts w:eastAsia="等线" w:ascii="Arial" w:hAnsi="Arial" w:cs="Arial"/>
          <w:b w:val="true"/>
          <w:sz w:val="26"/>
        </w:rPr>
        <w:t>10.2 区域与响应分层专项优化</w:t>
      </w:r>
    </w:p>
    <w:p>
      <w:pPr>
        <w:spacing w:before="120" w:after="120" w:line="288" w:lineRule="auto"/>
        <w:ind w:left="0" w:firstLine="420"/>
        <w:jc w:val="left"/>
      </w:pPr>
      <w:r>
        <w:rPr>
          <w:rFonts w:eastAsia="等线" w:ascii="Arial" w:hAnsi="Arial" w:cs="Arial"/>
          <w:sz w:val="22"/>
        </w:rPr>
        <w:t>已有同量级响应区间诊断实验表明，即使只观察 MISES 应力谱密度在 1e6 到 1e7 的节点，不同区域的拟合难度仍存在明显差异：耳片、圆盘和全零件的 overall within25 分别为 68.99%、59.84% 和 63.30%；在 top5% 高响应节点上，耳片达到 90.99%，圆盘为 71.68%。这说明误差并不只由目标值大小决定，局部几何、模态响应和区域特征表达仍是关键因素。</w:t>
      </w:r>
    </w:p>
    <w:p>
      <w:pPr>
        <w:spacing w:before="120" w:after="120" w:line="288" w:lineRule="auto"/>
        <w:ind w:left="0" w:firstLine="420"/>
        <w:jc w:val="left"/>
      </w:pPr>
      <w:r>
        <w:rPr>
          <w:rFonts w:eastAsia="等线" w:ascii="Arial" w:hAnsi="Arial" w:cs="Arial"/>
          <w:sz w:val="22"/>
        </w:rPr>
        <w:t>后续应建立低响应、中响应、高响应三类诊断集，并对耳片固定孔/根部、圆盘中心耦合区、板孔邻域等区域分别评估。优化手段包括局部特征增强、分层损失权重、区域化校准和必要的分域模型组合。验收重点不应只看 overall 指标，还应确认高响应 RMises top1% 到 top25% 指标不下降。</w:t>
      </w:r>
    </w:p>
    <w:p>
      <w:pPr>
        <w:pStyle w:val="3"/>
        <w:spacing w:before="260" w:after="100" w:line="288" w:lineRule="auto"/>
        <w:ind w:left="0"/>
        <w:jc w:val="left"/>
        <w:outlineLvl w:val="2"/>
      </w:pPr>
      <w:r>
        <w:rPr>
          <w:rFonts w:eastAsia="等线" w:ascii="Arial" w:hAnsi="Arial" w:cs="Arial"/>
          <w:b w:val="true"/>
          <w:sz w:val="26"/>
        </w:rPr>
        <w:t>10.3 频率响应曲线表达升级</w:t>
      </w:r>
    </w:p>
    <w:p>
      <w:pPr>
        <w:spacing w:before="120" w:after="120" w:line="288" w:lineRule="auto"/>
        <w:ind w:left="0" w:firstLine="420"/>
        <w:jc w:val="left"/>
      </w:pPr>
      <w:r>
        <w:rPr>
          <w:rFonts w:eastAsia="等线" w:ascii="Arial" w:hAnsi="Arial" w:cs="Arial"/>
          <w:sz w:val="22"/>
        </w:rPr>
        <w:t>当前模型已引入低秩频率曲线表达模块。低秩表示是指用少量基础曲线组合出复杂的频率响应曲线，从而减少模型需要直接学习的自由度。前期 SVD（奇异值分解）分析也表明，高响应节点的频率响应存在可复用的主导曲线模式，因此后续可以进一步把频率曲线结构纳入模型诊断和优化。</w:t>
      </w:r>
    </w:p>
    <w:p>
      <w:pPr>
        <w:spacing w:before="120" w:after="120" w:line="288" w:lineRule="auto"/>
        <w:ind w:left="0" w:firstLine="420"/>
        <w:jc w:val="left"/>
      </w:pPr>
      <w:r>
        <w:rPr>
          <w:rFonts w:eastAsia="等线" w:ascii="Arial" w:hAnsi="Arial" w:cs="Arial"/>
          <w:sz w:val="22"/>
        </w:rPr>
        <w:t>建议开展不同 rank 数量的对比实验，并增加三类曲线级指标：峰值频率误差、曲线面积误差和模态邻域误差。这样可以避免模型只在积分后的 RMises 上表现较好，却在逐频曲线峰值位置或共振邻域存在偏差。该方向的目标是提升逐频 PSD 曲线连续性和峰值频率定位能力，降低积分前误差向最终 RMises 传递的风险。</w:t>
      </w:r>
    </w:p>
    <w:p>
      <w:pPr>
        <w:pStyle w:val="3"/>
        <w:spacing w:before="260" w:after="100" w:line="288" w:lineRule="auto"/>
        <w:ind w:left="0"/>
        <w:jc w:val="left"/>
        <w:outlineLvl w:val="2"/>
      </w:pPr>
      <w:r>
        <w:rPr>
          <w:rFonts w:eastAsia="等线" w:ascii="Arial" w:hAnsi="Arial" w:cs="Arial"/>
          <w:b w:val="true"/>
          <w:sz w:val="26"/>
        </w:rPr>
        <w:t>10.4 峰值应力校准与安全侧策略</w:t>
      </w:r>
    </w:p>
    <w:p>
      <w:pPr>
        <w:spacing w:before="120" w:after="120" w:line="288" w:lineRule="auto"/>
        <w:ind w:left="0" w:firstLine="420"/>
        <w:jc w:val="left"/>
      </w:pPr>
      <w:r>
        <w:rPr>
          <w:rFonts w:eastAsia="等线" w:ascii="Arial" w:hAnsi="Arial" w:cs="Arial"/>
          <w:sz w:val="22"/>
        </w:rPr>
        <w:t>当前模型对高响应热点的定位能力较强，但极端单点峰值仍可能低估。工程应用中，热点位置识别和峰值幅值判定是两个不同问题：前者可用于快速筛查和复核定位，后者关系到强度定型，必须更保守。</w:t>
      </w:r>
    </w:p>
    <w:p>
      <w:pPr>
        <w:spacing w:before="120" w:after="120" w:line="288" w:lineRule="auto"/>
        <w:ind w:left="0" w:firstLine="420"/>
        <w:jc w:val="left"/>
      </w:pPr>
      <w:r>
        <w:rPr>
          <w:rFonts w:eastAsia="等线" w:ascii="Arial" w:hAnsi="Arial" w:cs="Arial"/>
          <w:sz w:val="22"/>
        </w:rPr>
        <w:t>后续应建立峰值低估样本集，针对 top1% 高响应节点、结构最大 RMises 节点和空间孤立峰值分别分析误差来源。在模型输出侧，可增加分位数校准、保守修正系数和风险等级提示；在流程侧，应明确当预测峰值接近强度限值、模型置信度不足或局部误差图出现连续红区时，必须触发高保真有限元复核。</w:t>
      </w:r>
    </w:p>
    <w:p>
      <w:pPr>
        <w:pStyle w:val="3"/>
        <w:spacing w:before="260" w:after="100" w:line="288" w:lineRule="auto"/>
        <w:ind w:left="0"/>
        <w:jc w:val="left"/>
        <w:outlineLvl w:val="2"/>
      </w:pPr>
      <w:r>
        <w:rPr>
          <w:rFonts w:eastAsia="等线" w:ascii="Arial" w:hAnsi="Arial" w:cs="Arial"/>
          <w:b w:val="true"/>
          <w:sz w:val="26"/>
        </w:rPr>
        <w:t>10.5 工程化工具与闭环验证</w:t>
      </w:r>
    </w:p>
    <w:p>
      <w:pPr>
        <w:spacing w:before="120" w:after="120" w:line="288" w:lineRule="auto"/>
        <w:ind w:left="0" w:firstLine="420"/>
        <w:jc w:val="left"/>
      </w:pPr>
      <w:r>
        <w:rPr>
          <w:rFonts w:eastAsia="等线" w:ascii="Arial" w:hAnsi="Arial" w:cs="Arial"/>
          <w:sz w:val="22"/>
        </w:rPr>
        <w:t>后续工程化目标是把当前研究链路固化为可重复使用的快速分析流程，而不是停留在离线模型评估。工具侧应支持批量导入结构方案和 PSD 工况，自动输出全场 RMises 预测、热点节点清单、空间误差/响应热力图、分层指标和复核建议。</w:t>
      </w:r>
    </w:p>
    <w:p>
      <w:pPr>
        <w:spacing w:before="120" w:after="120" w:line="288" w:lineRule="auto"/>
        <w:ind w:left="0" w:firstLine="420"/>
        <w:jc w:val="left"/>
      </w:pPr>
      <w:r>
        <w:rPr>
          <w:rFonts w:eastAsia="等线" w:ascii="Arial" w:hAnsi="Arial" w:cs="Arial"/>
          <w:sz w:val="22"/>
        </w:rPr>
        <w:t>同时需要建立有限元回灌机制：对模型提示的高风险方案、模型不确定区域和工程师重点关注区域，定期补充有限元样本并回灌训练集。通过“模型预测-有限元复核-误差归档-再训练”的闭环，逐步扩大模型可信范围，并为后续接入实测数据校准打基础。</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firstRow="1" w:noHBand="0" w:noVBand="1"/>
      </w:tblPr>
      <w:tr>
        <w:tc>
          <w:tcPr>
            <w:tcW w:w="1700" w:type="dxa"/>
            <w:shd w:fill="1F4E79"/>
            <w:vAlign w:val="center"/>
          </w:tcPr>
          <w:p>
            <w:pPr>
              <w:spacing w:before="40" w:after="40" w:line="250" w:lineRule="auto"/>
              <w:ind w:left="0"/>
              <w:jc w:val="center"/>
            </w:pPr>
            <w:r>
              <w:rPr>
                <w:rFonts w:eastAsia="等线" w:ascii="Arial" w:hAnsi="Arial" w:cs="Arial"/>
                <w:b w:val="true"/>
                <w:color w:val="FFFFFF"/>
                <w:sz w:val="16"/>
              </w:rPr>
              <w:t>推进阶段</w:t>
            </w:r>
          </w:p>
        </w:tc>
        <w:tc>
          <w:tcPr>
            <w:tcW w:w="1800" w:type="dxa"/>
            <w:shd w:fill="1F4E79"/>
            <w:vAlign w:val="center"/>
          </w:tcPr>
          <w:p>
            <w:pPr>
              <w:spacing w:before="40" w:after="40" w:line="250" w:lineRule="auto"/>
              <w:ind w:left="0"/>
              <w:jc w:val="center"/>
            </w:pPr>
            <w:r>
              <w:rPr>
                <w:rFonts w:eastAsia="等线" w:ascii="Arial" w:hAnsi="Arial" w:cs="Arial"/>
                <w:b w:val="true"/>
                <w:color w:val="FFFFFF"/>
                <w:sz w:val="16"/>
              </w:rPr>
              <w:t>建议周期</w:t>
            </w:r>
          </w:p>
        </w:tc>
        <w:tc>
          <w:tcPr>
            <w:tcW w:w="4700" w:type="dxa"/>
            <w:shd w:fill="1F4E79"/>
            <w:vAlign w:val="center"/>
          </w:tcPr>
          <w:p>
            <w:pPr>
              <w:spacing w:before="40" w:after="40" w:line="250" w:lineRule="auto"/>
              <w:ind w:left="0"/>
              <w:jc w:val="center"/>
            </w:pPr>
            <w:r>
              <w:rPr>
                <w:rFonts w:eastAsia="等线" w:ascii="Arial" w:hAnsi="Arial" w:cs="Arial"/>
                <w:b w:val="true"/>
                <w:color w:val="FFFFFF"/>
                <w:sz w:val="16"/>
              </w:rPr>
              <w:t>重点任务</w:t>
            </w:r>
          </w:p>
        </w:tc>
        <w:tc>
          <w:tcPr>
            <w:tcW w:w="3800" w:type="dxa"/>
            <w:shd w:fill="1F4E79"/>
            <w:vAlign w:val="center"/>
          </w:tcPr>
          <w:p>
            <w:pPr>
              <w:spacing w:before="40" w:after="40" w:line="250" w:lineRule="auto"/>
              <w:ind w:left="0"/>
              <w:jc w:val="center"/>
            </w:pPr>
            <w:r>
              <w:rPr>
                <w:rFonts w:eastAsia="等线" w:ascii="Arial" w:hAnsi="Arial" w:cs="Arial"/>
                <w:b w:val="true"/>
                <w:color w:val="FFFFFF"/>
                <w:sz w:val="16"/>
              </w:rPr>
              <w:t>阶段成果</w:t>
            </w:r>
          </w:p>
        </w:tc>
      </w:tr>
      <w:tr>
        <w:tc>
          <w:tcPr>
            <w:tcW w:w="1700" w:type="dxa"/>
            <w:shd w:fill="FFFFFF"/>
            <w:vAlign w:val="center"/>
          </w:tcPr>
          <w:p>
            <w:pPr>
              <w:spacing w:before="40" w:after="40" w:line="250" w:lineRule="auto"/>
              <w:ind w:left="0"/>
              <w:jc w:val="left"/>
            </w:pPr>
            <w:r>
              <w:rPr>
                <w:rFonts w:eastAsia="等线" w:ascii="Arial" w:hAnsi="Arial" w:cs="Arial"/>
                <w:sz w:val="16"/>
              </w:rPr>
              <w:t>近期</w:t>
            </w:r>
          </w:p>
        </w:tc>
        <w:tc>
          <w:tcPr>
            <w:tcW w:w="1800" w:type="dxa"/>
            <w:shd w:fill="FFFFFF"/>
            <w:vAlign w:val="center"/>
          </w:tcPr>
          <w:p>
            <w:pPr>
              <w:spacing w:before="40" w:after="40" w:line="250" w:lineRule="auto"/>
              <w:ind w:left="0"/>
              <w:jc w:val="left"/>
            </w:pPr>
            <w:r>
              <w:rPr>
                <w:rFonts w:eastAsia="等线" w:ascii="Arial" w:hAnsi="Arial" w:cs="Arial"/>
                <w:sz w:val="16"/>
              </w:rPr>
              <w:t>1-2 个月</w:t>
            </w:r>
          </w:p>
        </w:tc>
        <w:tc>
          <w:tcPr>
            <w:tcW w:w="4700" w:type="dxa"/>
            <w:shd w:fill="FFFFFF"/>
            <w:vAlign w:val="center"/>
          </w:tcPr>
          <w:p>
            <w:pPr>
              <w:spacing w:before="40" w:after="40" w:line="250" w:lineRule="auto"/>
              <w:ind w:left="0"/>
              <w:jc w:val="left"/>
            </w:pPr>
            <w:r>
              <w:rPr>
                <w:rFonts w:eastAsia="等线" w:ascii="Arial" w:hAnsi="Arial" w:cs="Arial"/>
                <w:sz w:val="16"/>
              </w:rPr>
              <w:t>完成原始口径复核、典型误差样本库和第 10 章计划对应的数据表固化</w:t>
            </w:r>
          </w:p>
        </w:tc>
        <w:tc>
          <w:tcPr>
            <w:tcW w:w="3800" w:type="dxa"/>
            <w:shd w:fill="FFFFFF"/>
            <w:vAlign w:val="center"/>
          </w:tcPr>
          <w:p>
            <w:pPr>
              <w:spacing w:before="40" w:after="40" w:line="250" w:lineRule="auto"/>
              <w:ind w:left="0"/>
              <w:jc w:val="left"/>
            </w:pPr>
            <w:r>
              <w:rPr>
                <w:rFonts w:eastAsia="等线" w:ascii="Arial" w:hAnsi="Arial" w:cs="Arial"/>
                <w:sz w:val="16"/>
              </w:rPr>
              <w:t>形成模型适用边界和有限元复核触发规则</w:t>
            </w:r>
          </w:p>
        </w:tc>
      </w:tr>
      <w:tr>
        <w:tc>
          <w:tcPr>
            <w:tcW w:w="1700" w:type="dxa"/>
            <w:shd w:fill="FFFFFF"/>
            <w:vAlign w:val="center"/>
          </w:tcPr>
          <w:p>
            <w:pPr>
              <w:spacing w:before="40" w:after="40" w:line="250" w:lineRule="auto"/>
              <w:ind w:left="0"/>
              <w:jc w:val="left"/>
            </w:pPr>
            <w:r>
              <w:rPr>
                <w:rFonts w:eastAsia="等线" w:ascii="Arial" w:hAnsi="Arial" w:cs="Arial"/>
                <w:sz w:val="16"/>
              </w:rPr>
              <w:t>中期</w:t>
            </w:r>
          </w:p>
        </w:tc>
        <w:tc>
          <w:tcPr>
            <w:tcW w:w="1800" w:type="dxa"/>
            <w:shd w:fill="FFFFFF"/>
            <w:vAlign w:val="center"/>
          </w:tcPr>
          <w:p>
            <w:pPr>
              <w:spacing w:before="40" w:after="40" w:line="250" w:lineRule="auto"/>
              <w:ind w:left="0"/>
              <w:jc w:val="left"/>
            </w:pPr>
            <w:r>
              <w:rPr>
                <w:rFonts w:eastAsia="等线" w:ascii="Arial" w:hAnsi="Arial" w:cs="Arial"/>
                <w:sz w:val="16"/>
              </w:rPr>
              <w:t>2-4 个月</w:t>
            </w:r>
          </w:p>
        </w:tc>
        <w:tc>
          <w:tcPr>
            <w:tcW w:w="4700" w:type="dxa"/>
            <w:shd w:fill="FFFFFF"/>
            <w:vAlign w:val="center"/>
          </w:tcPr>
          <w:p>
            <w:pPr>
              <w:spacing w:before="40" w:after="40" w:line="250" w:lineRule="auto"/>
              <w:ind w:left="0"/>
              <w:jc w:val="left"/>
            </w:pPr>
            <w:r>
              <w:rPr>
                <w:rFonts w:eastAsia="等线" w:ascii="Arial" w:hAnsi="Arial" w:cs="Arial"/>
                <w:sz w:val="16"/>
              </w:rPr>
              <w:t>开展区域分层优化、低秩频率曲线 rank 对比和峰值安全校准</w:t>
            </w:r>
          </w:p>
        </w:tc>
        <w:tc>
          <w:tcPr>
            <w:tcW w:w="3800" w:type="dxa"/>
            <w:shd w:fill="FFFFFF"/>
            <w:vAlign w:val="center"/>
          </w:tcPr>
          <w:p>
            <w:pPr>
              <w:spacing w:before="40" w:after="40" w:line="250" w:lineRule="auto"/>
              <w:ind w:left="0"/>
              <w:jc w:val="left"/>
            </w:pPr>
            <w:r>
              <w:rPr>
                <w:rFonts w:eastAsia="等线" w:ascii="Arial" w:hAnsi="Arial" w:cs="Arial"/>
                <w:sz w:val="16"/>
              </w:rPr>
              <w:t>形成下一版模型和分层对比报告</w:t>
            </w:r>
          </w:p>
        </w:tc>
      </w:tr>
      <w:tr>
        <w:tc>
          <w:tcPr>
            <w:tcW w:w="1700" w:type="dxa"/>
            <w:shd w:fill="FFFFFF"/>
            <w:vAlign w:val="center"/>
          </w:tcPr>
          <w:p>
            <w:pPr>
              <w:spacing w:before="40" w:after="40" w:line="250" w:lineRule="auto"/>
              <w:ind w:left="0"/>
              <w:jc w:val="left"/>
            </w:pPr>
            <w:r>
              <w:rPr>
                <w:rFonts w:eastAsia="等线" w:ascii="Arial" w:hAnsi="Arial" w:cs="Arial"/>
                <w:sz w:val="16"/>
              </w:rPr>
              <w:t>工程试用</w:t>
            </w:r>
          </w:p>
        </w:tc>
        <w:tc>
          <w:tcPr>
            <w:tcW w:w="1800" w:type="dxa"/>
            <w:shd w:fill="FFFFFF"/>
            <w:vAlign w:val="center"/>
          </w:tcPr>
          <w:p>
            <w:pPr>
              <w:spacing w:before="40" w:after="40" w:line="250" w:lineRule="auto"/>
              <w:ind w:left="0"/>
              <w:jc w:val="left"/>
            </w:pPr>
            <w:r>
              <w:rPr>
                <w:rFonts w:eastAsia="等线" w:ascii="Arial" w:hAnsi="Arial" w:cs="Arial"/>
                <w:sz w:val="16"/>
              </w:rPr>
              <w:t>4-6 个月</w:t>
            </w:r>
          </w:p>
        </w:tc>
        <w:tc>
          <w:tcPr>
            <w:tcW w:w="4700" w:type="dxa"/>
            <w:shd w:fill="FFFFFF"/>
            <w:vAlign w:val="center"/>
          </w:tcPr>
          <w:p>
            <w:pPr>
              <w:spacing w:before="40" w:after="40" w:line="250" w:lineRule="auto"/>
              <w:ind w:left="0"/>
              <w:jc w:val="left"/>
            </w:pPr>
            <w:r>
              <w:rPr>
                <w:rFonts w:eastAsia="等线" w:ascii="Arial" w:hAnsi="Arial" w:cs="Arial"/>
                <w:sz w:val="16"/>
              </w:rPr>
              <w:t>建设批量预测、自动报告和有限元回灌流程，并选取实际方案试用</w:t>
            </w:r>
          </w:p>
        </w:tc>
        <w:tc>
          <w:tcPr>
            <w:tcW w:w="3800" w:type="dxa"/>
            <w:shd w:fill="FFFFFF"/>
            <w:vAlign w:val="center"/>
          </w:tcPr>
          <w:p>
            <w:pPr>
              <w:spacing w:before="40" w:after="40" w:line="250" w:lineRule="auto"/>
              <w:ind w:left="0"/>
              <w:jc w:val="left"/>
            </w:pPr>
            <w:r>
              <w:rPr>
                <w:rFonts w:eastAsia="等线" w:ascii="Arial" w:hAnsi="Arial" w:cs="Arial"/>
                <w:sz w:val="16"/>
              </w:rPr>
              <w:t>形成可演示的 AI 快速分析原型工具</w:t>
            </w:r>
          </w:p>
        </w:tc>
      </w:tr>
    </w:tbl>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21039">
    <w:lvl>
      <w:numFmt w:val="bullet"/>
      <w:suff w:val="tab"/>
      <w:lvlText w:val="￮"/>
      <w:rPr>
        <w:color w:val="3370ff"/>
      </w:rPr>
    </w:lvl>
  </w:abstractNum>
  <w:abstractNum w:abstractNumId="221040">
    <w:lvl>
      <w:numFmt w:val="bullet"/>
      <w:suff w:val="tab"/>
      <w:lvlText w:val="￮"/>
      <w:rPr>
        <w:color w:val="3370ff"/>
      </w:rPr>
    </w:lvl>
  </w:abstractNum>
  <w:abstractNum w:abstractNumId="221041">
    <w:lvl>
      <w:numFmt w:val="bullet"/>
      <w:suff w:val="tab"/>
      <w:lvlText w:val="￮"/>
      <w:rPr>
        <w:color w:val="3370ff"/>
      </w:rPr>
    </w:lvl>
  </w:abstractNum>
  <w:abstractNum w:abstractNumId="221042">
    <w:lvl>
      <w:numFmt w:val="bullet"/>
      <w:suff w:val="tab"/>
      <w:lvlText w:val="￮"/>
      <w:rPr>
        <w:color w:val="3370ff"/>
      </w:rPr>
    </w:lvl>
  </w:abstractNum>
  <w:abstractNum w:abstractNumId="221043">
    <w:lvl>
      <w:numFmt w:val="bullet"/>
      <w:suff w:val="tab"/>
      <w:lvlText w:val="￮"/>
      <w:rPr>
        <w:color w:val="3370ff"/>
      </w:rPr>
    </w:lvl>
  </w:abstractNum>
  <w:abstractNum w:abstractNumId="221044">
    <w:lvl>
      <w:numFmt w:val="bullet"/>
      <w:suff w:val="tab"/>
      <w:lvlText w:val="￮"/>
      <w:rPr>
        <w:color w:val="3370ff"/>
      </w:rPr>
    </w:lvl>
  </w:abstractNum>
  <w:abstractNum w:abstractNumId="221045">
    <w:lvl>
      <w:numFmt w:val="bullet"/>
      <w:suff w:val="tab"/>
      <w:lvlText w:val="￮"/>
      <w:rPr>
        <w:color w:val="3370ff"/>
      </w:rPr>
    </w:lvl>
  </w:abstractNum>
  <w:abstractNum w:abstractNumId="221046">
    <w:lvl>
      <w:numFmt w:val="bullet"/>
      <w:suff w:val="tab"/>
      <w:lvlText w:val="￮"/>
      <w:rPr>
        <w:color w:val="3370ff"/>
      </w:rPr>
    </w:lvl>
  </w:abstractNum>
  <w:abstractNum w:abstractNumId="221047">
    <w:lvl>
      <w:numFmt w:val="bullet"/>
      <w:suff w:val="tab"/>
      <w:lvlText w:val="￮"/>
      <w:rPr>
        <w:color w:val="3370ff"/>
      </w:rPr>
    </w:lvl>
  </w:abstractNum>
  <w:abstractNum w:abstractNumId="221048">
    <w:lvl>
      <w:numFmt w:val="bullet"/>
      <w:suff w:val="tab"/>
      <w:lvlText w:val="￮"/>
      <w:rPr>
        <w:color w:val="3370ff"/>
      </w:rPr>
    </w:lvl>
  </w:abstractNum>
  <w:abstractNum w:abstractNumId="221049">
    <w:lvl>
      <w:numFmt w:val="bullet"/>
      <w:suff w:val="tab"/>
      <w:lvlText w:val="￮"/>
      <w:rPr>
        <w:color w:val="3370ff"/>
      </w:rPr>
    </w:lvl>
  </w:abstractNum>
  <w:abstractNum w:abstractNumId="221050">
    <w:lvl>
      <w:numFmt w:val="bullet"/>
      <w:suff w:val="tab"/>
      <w:lvlText w:val="￮"/>
      <w:rPr>
        <w:color w:val="3370ff"/>
      </w:rPr>
    </w:lvl>
  </w:abstractNum>
  <w:abstractNum w:abstractNumId="221051">
    <w:lvl>
      <w:numFmt w:val="bullet"/>
      <w:suff w:val="tab"/>
      <w:lvlText w:val="￮"/>
      <w:rPr>
        <w:color w:val="3370ff"/>
      </w:rPr>
    </w:lvl>
  </w:abstractNum>
  <w:abstractNum w:abstractNumId="221052">
    <w:lvl>
      <w:numFmt w:val="bullet"/>
      <w:suff w:val="tab"/>
      <w:lvlText w:val="￮"/>
      <w:rPr>
        <w:color w:val="3370ff"/>
      </w:rPr>
    </w:lvl>
  </w:abstractNum>
  <w:abstractNum w:abstractNumId="221053">
    <w:lvl>
      <w:numFmt w:val="bullet"/>
      <w:suff w:val="tab"/>
      <w:lvlText w:val="￮"/>
      <w:rPr>
        <w:color w:val="3370ff"/>
      </w:rPr>
    </w:lvl>
  </w:abstractNum>
  <w:abstractNum w:abstractNumId="221054">
    <w:lvl>
      <w:numFmt w:val="bullet"/>
      <w:suff w:val="tab"/>
      <w:lvlText w:val="￮"/>
      <w:rPr>
        <w:color w:val="3370ff"/>
      </w:rPr>
    </w:lvl>
  </w:abstractNum>
  <w:abstractNum w:abstractNumId="221055">
    <w:lvl>
      <w:numFmt w:val="bullet"/>
      <w:suff w:val="tab"/>
      <w:lvlText w:val="￮"/>
      <w:rPr>
        <w:color w:val="3370ff"/>
      </w:rPr>
    </w:lvl>
  </w:abstractNum>
  <w:abstractNum w:abstractNumId="221056">
    <w:lvl>
      <w:numFmt w:val="bullet"/>
      <w:suff w:val="tab"/>
      <w:lvlText w:val="￮"/>
      <w:rPr>
        <w:color w:val="3370ff"/>
      </w:rPr>
    </w:lvl>
  </w:abstractNum>
  <w:abstractNum w:abstractNumId="221057">
    <w:lvl>
      <w:numFmt w:val="bullet"/>
      <w:suff w:val="tab"/>
      <w:lvlText w:val="￮"/>
      <w:rPr>
        <w:color w:val="3370ff"/>
      </w:rPr>
    </w:lvl>
  </w:abstractNum>
  <w:abstractNum w:abstractNumId="221058">
    <w:lvl>
      <w:numFmt w:val="bullet"/>
      <w:suff w:val="tab"/>
      <w:lvlText w:val="￮"/>
      <w:rPr>
        <w:color w:val="3370ff"/>
      </w:rPr>
    </w:lvl>
  </w:abstractNum>
  <w:abstractNum w:abstractNumId="221059">
    <w:lvl>
      <w:numFmt w:val="bullet"/>
      <w:suff w:val="tab"/>
      <w:lvlText w:val="￮"/>
      <w:rPr>
        <w:color w:val="3370ff"/>
      </w:rPr>
    </w:lvl>
  </w:abstractNum>
  <w:abstractNum w:abstractNumId="221060">
    <w:lvl>
      <w:numFmt w:val="bullet"/>
      <w:suff w:val="tab"/>
      <w:lvlText w:val="￮"/>
      <w:rPr>
        <w:color w:val="3370ff"/>
      </w:rPr>
    </w:lvl>
  </w:abstractNum>
  <w:abstractNum w:abstractNumId="221061">
    <w:lvl>
      <w:numFmt w:val="bullet"/>
      <w:suff w:val="tab"/>
      <w:lvlText w:val="￮"/>
      <w:rPr>
        <w:color w:val="3370ff"/>
      </w:rPr>
    </w:lvl>
  </w:abstractNum>
  <w:abstractNum w:abstractNumId="221062">
    <w:lvl>
      <w:numFmt w:val="bullet"/>
      <w:suff w:val="tab"/>
      <w:lvlText w:val="￮"/>
      <w:rPr>
        <w:color w:val="3370ff"/>
      </w:rPr>
    </w:lvl>
  </w:abstractNum>
  <w:abstractNum w:abstractNumId="221063">
    <w:lvl>
      <w:numFmt w:val="bullet"/>
      <w:suff w:val="tab"/>
      <w:lvlText w:val="￮"/>
      <w:rPr>
        <w:color w:val="3370ff"/>
      </w:rPr>
    </w:lvl>
  </w:abstractNum>
  <w:abstractNum w:abstractNumId="221064">
    <w:lvl>
      <w:numFmt w:val="bullet"/>
      <w:suff w:val="tab"/>
      <w:lvlText w:val="￮"/>
      <w:rPr>
        <w:color w:val="3370ff"/>
      </w:rPr>
    </w:lvl>
  </w:abstractNum>
  <w:abstractNum w:abstractNumId="221065">
    <w:lvl>
      <w:numFmt w:val="bullet"/>
      <w:suff w:val="tab"/>
      <w:lvlText w:val="￮"/>
      <w:rPr>
        <w:color w:val="3370ff"/>
      </w:rPr>
    </w:lvl>
  </w:abstractNum>
  <w:abstractNum w:abstractNumId="221066">
    <w:lvl>
      <w:numFmt w:val="bullet"/>
      <w:suff w:val="tab"/>
      <w:lvlText w:val="￮"/>
      <w:rPr>
        <w:color w:val="3370ff"/>
      </w:rPr>
    </w:lvl>
  </w:abstractNum>
  <w:abstractNum w:abstractNumId="221067">
    <w:lvl>
      <w:numFmt w:val="bullet"/>
      <w:suff w:val="tab"/>
      <w:lvlText w:val="￮"/>
      <w:rPr>
        <w:color w:val="3370ff"/>
      </w:rPr>
    </w:lvl>
  </w:abstractNum>
  <w:abstractNum w:abstractNumId="221068">
    <w:lvl>
      <w:numFmt w:val="bullet"/>
      <w:suff w:val="tab"/>
      <w:lvlText w:val="￮"/>
      <w:rPr>
        <w:color w:val="3370ff"/>
      </w:rPr>
    </w:lvl>
  </w:abstractNum>
  <w:abstractNum w:abstractNumId="221069">
    <w:lvl>
      <w:numFmt w:val="bullet"/>
      <w:suff w:val="tab"/>
      <w:lvlText w:val="￮"/>
      <w:rPr>
        <w:color w:val="3370ff"/>
      </w:rPr>
    </w:lvl>
  </w:abstractNum>
  <w:abstractNum w:abstractNumId="221070">
    <w:lvl>
      <w:numFmt w:val="bullet"/>
      <w:suff w:val="tab"/>
      <w:lvlText w:val="￮"/>
      <w:rPr>
        <w:color w:val="3370ff"/>
      </w:rPr>
    </w:lvl>
  </w:abstractNum>
  <w:abstractNum w:abstractNumId="221071">
    <w:lvl>
      <w:numFmt w:val="bullet"/>
      <w:suff w:val="tab"/>
      <w:lvlText w:val="￮"/>
      <w:rPr>
        <w:color w:val="3370ff"/>
      </w:rPr>
    </w:lvl>
  </w:abstractNum>
  <w:abstractNum w:abstractNumId="221072">
    <w:lvl>
      <w:numFmt w:val="bullet"/>
      <w:suff w:val="tab"/>
      <w:lvlText w:val="￮"/>
      <w:rPr>
        <w:color w:val="3370ff"/>
      </w:rPr>
    </w:lvl>
  </w:abstractNum>
  <w:abstractNum w:abstractNumId="221073">
    <w:lvl>
      <w:numFmt w:val="bullet"/>
      <w:suff w:val="tab"/>
      <w:lvlText w:val="￮"/>
      <w:rPr>
        <w:color w:val="3370ff"/>
      </w:rPr>
    </w:lvl>
  </w:abstractNum>
  <w:abstractNum w:abstractNumId="221074">
    <w:lvl>
      <w:numFmt w:val="bullet"/>
      <w:suff w:val="tab"/>
      <w:lvlText w:val="￮"/>
      <w:rPr>
        <w:color w:val="3370ff"/>
      </w:rPr>
    </w:lvl>
  </w:abstractNum>
  <w:abstractNum w:abstractNumId="221075">
    <w:lvl>
      <w:numFmt w:val="bullet"/>
      <w:suff w:val="tab"/>
      <w:lvlText w:val="￮"/>
      <w:rPr>
        <w:color w:val="3370ff"/>
      </w:rPr>
    </w:lvl>
  </w:abstractNum>
  <w:abstractNum w:abstractNumId="221076">
    <w:lvl>
      <w:numFmt w:val="bullet"/>
      <w:suff w:val="tab"/>
      <w:lvlText w:val="￮"/>
      <w:rPr>
        <w:color w:val="3370ff"/>
      </w:rPr>
    </w:lvl>
  </w:abstractNum>
  <w:abstractNum w:abstractNumId="221077">
    <w:lvl>
      <w:numFmt w:val="bullet"/>
      <w:suff w:val="tab"/>
      <w:lvlText w:val="￮"/>
      <w:rPr>
        <w:color w:val="3370ff"/>
      </w:rPr>
    </w:lvl>
  </w:abstractNum>
  <w:abstractNum w:abstractNumId="221078">
    <w:lvl>
      <w:numFmt w:val="bullet"/>
      <w:suff w:val="tab"/>
      <w:lvlText w:val="￮"/>
      <w:rPr>
        <w:color w:val="3370ff"/>
      </w:rPr>
    </w:lvl>
  </w:abstractNum>
  <w:abstractNum w:abstractNumId="221079">
    <w:lvl>
      <w:numFmt w:val="bullet"/>
      <w:suff w:val="tab"/>
      <w:lvlText w:val="￮"/>
      <w:rPr>
        <w:color w:val="3370ff"/>
      </w:rPr>
    </w:lvl>
  </w:abstractNum>
  <w:abstractNum w:abstractNumId="221080">
    <w:lvl>
      <w:numFmt w:val="bullet"/>
      <w:suff w:val="tab"/>
      <w:lvlText w:val="￮"/>
      <w:rPr>
        <w:color w:val="3370ff"/>
      </w:rPr>
    </w:lvl>
  </w:abstractNum>
  <w:abstractNum w:abstractNumId="221081">
    <w:lvl>
      <w:start w:val="1"/>
      <w:numFmt w:val="decimal"/>
      <w:suff w:val="tab"/>
      <w:lvlText w:val="%1."/>
      <w:rPr>
        <w:color w:val="3370ff"/>
      </w:rPr>
    </w:lvl>
  </w:abstractNum>
  <w:abstractNum w:abstractNumId="221082">
    <w:lvl>
      <w:start w:val="2"/>
      <w:numFmt w:val="decimal"/>
      <w:suff w:val="tab"/>
      <w:lvlText w:val="%1."/>
      <w:rPr>
        <w:color w:val="3370ff"/>
      </w:rPr>
    </w:lvl>
  </w:abstractNum>
  <w:abstractNum w:abstractNumId="221083">
    <w:lvl>
      <w:start w:val="3"/>
      <w:numFmt w:val="decimal"/>
      <w:suff w:val="tab"/>
      <w:lvlText w:val="%1."/>
      <w:rPr>
        <w:color w:val="3370ff"/>
      </w:rPr>
    </w:lvl>
  </w:abstractNum>
  <w:abstractNum w:abstractNumId="221084">
    <w:lvl>
      <w:start w:val="4"/>
      <w:numFmt w:val="decimal"/>
      <w:suff w:val="tab"/>
      <w:lvlText w:val="%1."/>
      <w:rPr>
        <w:color w:val="3370ff"/>
      </w:rPr>
    </w:lvl>
  </w:abstractNum>
  <w:num w:numId="1">
    <w:abstractNumId w:val="221039"/>
  </w:num>
  <w:num w:numId="2">
    <w:abstractNumId w:val="221040"/>
  </w:num>
  <w:num w:numId="3">
    <w:abstractNumId w:val="221041"/>
  </w:num>
  <w:num w:numId="4">
    <w:abstractNumId w:val="221042"/>
  </w:num>
  <w:num w:numId="5">
    <w:abstractNumId w:val="221043"/>
  </w:num>
  <w:num w:numId="6">
    <w:abstractNumId w:val="221044"/>
  </w:num>
  <w:num w:numId="7">
    <w:abstractNumId w:val="221045"/>
  </w:num>
  <w:num w:numId="8">
    <w:abstractNumId w:val="221046"/>
  </w:num>
  <w:num w:numId="9">
    <w:abstractNumId w:val="221047"/>
  </w:num>
  <w:num w:numId="10">
    <w:abstractNumId w:val="221048"/>
  </w:num>
  <w:num w:numId="11">
    <w:abstractNumId w:val="221049"/>
  </w:num>
  <w:num w:numId="12">
    <w:abstractNumId w:val="221050"/>
  </w:num>
  <w:num w:numId="13">
    <w:abstractNumId w:val="221051"/>
  </w:num>
  <w:num w:numId="14">
    <w:abstractNumId w:val="221052"/>
  </w:num>
  <w:num w:numId="15">
    <w:abstractNumId w:val="221053"/>
  </w:num>
  <w:num w:numId="16">
    <w:abstractNumId w:val="221054"/>
  </w:num>
  <w:num w:numId="17">
    <w:abstractNumId w:val="221055"/>
  </w:num>
  <w:num w:numId="18">
    <w:abstractNumId w:val="221056"/>
  </w:num>
  <w:num w:numId="19">
    <w:abstractNumId w:val="221057"/>
  </w:num>
  <w:num w:numId="20">
    <w:abstractNumId w:val="221058"/>
  </w:num>
  <w:num w:numId="21">
    <w:abstractNumId w:val="221059"/>
  </w:num>
  <w:num w:numId="22">
    <w:abstractNumId w:val="221060"/>
  </w:num>
  <w:num w:numId="23">
    <w:abstractNumId w:val="221061"/>
  </w:num>
  <w:num w:numId="24">
    <w:abstractNumId w:val="221062"/>
  </w:num>
  <w:num w:numId="25">
    <w:abstractNumId w:val="221063"/>
  </w:num>
  <w:num w:numId="26">
    <w:abstractNumId w:val="221064"/>
  </w:num>
  <w:num w:numId="27">
    <w:abstractNumId w:val="221065"/>
  </w:num>
  <w:num w:numId="28">
    <w:abstractNumId w:val="221066"/>
  </w:num>
  <w:num w:numId="29">
    <w:abstractNumId w:val="221067"/>
  </w:num>
  <w:num w:numId="30">
    <w:abstractNumId w:val="221068"/>
  </w:num>
  <w:num w:numId="31">
    <w:abstractNumId w:val="221069"/>
  </w:num>
  <w:num w:numId="32">
    <w:abstractNumId w:val="221070"/>
  </w:num>
  <w:num w:numId="33">
    <w:abstractNumId w:val="221071"/>
  </w:num>
  <w:num w:numId="34">
    <w:abstractNumId w:val="221072"/>
  </w:num>
  <w:num w:numId="35">
    <w:abstractNumId w:val="221073"/>
  </w:num>
  <w:num w:numId="36">
    <w:abstractNumId w:val="221074"/>
  </w:num>
  <w:num w:numId="37">
    <w:abstractNumId w:val="221075"/>
  </w:num>
  <w:num w:numId="38">
    <w:abstractNumId w:val="221076"/>
  </w:num>
  <w:num w:numId="39">
    <w:abstractNumId w:val="221077"/>
  </w:num>
  <w:num w:numId="40">
    <w:abstractNumId w:val="221078"/>
  </w:num>
  <w:num w:numId="41">
    <w:abstractNumId w:val="221079"/>
  </w:num>
  <w:num w:numId="42">
    <w:abstractNumId w:val="221080"/>
  </w:num>
  <w:num w:numId="43">
    <w:abstractNumId w:val="221081"/>
  </w:num>
  <w:num w:numId="44">
    <w:abstractNumId w:val="221082"/>
  </w:num>
  <w:num w:numId="45">
    <w:abstractNumId w:val="221083"/>
  </w:num>
  <w:num w:numId="46">
    <w:abstractNumId w:val="22108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ns0:Relationships xmlns:ns0="http://schemas.openxmlformats.org/package/2006/relationships"><ns0:Relationship Id="rId1" Target="settings.xml" Type="http://schemas.openxmlformats.org/officeDocument/2006/relationships/settings" /><ns0:Relationship Id="rId2" Target="styles.xml" Type="http://schemas.openxmlformats.org/officeDocument/2006/relationships/styles" /><ns0:Relationship Id="rId3" Target="footer1.xml" Type="http://schemas.openxmlformats.org/officeDocument/2006/relationships/footer" /><ns0:Relationship Id="rId4" Target="numbering.xml" Type="http://schemas.openxmlformats.org/officeDocument/2006/relationships/numbering" /><ns0:Relationship Id="rId5" Target="media/image1.jpeg" Type="http://schemas.openxmlformats.org/officeDocument/2006/relationships/image" /><ns0:Relationship Id="rId6" Target="header1.xml" Type="http://schemas.openxmlformats.org/officeDocument/2006/relationships/header" /><ns0:Relationship Id="rId7" Target="media/tobdoc_hist.png" Type="http://schemas.openxmlformats.org/officeDocument/2006/relationships/image" /><ns0:Relationship Id="rId8" Target="media/tobdoc_model_arch.png" Type="http://schemas.openxmlformats.org/officeDocument/2006/relationships/image" /><ns0:Relationship Id="rId9" Target="media/tobdoc_result_overview.png" Type="http://schemas.openxmlformats.org/officeDocument/2006/relationships/image" /><ns0:Relationship Id="rId10" Target="media/tobdoc_top_curve.png" Type="http://schemas.openxmlformats.org/officeDocument/2006/relationships/image" /><ns0:Relationship Id="rId11" Target="media/tobdoc_spatial_psd_cases.png" Type="http://schemas.openxmlformats.org/officeDocument/2006/relationships/image" /><ns0:Relationship Id="rId12" Target="media/tobdoc_spatial_cases.png" Type="http://schemas.openxmlformats.org/officeDocument/2006/relationships/image" /><ns0:Relationship Id="rId13" Target="media/tobdoc_baseline.png" Type="http://schemas.openxmlformats.org/officeDocument/2006/relationships/image" /></ns0: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2026-07-02T02:44:29Z</dcterms:created>
  <dc:creator>Apache POI</dc:creator>
</cp:coreProperties>
</file>