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Requirements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interaction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Login component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Upload of analysable datasets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Overview of analysable datasets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Ability to select dataset to analyse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Dashboard for summary of expenses by category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Dashboard for highest expenses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Dashboard for regular expenses (ability to set regularity)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Interest calculator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Mortgage calculator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Income streams and overview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Page design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Login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Sign up component: requires user to input email and desired password. Check email and </w:t>
      </w:r>
      <w:r>
        <w:rPr>
          <w:rFonts w:hint="default"/>
          <w:lang w:val="en-US"/>
        </w:rPr>
        <w:tab/>
        <w:t>password formats for validity.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Sign in component: requires user to input email and password.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Data upload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Upload component: user can select document from system or input link to download dataset. </w:t>
      </w:r>
      <w:r>
        <w:rPr>
          <w:rFonts w:hint="default"/>
          <w:lang w:val="en-US"/>
        </w:rPr>
        <w:tab/>
        <w:t>Limit document types to csv and Excel. If csv detected, user must select delimiter.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Column mapping component: receives a list of columns. User must map columns to expected </w:t>
      </w:r>
      <w:r>
        <w:rPr>
          <w:rFonts w:hint="default"/>
          <w:lang w:val="en-US"/>
        </w:rPr>
        <w:tab/>
        <w:t>column names.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Feedback page: any data that cannot be parsed must be set here by the user.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Overview datasets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Table component with datasets uploaded: each row is a dataset. User can delete datasets </w:t>
      </w:r>
      <w:r>
        <w:rPr>
          <w:rFonts w:hint="default"/>
          <w:lang w:val="en-US"/>
        </w:rPr>
        <w:tab/>
        <w:t>from here.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Expenses by category dashboard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D1E99"/>
    <w:rsid w:val="506E7418"/>
    <w:rsid w:val="708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2024-04-04T11:59:00Z</dcterms:created>
  <dc:creator>nvcmm</dc:creator>
  <cp:lastModifiedBy>WPS_1625472101</cp:lastModifiedBy>
  <dcterms:modified xsi:type="dcterms:W3CDTF">2024-04-12T10:48:39Z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7DD6FDA8458F4E4E9D425E9E67FD76D6_11</vt:lpwstr>
  </property>
</Properties>
</file>