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5092D1" w14:textId="50790DB8" w:rsidR="0044019D" w:rsidRPr="0044019D" w:rsidRDefault="0044019D" w:rsidP="0044019D">
      <w:pPr>
        <w:shd w:val="clear" w:color="auto" w:fill="F5F3F1"/>
        <w:spacing w:before="206" w:after="53" w:line="264" w:lineRule="atLeast"/>
        <w:outlineLvl w:val="0"/>
        <w:rPr>
          <w:rFonts w:ascii="Arial" w:eastAsia="Times New Roman" w:hAnsi="Arial" w:cs="Arial"/>
          <w:b/>
          <w:bCs/>
          <w:color w:val="C00000"/>
          <w:kern w:val="36"/>
          <w:sz w:val="36"/>
          <w:szCs w:val="36"/>
          <w:lang w:eastAsia="sk-SK"/>
        </w:rPr>
      </w:pPr>
      <w:r w:rsidRPr="0044019D">
        <w:rPr>
          <w:rFonts w:ascii="Arial" w:eastAsia="Times New Roman" w:hAnsi="Arial" w:cs="Arial"/>
          <w:b/>
          <w:bCs/>
          <w:color w:val="C00000"/>
          <w:kern w:val="36"/>
          <w:sz w:val="36"/>
          <w:szCs w:val="36"/>
          <w:lang w:eastAsia="sk-SK"/>
        </w:rPr>
        <w:t>Obchodné banky</w:t>
      </w:r>
    </w:p>
    <w:p w14:paraId="5D54FDC4" w14:textId="77777777" w:rsidR="0044019D" w:rsidRDefault="0044019D" w:rsidP="0044019D">
      <w:pPr>
        <w:shd w:val="clear" w:color="auto" w:fill="F5F3F1"/>
        <w:spacing w:after="0" w:line="240" w:lineRule="auto"/>
        <w:rPr>
          <w:rFonts w:ascii="Arial" w:eastAsia="Times New Roman" w:hAnsi="Arial" w:cs="Arial"/>
          <w:color w:val="262830"/>
          <w:sz w:val="24"/>
          <w:szCs w:val="24"/>
          <w:lang w:eastAsia="sk-SK"/>
        </w:rPr>
      </w:pPr>
    </w:p>
    <w:p w14:paraId="691D5CBA" w14:textId="4BBE4474" w:rsidR="0044019D" w:rsidRPr="0044019D" w:rsidRDefault="0044019D" w:rsidP="0044019D">
      <w:pPr>
        <w:shd w:val="clear" w:color="auto" w:fill="F5F3F1"/>
        <w:spacing w:after="0" w:line="240" w:lineRule="auto"/>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Banky sú podnikateľské subjekty. Cieľom obchodných bánk je dosahovanie zisku, preto sa aj nazývajú obchodné.</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r>
      <w:r w:rsidRPr="0044019D">
        <w:rPr>
          <w:rFonts w:ascii="Arial" w:eastAsia="Times New Roman" w:hAnsi="Arial" w:cs="Arial"/>
          <w:b/>
          <w:bCs/>
          <w:color w:val="C00000"/>
          <w:sz w:val="24"/>
          <w:szCs w:val="24"/>
          <w:lang w:eastAsia="sk-SK"/>
        </w:rPr>
        <w:t>Banka je právnická osoba so sídlom v SR, založená ako akciová spoločnosť, ktorá prijíma vklady a poskytuje úvery a má na výkon týchto činností udelené bankové povolenie.</w:t>
      </w:r>
      <w:r w:rsidRPr="0044019D">
        <w:rPr>
          <w:rFonts w:ascii="Arial" w:eastAsia="Times New Roman" w:hAnsi="Arial" w:cs="Arial"/>
          <w:b/>
          <w:bCs/>
          <w:color w:val="C00000"/>
          <w:sz w:val="24"/>
          <w:szCs w:val="24"/>
          <w:lang w:eastAsia="sk-SK"/>
        </w:rPr>
        <w:br/>
      </w:r>
      <w:r w:rsidRPr="0044019D">
        <w:rPr>
          <w:rFonts w:ascii="Arial" w:eastAsia="Times New Roman" w:hAnsi="Arial" w:cs="Arial"/>
          <w:color w:val="262830"/>
          <w:sz w:val="24"/>
          <w:szCs w:val="24"/>
          <w:lang w:eastAsia="sk-SK"/>
        </w:rPr>
        <w:br/>
        <w:t>Na Slovensku môže pôsobiť aj:</w:t>
      </w:r>
    </w:p>
    <w:p w14:paraId="267B2EB4" w14:textId="77777777" w:rsidR="0044019D" w:rsidRPr="0044019D" w:rsidRDefault="0044019D" w:rsidP="0044019D">
      <w:pPr>
        <w:numPr>
          <w:ilvl w:val="0"/>
          <w:numId w:val="1"/>
        </w:numPr>
        <w:shd w:val="clear" w:color="auto" w:fill="F5F3F1"/>
        <w:spacing w:after="0" w:line="240" w:lineRule="auto"/>
        <w:ind w:left="1020" w:right="120"/>
        <w:rPr>
          <w:rFonts w:ascii="Arial" w:eastAsia="Times New Roman" w:hAnsi="Arial" w:cs="Arial"/>
          <w:b/>
          <w:bCs/>
          <w:color w:val="262830"/>
          <w:sz w:val="24"/>
          <w:szCs w:val="24"/>
          <w:lang w:eastAsia="sk-SK"/>
        </w:rPr>
      </w:pPr>
      <w:r w:rsidRPr="0044019D">
        <w:rPr>
          <w:rFonts w:ascii="Arial" w:eastAsia="Times New Roman" w:hAnsi="Arial" w:cs="Arial"/>
          <w:color w:val="262830"/>
          <w:sz w:val="24"/>
          <w:szCs w:val="24"/>
          <w:lang w:eastAsia="sk-SK"/>
        </w:rPr>
        <w:t xml:space="preserve">    </w:t>
      </w:r>
      <w:r w:rsidRPr="0044019D">
        <w:rPr>
          <w:rFonts w:ascii="Arial" w:eastAsia="Times New Roman" w:hAnsi="Arial" w:cs="Arial"/>
          <w:b/>
          <w:bCs/>
          <w:sz w:val="24"/>
          <w:szCs w:val="24"/>
          <w:lang w:eastAsia="sk-SK"/>
        </w:rPr>
        <w:t>Zahraničná banka</w:t>
      </w:r>
    </w:p>
    <w:p w14:paraId="5EBB6EC7" w14:textId="77777777" w:rsidR="0044019D" w:rsidRPr="0044019D" w:rsidRDefault="0044019D" w:rsidP="0044019D">
      <w:pPr>
        <w:shd w:val="clear" w:color="auto" w:fill="F5F3F1"/>
        <w:spacing w:after="206" w:line="240" w:lineRule="auto"/>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       -       Je PO so sídlom mimo územia SR, ktorá má povolenie na výkon bankových činností.</w:t>
      </w:r>
    </w:p>
    <w:p w14:paraId="5795BBC2" w14:textId="77777777" w:rsidR="0044019D" w:rsidRPr="0044019D" w:rsidRDefault="0044019D" w:rsidP="0044019D">
      <w:pPr>
        <w:numPr>
          <w:ilvl w:val="0"/>
          <w:numId w:val="2"/>
        </w:numPr>
        <w:shd w:val="clear" w:color="auto" w:fill="F5F3F1"/>
        <w:spacing w:after="0" w:line="240" w:lineRule="auto"/>
        <w:ind w:left="1020" w:right="120"/>
        <w:rPr>
          <w:rFonts w:ascii="Arial" w:eastAsia="Times New Roman" w:hAnsi="Arial" w:cs="Arial"/>
          <w:b/>
          <w:bCs/>
          <w:color w:val="262830"/>
          <w:sz w:val="24"/>
          <w:szCs w:val="24"/>
          <w:lang w:eastAsia="sk-SK"/>
        </w:rPr>
      </w:pPr>
      <w:r w:rsidRPr="0044019D">
        <w:rPr>
          <w:rFonts w:ascii="Arial" w:eastAsia="Times New Roman" w:hAnsi="Arial" w:cs="Arial"/>
          <w:b/>
          <w:bCs/>
          <w:color w:val="262830"/>
          <w:sz w:val="24"/>
          <w:szCs w:val="24"/>
          <w:lang w:eastAsia="sk-SK"/>
        </w:rPr>
        <w:t>Pobočka zahraničnej banky</w:t>
      </w:r>
    </w:p>
    <w:p w14:paraId="2650D7CC" w14:textId="77777777" w:rsidR="0044019D" w:rsidRPr="0044019D" w:rsidRDefault="0044019D" w:rsidP="0044019D">
      <w:pPr>
        <w:shd w:val="clear" w:color="auto" w:fill="F5F3F1"/>
        <w:spacing w:after="206" w:line="240" w:lineRule="auto"/>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       -       Je organizačná zložka zahraničnej banky umiestnená na území SR.</w:t>
      </w:r>
    </w:p>
    <w:p w14:paraId="06736A2E" w14:textId="77777777" w:rsidR="0044019D" w:rsidRPr="0044019D" w:rsidRDefault="0044019D" w:rsidP="0044019D">
      <w:pPr>
        <w:shd w:val="clear" w:color="auto" w:fill="F5F3F1"/>
        <w:spacing w:after="0" w:line="264" w:lineRule="atLeast"/>
        <w:outlineLvl w:val="3"/>
        <w:rPr>
          <w:rFonts w:ascii="Arial" w:eastAsia="Times New Roman" w:hAnsi="Arial" w:cs="Arial"/>
          <w:b/>
          <w:bCs/>
          <w:caps/>
          <w:color w:val="262830"/>
          <w:lang w:eastAsia="sk-SK"/>
        </w:rPr>
      </w:pPr>
      <w:r w:rsidRPr="0044019D">
        <w:rPr>
          <w:rFonts w:ascii="Arial" w:eastAsia="Times New Roman" w:hAnsi="Arial" w:cs="Arial"/>
          <w:caps/>
          <w:color w:val="262830"/>
          <w:lang w:eastAsia="sk-SK"/>
        </w:rPr>
        <w:br/>
      </w:r>
      <w:r w:rsidRPr="0044019D">
        <w:rPr>
          <w:rFonts w:ascii="Arial" w:eastAsia="Times New Roman" w:hAnsi="Arial" w:cs="Arial"/>
          <w:b/>
          <w:bCs/>
          <w:caps/>
          <w:color w:val="262830"/>
          <w:lang w:eastAsia="sk-SK"/>
        </w:rPr>
        <w:t>ČLENENIE OBCHODNÝCH BÁNK</w:t>
      </w:r>
    </w:p>
    <w:p w14:paraId="66364762" w14:textId="77777777" w:rsidR="0044019D" w:rsidRDefault="0044019D" w:rsidP="0044019D">
      <w:pPr>
        <w:shd w:val="clear" w:color="auto" w:fill="F5F3F1"/>
        <w:spacing w:after="0" w:line="240" w:lineRule="auto"/>
        <w:rPr>
          <w:rFonts w:ascii="Arial" w:eastAsia="Times New Roman" w:hAnsi="Arial" w:cs="Arial"/>
          <w:i/>
          <w:iCs/>
          <w:color w:val="262830"/>
          <w:sz w:val="24"/>
          <w:szCs w:val="24"/>
          <w:lang w:eastAsia="sk-SK"/>
        </w:rPr>
      </w:pPr>
    </w:p>
    <w:p w14:paraId="14BD1B9D" w14:textId="4EB739EE" w:rsidR="0044019D" w:rsidRPr="0044019D" w:rsidRDefault="0044019D" w:rsidP="0044019D">
      <w:pPr>
        <w:shd w:val="clear" w:color="auto" w:fill="F5F3F1"/>
        <w:spacing w:after="0" w:line="240" w:lineRule="auto"/>
        <w:rPr>
          <w:rFonts w:ascii="Arial" w:eastAsia="Times New Roman" w:hAnsi="Arial" w:cs="Arial"/>
          <w:b/>
          <w:bCs/>
          <w:color w:val="262830"/>
          <w:sz w:val="24"/>
          <w:szCs w:val="24"/>
          <w:lang w:eastAsia="sk-SK"/>
        </w:rPr>
      </w:pPr>
      <w:r w:rsidRPr="0044019D">
        <w:rPr>
          <w:rFonts w:ascii="Arial" w:eastAsia="Times New Roman" w:hAnsi="Arial" w:cs="Arial"/>
          <w:b/>
          <w:bCs/>
          <w:i/>
          <w:iCs/>
          <w:color w:val="262830"/>
          <w:sz w:val="24"/>
          <w:szCs w:val="24"/>
          <w:lang w:eastAsia="sk-SK"/>
        </w:rPr>
        <w:t>1. Podľa rozsahu poskytovaných služieb</w:t>
      </w:r>
    </w:p>
    <w:p w14:paraId="5BDE26C6" w14:textId="77777777" w:rsidR="0044019D" w:rsidRDefault="0044019D" w:rsidP="0044019D">
      <w:pPr>
        <w:shd w:val="clear" w:color="auto" w:fill="F5F3F1"/>
        <w:spacing w:after="0" w:line="240" w:lineRule="auto"/>
        <w:rPr>
          <w:rFonts w:ascii="Arial" w:eastAsia="Times New Roman" w:hAnsi="Arial" w:cs="Arial"/>
          <w:color w:val="262830"/>
          <w:sz w:val="24"/>
          <w:szCs w:val="24"/>
          <w:lang w:eastAsia="sk-SK"/>
        </w:rPr>
      </w:pPr>
    </w:p>
    <w:p w14:paraId="35D912A7" w14:textId="4B5D7855" w:rsidR="0044019D" w:rsidRPr="0044019D" w:rsidRDefault="0044019D" w:rsidP="0044019D">
      <w:pPr>
        <w:shd w:val="clear" w:color="auto" w:fill="F5F3F1"/>
        <w:spacing w:after="0" w:line="240" w:lineRule="auto"/>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a) Univerzálne</w:t>
      </w:r>
      <w:r w:rsidRPr="0044019D">
        <w:rPr>
          <w:rFonts w:ascii="Arial" w:eastAsia="Times New Roman" w:hAnsi="Arial" w:cs="Arial"/>
          <w:color w:val="262830"/>
          <w:sz w:val="24"/>
          <w:szCs w:val="24"/>
          <w:lang w:eastAsia="sk-SK"/>
        </w:rPr>
        <w:br/>
      </w:r>
      <w:r w:rsidRPr="0044019D">
        <w:rPr>
          <w:rFonts w:ascii="Arial" w:eastAsia="Times New Roman" w:hAnsi="Arial" w:cs="Arial"/>
          <w:i/>
          <w:iCs/>
          <w:color w:val="262830"/>
          <w:sz w:val="24"/>
          <w:szCs w:val="24"/>
          <w:lang w:eastAsia="sk-SK"/>
        </w:rPr>
        <w:t>- Poskytujú všetky druhy bankových služieb – VÚB, Tatrabanka, Slovenská sporiteľňa,..</w:t>
      </w:r>
      <w:r w:rsidRPr="0044019D">
        <w:rPr>
          <w:rFonts w:ascii="Arial" w:eastAsia="Times New Roman" w:hAnsi="Arial" w:cs="Arial"/>
          <w:color w:val="262830"/>
          <w:sz w:val="24"/>
          <w:szCs w:val="24"/>
          <w:lang w:eastAsia="sk-SK"/>
        </w:rPr>
        <w:br/>
        <w:t>b) Špecializované</w:t>
      </w:r>
      <w:r w:rsidRPr="0044019D">
        <w:rPr>
          <w:rFonts w:ascii="Arial" w:eastAsia="Times New Roman" w:hAnsi="Arial" w:cs="Arial"/>
          <w:color w:val="262830"/>
          <w:sz w:val="24"/>
          <w:szCs w:val="24"/>
          <w:lang w:eastAsia="sk-SK"/>
        </w:rPr>
        <w:br/>
      </w:r>
      <w:r w:rsidRPr="0044019D">
        <w:rPr>
          <w:rFonts w:ascii="Arial" w:eastAsia="Times New Roman" w:hAnsi="Arial" w:cs="Arial"/>
          <w:i/>
          <w:iCs/>
          <w:color w:val="262830"/>
          <w:sz w:val="24"/>
          <w:szCs w:val="24"/>
          <w:lang w:eastAsia="sk-SK"/>
        </w:rPr>
        <w:t>- Zameriavajú sa na určitý okruh bankových služieb.</w:t>
      </w:r>
      <w:r w:rsidRPr="0044019D">
        <w:rPr>
          <w:rFonts w:ascii="Arial" w:eastAsia="Times New Roman" w:hAnsi="Arial" w:cs="Arial"/>
          <w:color w:val="262830"/>
          <w:sz w:val="24"/>
          <w:szCs w:val="24"/>
          <w:lang w:eastAsia="sk-SK"/>
        </w:rPr>
        <w:br/>
      </w:r>
      <w:r w:rsidRPr="0044019D">
        <w:rPr>
          <w:rFonts w:ascii="Arial" w:eastAsia="Times New Roman" w:hAnsi="Arial" w:cs="Arial"/>
          <w:i/>
          <w:iCs/>
          <w:color w:val="262830"/>
          <w:sz w:val="24"/>
          <w:szCs w:val="24"/>
          <w:lang w:eastAsia="sk-SK"/>
        </w:rPr>
        <w:t>- Špecializovanými bankami sú:</w:t>
      </w:r>
    </w:p>
    <w:p w14:paraId="63AD687B" w14:textId="77777777" w:rsidR="0044019D" w:rsidRPr="0044019D" w:rsidRDefault="0044019D" w:rsidP="0044019D">
      <w:pPr>
        <w:shd w:val="clear" w:color="auto" w:fill="F5F3F1"/>
        <w:spacing w:after="0" w:line="240" w:lineRule="auto"/>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o   </w:t>
      </w:r>
      <w:r w:rsidRPr="0044019D">
        <w:rPr>
          <w:rFonts w:ascii="Arial" w:eastAsia="Times New Roman" w:hAnsi="Arial" w:cs="Arial"/>
          <w:i/>
          <w:iCs/>
          <w:color w:val="262830"/>
          <w:sz w:val="24"/>
          <w:szCs w:val="24"/>
          <w:lang w:eastAsia="sk-SK"/>
        </w:rPr>
        <w:t>Komunálne banky</w:t>
      </w:r>
      <w:r w:rsidRPr="0044019D">
        <w:rPr>
          <w:rFonts w:ascii="Arial" w:eastAsia="Times New Roman" w:hAnsi="Arial" w:cs="Arial"/>
          <w:color w:val="262830"/>
          <w:sz w:val="24"/>
          <w:szCs w:val="24"/>
          <w:lang w:eastAsia="sk-SK"/>
        </w:rPr>
        <w:t> – poskytujú bankové služby mestám a obciam.</w:t>
      </w:r>
    </w:p>
    <w:p w14:paraId="0E8E3265" w14:textId="77777777" w:rsidR="0044019D" w:rsidRPr="0044019D" w:rsidRDefault="0044019D" w:rsidP="0044019D">
      <w:pPr>
        <w:shd w:val="clear" w:color="auto" w:fill="F5F3F1"/>
        <w:spacing w:after="0" w:line="240" w:lineRule="auto"/>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o   </w:t>
      </w:r>
      <w:r w:rsidRPr="0044019D">
        <w:rPr>
          <w:rFonts w:ascii="Arial" w:eastAsia="Times New Roman" w:hAnsi="Arial" w:cs="Arial"/>
          <w:i/>
          <w:iCs/>
          <w:color w:val="262830"/>
          <w:sz w:val="24"/>
          <w:szCs w:val="24"/>
          <w:lang w:eastAsia="sk-SK"/>
        </w:rPr>
        <w:t>Stavebné sporiteľne</w:t>
      </w:r>
      <w:r w:rsidRPr="0044019D">
        <w:rPr>
          <w:rFonts w:ascii="Arial" w:eastAsia="Times New Roman" w:hAnsi="Arial" w:cs="Arial"/>
          <w:color w:val="262830"/>
          <w:sz w:val="24"/>
          <w:szCs w:val="24"/>
          <w:lang w:eastAsia="sk-SK"/>
        </w:rPr>
        <w:t> – prijímajú účelové vklady a poskytujú účelové úvery.</w:t>
      </w:r>
    </w:p>
    <w:p w14:paraId="002FFBE7" w14:textId="7BF83F1E" w:rsidR="0044019D" w:rsidRPr="0044019D" w:rsidRDefault="0044019D" w:rsidP="0044019D">
      <w:pPr>
        <w:shd w:val="clear" w:color="auto" w:fill="F5F3F1"/>
        <w:spacing w:after="0" w:line="240" w:lineRule="auto"/>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o  </w:t>
      </w:r>
      <w:r w:rsidRPr="0044019D">
        <w:rPr>
          <w:rFonts w:ascii="Arial" w:eastAsia="Times New Roman" w:hAnsi="Arial" w:cs="Arial"/>
          <w:i/>
          <w:iCs/>
          <w:color w:val="262830"/>
          <w:sz w:val="24"/>
          <w:szCs w:val="24"/>
          <w:lang w:eastAsia="sk-SK"/>
        </w:rPr>
        <w:t> Hypotekárne banky</w:t>
      </w:r>
      <w:r w:rsidRPr="0044019D">
        <w:rPr>
          <w:rFonts w:ascii="Arial" w:eastAsia="Times New Roman" w:hAnsi="Arial" w:cs="Arial"/>
          <w:color w:val="262830"/>
          <w:sz w:val="24"/>
          <w:szCs w:val="24"/>
          <w:lang w:eastAsia="sk-SK"/>
        </w:rPr>
        <w:t> – poskytujú strednodobé a dlhodobé úvery zabezpečené nehnuteľným majetkom.</w:t>
      </w:r>
      <w:r w:rsidRPr="0044019D">
        <w:rPr>
          <w:rFonts w:ascii="Arial" w:eastAsia="Times New Roman" w:hAnsi="Arial" w:cs="Arial"/>
          <w:color w:val="262830"/>
          <w:sz w:val="24"/>
          <w:szCs w:val="24"/>
          <w:lang w:eastAsia="sk-SK"/>
        </w:rPr>
        <w:br/>
        <w:t>o   </w:t>
      </w:r>
      <w:r w:rsidRPr="0044019D">
        <w:rPr>
          <w:rFonts w:ascii="Arial" w:eastAsia="Times New Roman" w:hAnsi="Arial" w:cs="Arial"/>
          <w:i/>
          <w:iCs/>
          <w:color w:val="262830"/>
          <w:sz w:val="24"/>
          <w:szCs w:val="24"/>
          <w:lang w:eastAsia="sk-SK"/>
        </w:rPr>
        <w:t>Záručné banky</w:t>
      </w:r>
      <w:r w:rsidRPr="0044019D">
        <w:rPr>
          <w:rFonts w:ascii="Arial" w:eastAsia="Times New Roman" w:hAnsi="Arial" w:cs="Arial"/>
          <w:color w:val="262830"/>
          <w:sz w:val="24"/>
          <w:szCs w:val="24"/>
          <w:lang w:eastAsia="sk-SK"/>
        </w:rPr>
        <w:t> – poskytujú bankové záruky pre určitý okruh klientov.</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V súčasnosti pôsobia na trhu najmä univerzálne banky. Zakladajú si špecializované inštitúcie – dcérske spoločnosti, ktoré potom kapitálovo ovládajú. Ide o správcovské, lízingové, poisťovacie spoločnosti, stavebné sporiteľne.</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r>
      <w:r w:rsidRPr="0044019D">
        <w:rPr>
          <w:rFonts w:ascii="Arial" w:eastAsia="Times New Roman" w:hAnsi="Arial" w:cs="Arial"/>
          <w:b/>
          <w:bCs/>
          <w:i/>
          <w:iCs/>
          <w:color w:val="262830"/>
          <w:sz w:val="24"/>
          <w:szCs w:val="24"/>
          <w:lang w:eastAsia="sk-SK"/>
        </w:rPr>
        <w:t>2. Podľa vlastníctva</w:t>
      </w:r>
    </w:p>
    <w:p w14:paraId="49E53AEF" w14:textId="77777777" w:rsidR="0044019D" w:rsidRDefault="0044019D" w:rsidP="0044019D">
      <w:pPr>
        <w:shd w:val="clear" w:color="auto" w:fill="F5F3F1"/>
        <w:spacing w:after="0" w:line="240" w:lineRule="auto"/>
        <w:rPr>
          <w:rFonts w:ascii="Arial" w:eastAsia="Times New Roman" w:hAnsi="Arial" w:cs="Arial"/>
          <w:color w:val="262830"/>
          <w:sz w:val="24"/>
          <w:szCs w:val="24"/>
          <w:lang w:eastAsia="sk-SK"/>
        </w:rPr>
      </w:pPr>
    </w:p>
    <w:p w14:paraId="4BDF6AAA" w14:textId="74826839" w:rsidR="0044019D" w:rsidRPr="0044019D" w:rsidRDefault="0044019D" w:rsidP="0044019D">
      <w:pPr>
        <w:shd w:val="clear" w:color="auto" w:fill="F5F3F1"/>
        <w:spacing w:after="0" w:line="240" w:lineRule="auto"/>
        <w:rPr>
          <w:rFonts w:ascii="Arial" w:eastAsia="Times New Roman" w:hAnsi="Arial" w:cs="Arial"/>
          <w:b/>
          <w:bCs/>
          <w:color w:val="7030A0"/>
          <w:sz w:val="24"/>
          <w:szCs w:val="24"/>
          <w:lang w:eastAsia="sk-SK"/>
        </w:rPr>
      </w:pPr>
      <w:r w:rsidRPr="0044019D">
        <w:rPr>
          <w:rFonts w:ascii="Arial" w:eastAsia="Times New Roman" w:hAnsi="Arial" w:cs="Arial"/>
          <w:color w:val="262830"/>
          <w:sz w:val="24"/>
          <w:szCs w:val="24"/>
          <w:lang w:eastAsia="sk-SK"/>
        </w:rPr>
        <w:t>a)      Verejné – štátne (EXIMBANKA SR)</w:t>
      </w:r>
      <w:r w:rsidRPr="0044019D">
        <w:rPr>
          <w:rFonts w:ascii="Arial" w:eastAsia="Times New Roman" w:hAnsi="Arial" w:cs="Arial"/>
          <w:color w:val="262830"/>
          <w:sz w:val="24"/>
          <w:szCs w:val="24"/>
          <w:lang w:eastAsia="sk-SK"/>
        </w:rPr>
        <w:br/>
        <w:t>b)      Súkromné – v súkromnom vlastníctve, je ich mnoho</w:t>
      </w:r>
      <w:r w:rsidRPr="0044019D">
        <w:rPr>
          <w:rFonts w:ascii="Arial" w:eastAsia="Times New Roman" w:hAnsi="Arial" w:cs="Arial"/>
          <w:color w:val="262830"/>
          <w:sz w:val="24"/>
          <w:szCs w:val="24"/>
          <w:lang w:eastAsia="sk-SK"/>
        </w:rPr>
        <w:br/>
        <w:t>c)      Zmiešané – kombináciou týchto dvoch foriem</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r>
      <w:r w:rsidRPr="0044019D">
        <w:rPr>
          <w:rFonts w:ascii="Arial" w:eastAsia="Times New Roman" w:hAnsi="Arial" w:cs="Arial"/>
          <w:b/>
          <w:bCs/>
          <w:color w:val="7030A0"/>
          <w:sz w:val="24"/>
          <w:szCs w:val="24"/>
          <w:lang w:eastAsia="sk-SK"/>
        </w:rPr>
        <w:t>Podmienky založenia banky</w:t>
      </w:r>
    </w:p>
    <w:p w14:paraId="550BD9DE" w14:textId="77777777" w:rsidR="0044019D" w:rsidRPr="0044019D" w:rsidRDefault="0044019D" w:rsidP="0044019D">
      <w:pPr>
        <w:numPr>
          <w:ilvl w:val="0"/>
          <w:numId w:val="3"/>
        </w:numPr>
        <w:shd w:val="clear" w:color="auto" w:fill="F5F3F1"/>
        <w:spacing w:after="0" w:line="240" w:lineRule="auto"/>
        <w:ind w:left="1020" w:right="120"/>
        <w:rPr>
          <w:rFonts w:ascii="Arial" w:eastAsia="Times New Roman" w:hAnsi="Arial" w:cs="Arial"/>
          <w:b/>
          <w:bCs/>
          <w:color w:val="262830"/>
          <w:sz w:val="24"/>
          <w:szCs w:val="24"/>
          <w:lang w:eastAsia="sk-SK"/>
        </w:rPr>
      </w:pPr>
      <w:r w:rsidRPr="0044019D">
        <w:rPr>
          <w:rFonts w:ascii="Arial" w:eastAsia="Times New Roman" w:hAnsi="Arial" w:cs="Arial"/>
          <w:color w:val="262830"/>
          <w:sz w:val="24"/>
          <w:szCs w:val="24"/>
          <w:lang w:eastAsia="sk-SK"/>
        </w:rPr>
        <w:t xml:space="preserve">Forma </w:t>
      </w:r>
      <w:r w:rsidRPr="0044019D">
        <w:rPr>
          <w:rFonts w:ascii="Arial" w:eastAsia="Times New Roman" w:hAnsi="Arial" w:cs="Arial"/>
          <w:b/>
          <w:bCs/>
          <w:color w:val="262830"/>
          <w:sz w:val="24"/>
          <w:szCs w:val="24"/>
          <w:lang w:eastAsia="sk-SK"/>
        </w:rPr>
        <w:t>– len a. s.</w:t>
      </w:r>
    </w:p>
    <w:p w14:paraId="42B20745" w14:textId="77777777" w:rsidR="0044019D" w:rsidRPr="0044019D" w:rsidRDefault="0044019D" w:rsidP="0044019D">
      <w:pPr>
        <w:numPr>
          <w:ilvl w:val="0"/>
          <w:numId w:val="3"/>
        </w:numPr>
        <w:shd w:val="clear" w:color="auto" w:fill="F5F3F1"/>
        <w:spacing w:after="0" w:line="240" w:lineRule="auto"/>
        <w:ind w:left="1020" w:right="120"/>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Vysoké nároky, NBS posudzuje pôvod, zloženie a dostatočnosť vlastných zdrojov banky ako aj technickú a organizačnú pripravenosť jej činnosti.</w:t>
      </w:r>
    </w:p>
    <w:p w14:paraId="42CDB1F1" w14:textId="77777777" w:rsidR="0044019D" w:rsidRPr="0044019D" w:rsidRDefault="0044019D" w:rsidP="0044019D">
      <w:pPr>
        <w:numPr>
          <w:ilvl w:val="0"/>
          <w:numId w:val="3"/>
        </w:numPr>
        <w:shd w:val="clear" w:color="auto" w:fill="F5F3F1"/>
        <w:spacing w:after="0" w:line="240" w:lineRule="auto"/>
        <w:ind w:left="1020" w:right="120"/>
        <w:rPr>
          <w:rFonts w:ascii="Arial" w:eastAsia="Times New Roman" w:hAnsi="Arial" w:cs="Arial"/>
          <w:b/>
          <w:bCs/>
          <w:color w:val="262830"/>
          <w:sz w:val="24"/>
          <w:szCs w:val="24"/>
          <w:lang w:eastAsia="sk-SK"/>
        </w:rPr>
      </w:pPr>
      <w:r w:rsidRPr="0044019D">
        <w:rPr>
          <w:rFonts w:ascii="Arial" w:eastAsia="Times New Roman" w:hAnsi="Arial" w:cs="Arial"/>
          <w:b/>
          <w:bCs/>
          <w:color w:val="262830"/>
          <w:sz w:val="24"/>
          <w:szCs w:val="24"/>
          <w:lang w:eastAsia="sk-SK"/>
        </w:rPr>
        <w:t>Podanie žiadosti o udelenie bankového povolenia NBS.</w:t>
      </w:r>
    </w:p>
    <w:p w14:paraId="68303627" w14:textId="77777777" w:rsidR="0044019D" w:rsidRPr="0044019D" w:rsidRDefault="0044019D" w:rsidP="0044019D">
      <w:pPr>
        <w:shd w:val="clear" w:color="auto" w:fill="F5F3F1"/>
        <w:spacing w:after="0" w:line="240" w:lineRule="auto"/>
        <w:rPr>
          <w:rFonts w:ascii="Arial" w:eastAsia="Times New Roman" w:hAnsi="Arial" w:cs="Arial"/>
          <w:b/>
          <w:bCs/>
          <w:color w:val="7030A0"/>
          <w:sz w:val="24"/>
          <w:szCs w:val="24"/>
          <w:lang w:eastAsia="sk-SK"/>
        </w:rPr>
      </w:pPr>
      <w:r w:rsidRPr="0044019D">
        <w:rPr>
          <w:rFonts w:ascii="Arial" w:eastAsia="Times New Roman" w:hAnsi="Arial" w:cs="Arial"/>
          <w:color w:val="262830"/>
          <w:sz w:val="24"/>
          <w:szCs w:val="24"/>
          <w:lang w:eastAsia="sk-SK"/>
        </w:rPr>
        <w:lastRenderedPageBreak/>
        <w:br/>
      </w:r>
      <w:r w:rsidRPr="0044019D">
        <w:rPr>
          <w:rFonts w:ascii="Arial" w:eastAsia="Times New Roman" w:hAnsi="Arial" w:cs="Arial"/>
          <w:b/>
          <w:bCs/>
          <w:color w:val="7030A0"/>
          <w:sz w:val="24"/>
          <w:szCs w:val="24"/>
          <w:lang w:eastAsia="sk-SK"/>
        </w:rPr>
        <w:t>Na udelenie bankového povolenia musia byť splnené podmienky:</w:t>
      </w:r>
    </w:p>
    <w:p w14:paraId="1C9A5A93" w14:textId="77777777" w:rsidR="0044019D" w:rsidRPr="0044019D" w:rsidRDefault="0044019D" w:rsidP="0044019D">
      <w:pPr>
        <w:numPr>
          <w:ilvl w:val="0"/>
          <w:numId w:val="4"/>
        </w:numPr>
        <w:shd w:val="clear" w:color="auto" w:fill="F5F3F1"/>
        <w:spacing w:after="0" w:line="240" w:lineRule="auto"/>
        <w:ind w:left="1020" w:right="120"/>
        <w:rPr>
          <w:rFonts w:ascii="Arial" w:eastAsia="Times New Roman" w:hAnsi="Arial" w:cs="Arial"/>
          <w:b/>
          <w:bCs/>
          <w:color w:val="262830"/>
          <w:sz w:val="24"/>
          <w:szCs w:val="24"/>
          <w:lang w:eastAsia="sk-SK"/>
        </w:rPr>
      </w:pPr>
      <w:r w:rsidRPr="0044019D">
        <w:rPr>
          <w:rFonts w:ascii="Arial" w:eastAsia="Times New Roman" w:hAnsi="Arial" w:cs="Arial"/>
          <w:b/>
          <w:bCs/>
          <w:color w:val="262830"/>
          <w:sz w:val="24"/>
          <w:szCs w:val="24"/>
          <w:lang w:eastAsia="sk-SK"/>
        </w:rPr>
        <w:t>Minimálny peňažný vklad – ZI musí byť cca 16.6 mil. €, ak bude vykonávať hypotekárne obchody 33.2 mil. €.</w:t>
      </w:r>
    </w:p>
    <w:p w14:paraId="68917C29" w14:textId="77777777" w:rsidR="0044019D" w:rsidRPr="0044019D" w:rsidRDefault="0044019D" w:rsidP="0044019D">
      <w:pPr>
        <w:numPr>
          <w:ilvl w:val="0"/>
          <w:numId w:val="4"/>
        </w:numPr>
        <w:shd w:val="clear" w:color="auto" w:fill="F5F3F1"/>
        <w:spacing w:after="0" w:line="240" w:lineRule="auto"/>
        <w:ind w:left="1020" w:right="120"/>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Žiadosť musí preukázať prehľadný a dôveryhodný pôvod peňazí.</w:t>
      </w:r>
    </w:p>
    <w:p w14:paraId="30552B07" w14:textId="77777777" w:rsidR="0044019D" w:rsidRPr="0044019D" w:rsidRDefault="0044019D" w:rsidP="0044019D">
      <w:pPr>
        <w:numPr>
          <w:ilvl w:val="0"/>
          <w:numId w:val="4"/>
        </w:numPr>
        <w:shd w:val="clear" w:color="auto" w:fill="F5F3F1"/>
        <w:spacing w:after="0" w:line="240" w:lineRule="auto"/>
        <w:ind w:left="1020" w:right="120"/>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U členov riadiacich štatutárnych orgánov (predstavenstva) sa posudzuje odborná spôsobilosť a bezúhonnosť.</w:t>
      </w:r>
    </w:p>
    <w:p w14:paraId="4E60883B" w14:textId="77777777" w:rsidR="0044019D" w:rsidRPr="0044019D" w:rsidRDefault="0044019D" w:rsidP="0044019D">
      <w:pPr>
        <w:numPr>
          <w:ilvl w:val="0"/>
          <w:numId w:val="4"/>
        </w:numPr>
        <w:shd w:val="clear" w:color="auto" w:fill="F5F3F1"/>
        <w:spacing w:after="0" w:line="240" w:lineRule="auto"/>
        <w:ind w:left="1020" w:right="120"/>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Predloženie obchodného plánu, či banka obstojí v silnom konkurenčnom boji.</w:t>
      </w:r>
    </w:p>
    <w:p w14:paraId="68570D5B" w14:textId="77777777" w:rsidR="0044019D" w:rsidRPr="0044019D" w:rsidRDefault="0044019D" w:rsidP="0044019D">
      <w:pPr>
        <w:shd w:val="clear" w:color="auto" w:fill="F5F3F1"/>
        <w:spacing w:after="0" w:line="240" w:lineRule="auto"/>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br/>
        <w:t>Bankové povolenie sa vydáva na dobu neurčitú. Môže sa obmedziť / rozšíriť.</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r>
      <w:r w:rsidRPr="0044019D">
        <w:rPr>
          <w:rFonts w:ascii="Arial" w:eastAsia="Times New Roman" w:hAnsi="Arial" w:cs="Arial"/>
          <w:color w:val="C00000"/>
          <w:sz w:val="24"/>
          <w:szCs w:val="24"/>
          <w:lang w:eastAsia="sk-SK"/>
        </w:rPr>
        <w:t>Najvyšším orgánom banky je Valné zhromaždenie.</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Banka má štatutárny orgán, ktorý je  predstavenstvo a kontrolný orgán, ktorým je dozorná rada. Štatutárny orgán je dozorná rada = 3 členovia.</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r>
      <w:r w:rsidRPr="0044019D">
        <w:rPr>
          <w:rFonts w:ascii="Arial" w:eastAsia="Times New Roman" w:hAnsi="Arial" w:cs="Arial"/>
          <w:b/>
          <w:bCs/>
          <w:color w:val="262830"/>
          <w:sz w:val="24"/>
          <w:szCs w:val="24"/>
          <w:lang w:eastAsia="sk-SK"/>
        </w:rPr>
        <w:t>Pre zamestnancov aj členov orgánov platí bankové tajomstvo.</w:t>
      </w:r>
      <w:r w:rsidRPr="0044019D">
        <w:rPr>
          <w:rFonts w:ascii="Arial" w:eastAsia="Times New Roman" w:hAnsi="Arial" w:cs="Arial"/>
          <w:b/>
          <w:bCs/>
          <w:color w:val="262830"/>
          <w:sz w:val="24"/>
          <w:szCs w:val="24"/>
          <w:lang w:eastAsia="sk-SK"/>
        </w:rPr>
        <w:br/>
      </w:r>
      <w:r w:rsidRPr="0044019D">
        <w:rPr>
          <w:rFonts w:ascii="Arial" w:eastAsia="Times New Roman" w:hAnsi="Arial" w:cs="Arial"/>
          <w:color w:val="262830"/>
          <w:sz w:val="24"/>
          <w:szCs w:val="24"/>
          <w:lang w:eastAsia="sk-SK"/>
        </w:rPr>
        <w:br/>
      </w:r>
      <w:r w:rsidRPr="0044019D">
        <w:rPr>
          <w:rFonts w:ascii="Arial" w:eastAsia="Times New Roman" w:hAnsi="Arial" w:cs="Arial"/>
          <w:b/>
          <w:bCs/>
          <w:color w:val="C00000"/>
          <w:sz w:val="24"/>
          <w:szCs w:val="24"/>
          <w:lang w:eastAsia="sk-SK"/>
        </w:rPr>
        <w:t>₪    Pasívne bankové činnosti</w:t>
      </w:r>
      <w:r w:rsidRPr="0044019D">
        <w:rPr>
          <w:rFonts w:ascii="Arial" w:eastAsia="Times New Roman" w:hAnsi="Arial" w:cs="Arial"/>
          <w:b/>
          <w:bCs/>
          <w:color w:val="C00000"/>
          <w:sz w:val="24"/>
          <w:szCs w:val="24"/>
          <w:lang w:eastAsia="sk-SK"/>
        </w:rPr>
        <w:br/>
      </w:r>
      <w:r w:rsidRPr="0044019D">
        <w:rPr>
          <w:rFonts w:ascii="Arial" w:eastAsia="Times New Roman" w:hAnsi="Arial" w:cs="Arial"/>
          <w:color w:val="262830"/>
          <w:sz w:val="24"/>
          <w:szCs w:val="24"/>
          <w:lang w:eastAsia="sk-SK"/>
        </w:rPr>
        <w:t>·     Sú transakcie, pri ktorých obchodná banka prijíma od svojich klientov peňažné prostriedky – vklady.</w:t>
      </w:r>
      <w:r w:rsidRPr="0044019D">
        <w:rPr>
          <w:rFonts w:ascii="Arial" w:eastAsia="Times New Roman" w:hAnsi="Arial" w:cs="Arial"/>
          <w:color w:val="262830"/>
          <w:sz w:val="24"/>
          <w:szCs w:val="24"/>
          <w:lang w:eastAsia="sk-SK"/>
        </w:rPr>
        <w:br/>
        <w:t>·     Vklad sa nazýva aj depozit. Je to peňažná suma, ktorú vkladateľ za určitú cenu zapožičia banke. Tou cenou je úrok. Výška úroku závisí od doby, na ktorú sa vklad poskytol banke.</w:t>
      </w:r>
      <w:r w:rsidRPr="0044019D">
        <w:rPr>
          <w:rFonts w:ascii="Arial" w:eastAsia="Times New Roman" w:hAnsi="Arial" w:cs="Arial"/>
          <w:color w:val="262830"/>
          <w:sz w:val="24"/>
          <w:szCs w:val="24"/>
          <w:lang w:eastAsia="sk-SK"/>
        </w:rPr>
        <w:br/>
        <w:t>·     Vklady predstavujú záväzok banky voči vkladateľovi na ich výplatu vrátane dohodnutého úroku. Úrok zo získaných vkladov je pre obchodnú banku náklad.</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 xml:space="preserve">₪    </w:t>
      </w:r>
      <w:r w:rsidRPr="0044019D">
        <w:rPr>
          <w:rFonts w:ascii="Arial" w:eastAsia="Times New Roman" w:hAnsi="Arial" w:cs="Arial"/>
          <w:b/>
          <w:bCs/>
          <w:color w:val="C00000"/>
          <w:sz w:val="24"/>
          <w:szCs w:val="24"/>
          <w:lang w:eastAsia="sk-SK"/>
        </w:rPr>
        <w:t>Aktívne bankové činnosti</w:t>
      </w:r>
      <w:r w:rsidRPr="0044019D">
        <w:rPr>
          <w:rFonts w:ascii="Arial" w:eastAsia="Times New Roman" w:hAnsi="Arial" w:cs="Arial"/>
          <w:b/>
          <w:bCs/>
          <w:color w:val="C00000"/>
          <w:sz w:val="24"/>
          <w:szCs w:val="24"/>
          <w:lang w:eastAsia="sk-SK"/>
        </w:rPr>
        <w:br/>
      </w:r>
      <w:r w:rsidRPr="0044019D">
        <w:rPr>
          <w:rFonts w:ascii="Arial" w:eastAsia="Times New Roman" w:hAnsi="Arial" w:cs="Arial"/>
          <w:color w:val="262830"/>
          <w:sz w:val="24"/>
          <w:szCs w:val="24"/>
          <w:lang w:eastAsia="sk-SK"/>
        </w:rPr>
        <w:t>·     Pri týchto činnostiach banka poskytuje svojim klientom dočasný úver za určitú náhradu – úrok. Úver je záväzok dlžníka zaplatiť banke svoj dlh spolu s dohodnutým úrokom. Úrok z poskytnutých úverov je pre obchodnú banku výnos.</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r>
      <w:r w:rsidRPr="0044019D">
        <w:rPr>
          <w:rFonts w:ascii="Arial" w:eastAsia="Times New Roman" w:hAnsi="Arial" w:cs="Arial"/>
          <w:b/>
          <w:bCs/>
          <w:i/>
          <w:iCs/>
          <w:color w:val="262830"/>
          <w:sz w:val="24"/>
          <w:szCs w:val="24"/>
          <w:lang w:eastAsia="sk-SK"/>
        </w:rPr>
        <w:t>Banky môžu vykonávať aj ďalšie činnosti, napr.:</w:t>
      </w:r>
      <w:r w:rsidRPr="0044019D">
        <w:rPr>
          <w:rFonts w:ascii="Arial" w:eastAsia="Times New Roman" w:hAnsi="Arial" w:cs="Arial"/>
          <w:b/>
          <w:bCs/>
          <w:color w:val="262830"/>
          <w:sz w:val="24"/>
          <w:szCs w:val="24"/>
          <w:lang w:eastAsia="sk-SK"/>
        </w:rPr>
        <w:br/>
      </w:r>
      <w:r w:rsidRPr="0044019D">
        <w:rPr>
          <w:rFonts w:ascii="Arial" w:eastAsia="Times New Roman" w:hAnsi="Arial" w:cs="Arial"/>
          <w:color w:val="262830"/>
          <w:sz w:val="24"/>
          <w:szCs w:val="24"/>
          <w:lang w:eastAsia="sk-SK"/>
        </w:rPr>
        <w:t>·       Platobný styk a zúčtovanie</w:t>
      </w:r>
      <w:r w:rsidRPr="0044019D">
        <w:rPr>
          <w:rFonts w:ascii="Arial" w:eastAsia="Times New Roman" w:hAnsi="Arial" w:cs="Arial"/>
          <w:color w:val="262830"/>
          <w:sz w:val="24"/>
          <w:szCs w:val="24"/>
          <w:lang w:eastAsia="sk-SK"/>
        </w:rPr>
        <w:br/>
        <w:t>·       Finančný lízing</w:t>
      </w:r>
      <w:r w:rsidRPr="0044019D">
        <w:rPr>
          <w:rFonts w:ascii="Arial" w:eastAsia="Times New Roman" w:hAnsi="Arial" w:cs="Arial"/>
          <w:color w:val="262830"/>
          <w:sz w:val="24"/>
          <w:szCs w:val="24"/>
          <w:lang w:eastAsia="sk-SK"/>
        </w:rPr>
        <w:br/>
        <w:t>·       Otváranie a potvrdzovanie akreditívov</w:t>
      </w:r>
      <w:r w:rsidRPr="0044019D">
        <w:rPr>
          <w:rFonts w:ascii="Arial" w:eastAsia="Times New Roman" w:hAnsi="Arial" w:cs="Arial"/>
          <w:color w:val="262830"/>
          <w:sz w:val="24"/>
          <w:szCs w:val="24"/>
          <w:lang w:eastAsia="sk-SK"/>
        </w:rPr>
        <w:br/>
        <w:t>·       Vydávanie platobných prostriedkov</w:t>
      </w:r>
      <w:r w:rsidRPr="0044019D">
        <w:rPr>
          <w:rFonts w:ascii="Arial" w:eastAsia="Times New Roman" w:hAnsi="Arial" w:cs="Arial"/>
          <w:color w:val="262830"/>
          <w:sz w:val="24"/>
          <w:szCs w:val="24"/>
          <w:lang w:eastAsia="sk-SK"/>
        </w:rPr>
        <w:br/>
        <w:t>·       Poskytovanie poradenských služieb</w:t>
      </w:r>
      <w:r w:rsidRPr="0044019D">
        <w:rPr>
          <w:rFonts w:ascii="Arial" w:eastAsia="Times New Roman" w:hAnsi="Arial" w:cs="Arial"/>
          <w:color w:val="262830"/>
          <w:sz w:val="24"/>
          <w:szCs w:val="24"/>
          <w:lang w:eastAsia="sk-SK"/>
        </w:rPr>
        <w:br/>
        <w:t>·       Vydávanie cenných papierov</w:t>
      </w:r>
      <w:r w:rsidRPr="0044019D">
        <w:rPr>
          <w:rFonts w:ascii="Arial" w:eastAsia="Times New Roman" w:hAnsi="Arial" w:cs="Arial"/>
          <w:color w:val="262830"/>
          <w:sz w:val="24"/>
          <w:szCs w:val="24"/>
          <w:lang w:eastAsia="sk-SK"/>
        </w:rPr>
        <w:br/>
        <w:t>·       Prenájom bezpečnostných schránok</w:t>
      </w:r>
      <w:r w:rsidRPr="0044019D">
        <w:rPr>
          <w:rFonts w:ascii="Arial" w:eastAsia="Times New Roman" w:hAnsi="Arial" w:cs="Arial"/>
          <w:color w:val="262830"/>
          <w:sz w:val="24"/>
          <w:szCs w:val="24"/>
          <w:lang w:eastAsia="sk-SK"/>
        </w:rPr>
        <w:br/>
        <w:t>·       Hypotekárne obchody a pod.</w:t>
      </w:r>
    </w:p>
    <w:p w14:paraId="6EA858A9" w14:textId="77777777" w:rsidR="0044019D" w:rsidRPr="0044019D" w:rsidRDefault="0044019D" w:rsidP="0044019D">
      <w:pPr>
        <w:shd w:val="clear" w:color="auto" w:fill="F5F3F1"/>
        <w:spacing w:after="206" w:line="240" w:lineRule="auto"/>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 </w:t>
      </w:r>
    </w:p>
    <w:p w14:paraId="4B5E4E38" w14:textId="77777777" w:rsidR="0044019D" w:rsidRPr="0044019D" w:rsidRDefault="0044019D" w:rsidP="0044019D">
      <w:pPr>
        <w:shd w:val="clear" w:color="auto" w:fill="F5F3F1"/>
        <w:spacing w:after="0" w:line="240" w:lineRule="auto"/>
        <w:rPr>
          <w:rFonts w:ascii="Arial" w:eastAsia="Times New Roman" w:hAnsi="Arial" w:cs="Arial"/>
          <w:color w:val="262830"/>
          <w:sz w:val="24"/>
          <w:szCs w:val="24"/>
          <w:lang w:eastAsia="sk-SK"/>
        </w:rPr>
      </w:pPr>
      <w:r w:rsidRPr="0044019D">
        <w:rPr>
          <w:rFonts w:ascii="Arial" w:eastAsia="Times New Roman" w:hAnsi="Arial" w:cs="Arial"/>
          <w:b/>
          <w:bCs/>
          <w:color w:val="262830"/>
          <w:sz w:val="24"/>
          <w:szCs w:val="24"/>
          <w:lang w:eastAsia="sk-SK"/>
        </w:rPr>
        <w:t>BILANCIA BANKY</w:t>
      </w:r>
      <w:r w:rsidRPr="0044019D">
        <w:rPr>
          <w:rFonts w:ascii="Arial" w:eastAsia="Times New Roman" w:hAnsi="Arial" w:cs="Arial"/>
          <w:b/>
          <w:bCs/>
          <w:color w:val="262830"/>
          <w:sz w:val="24"/>
          <w:szCs w:val="24"/>
          <w:lang w:eastAsia="sk-SK"/>
        </w:rPr>
        <w:br/>
      </w:r>
      <w:r w:rsidRPr="0044019D">
        <w:rPr>
          <w:rFonts w:ascii="Arial" w:eastAsia="Times New Roman" w:hAnsi="Arial" w:cs="Arial"/>
          <w:color w:val="262830"/>
          <w:sz w:val="24"/>
          <w:szCs w:val="24"/>
          <w:lang w:eastAsia="sk-SK"/>
        </w:rPr>
        <w:br/>
      </w:r>
      <w:r w:rsidRPr="0044019D">
        <w:rPr>
          <w:rFonts w:ascii="Arial" w:eastAsia="Times New Roman" w:hAnsi="Arial" w:cs="Arial"/>
          <w:color w:val="C00000"/>
          <w:sz w:val="24"/>
          <w:szCs w:val="24"/>
          <w:lang w:eastAsia="sk-SK"/>
        </w:rPr>
        <w:t>AKTÍVA (forma majetku)</w:t>
      </w:r>
      <w:r w:rsidRPr="0044019D">
        <w:rPr>
          <w:rFonts w:ascii="Arial" w:eastAsia="Times New Roman" w:hAnsi="Arial" w:cs="Arial"/>
          <w:color w:val="C00000"/>
          <w:sz w:val="24"/>
          <w:szCs w:val="24"/>
          <w:lang w:eastAsia="sk-SK"/>
        </w:rPr>
        <w:br/>
      </w:r>
      <w:r w:rsidRPr="0044019D">
        <w:rPr>
          <w:rFonts w:ascii="Arial" w:eastAsia="Times New Roman" w:hAnsi="Arial" w:cs="Arial"/>
          <w:color w:val="262830"/>
          <w:sz w:val="24"/>
          <w:szCs w:val="24"/>
          <w:lang w:eastAsia="sk-SK"/>
        </w:rPr>
        <w:br/>
      </w:r>
      <w:r w:rsidRPr="0044019D">
        <w:rPr>
          <w:rFonts w:ascii="Arial" w:eastAsia="Times New Roman" w:hAnsi="Arial" w:cs="Arial"/>
          <w:color w:val="C00000"/>
          <w:sz w:val="24"/>
          <w:szCs w:val="24"/>
          <w:lang w:eastAsia="sk-SK"/>
        </w:rPr>
        <w:t>PASÍVA (zdroje krytia)</w:t>
      </w:r>
      <w:r w:rsidRPr="0044019D">
        <w:rPr>
          <w:rFonts w:ascii="Arial" w:eastAsia="Times New Roman" w:hAnsi="Arial" w:cs="Arial"/>
          <w:color w:val="C00000"/>
          <w:sz w:val="24"/>
          <w:szCs w:val="24"/>
          <w:lang w:eastAsia="sk-SK"/>
        </w:rPr>
        <w:br/>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lastRenderedPageBreak/>
        <w:t>Hnuteľný majetok</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Nehnuteľný majetok</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Primárne rezervy</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      Povinné rezervy</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      Pracovné rezervy</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Sekundárne rezervy</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Úvery a pôžičky</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Investície</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Vlastný kapitál</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      Vlastné imanie (ZI, emisné ážio, rezervný fond)</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      Fondy tvorené zo zisku</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      Nerozdelený zisk</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Cudzí kapitál</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      Vklady a pôžičky</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 vklady klientely,</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 vklady a pôžičky od emisnej banky,        </w:t>
      </w:r>
    </w:p>
    <w:p w14:paraId="7BEB99E0" w14:textId="77777777" w:rsidR="0044019D" w:rsidRPr="0044019D" w:rsidRDefault="0044019D" w:rsidP="0044019D">
      <w:pPr>
        <w:shd w:val="clear" w:color="auto" w:fill="F5F3F1"/>
        <w:spacing w:after="0" w:line="240" w:lineRule="auto"/>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 vklady a pôžičky od iných bánk</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      Vydané dlhopisy</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Primárne rezervy</w:t>
      </w:r>
      <w:r w:rsidRPr="0044019D">
        <w:rPr>
          <w:rFonts w:ascii="Arial" w:eastAsia="Times New Roman" w:hAnsi="Arial" w:cs="Arial"/>
          <w:color w:val="262830"/>
          <w:sz w:val="24"/>
          <w:szCs w:val="24"/>
          <w:lang w:eastAsia="sk-SK"/>
        </w:rPr>
        <w:br/>
        <w:t>·         Sú banky povinné tvoriť v súlade so zákonom a členia sa na:</w:t>
      </w:r>
    </w:p>
    <w:p w14:paraId="187B16EC" w14:textId="77777777" w:rsidR="0044019D" w:rsidRPr="0044019D" w:rsidRDefault="0044019D" w:rsidP="0044019D">
      <w:pPr>
        <w:numPr>
          <w:ilvl w:val="0"/>
          <w:numId w:val="5"/>
        </w:numPr>
        <w:shd w:val="clear" w:color="auto" w:fill="F5F3F1"/>
        <w:spacing w:after="0" w:line="240" w:lineRule="auto"/>
        <w:ind w:left="1020" w:right="120"/>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Povinné rezervy – sú uložené v centrálnej banke.</w:t>
      </w:r>
    </w:p>
    <w:p w14:paraId="452B089E" w14:textId="77777777" w:rsidR="0044019D" w:rsidRPr="0044019D" w:rsidRDefault="0044019D" w:rsidP="0044019D">
      <w:pPr>
        <w:numPr>
          <w:ilvl w:val="0"/>
          <w:numId w:val="5"/>
        </w:numPr>
        <w:shd w:val="clear" w:color="auto" w:fill="F5F3F1"/>
        <w:spacing w:after="0" w:line="240" w:lineRule="auto"/>
        <w:ind w:left="1020" w:right="120"/>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t>Pracovné rezervy – závisia od obchodnej politiky banky a patria sem najmä vklady v iných bankách.</w:t>
      </w:r>
    </w:p>
    <w:p w14:paraId="1EF667AC" w14:textId="77777777" w:rsidR="0044019D" w:rsidRPr="0044019D" w:rsidRDefault="0044019D" w:rsidP="0044019D">
      <w:pPr>
        <w:shd w:val="clear" w:color="auto" w:fill="F5F3F1"/>
        <w:spacing w:after="0" w:line="240" w:lineRule="auto"/>
        <w:rPr>
          <w:rFonts w:ascii="Arial" w:eastAsia="Times New Roman" w:hAnsi="Arial" w:cs="Arial"/>
          <w:color w:val="262830"/>
          <w:sz w:val="24"/>
          <w:szCs w:val="24"/>
          <w:lang w:eastAsia="sk-SK"/>
        </w:rPr>
      </w:pPr>
      <w:r w:rsidRPr="0044019D">
        <w:rPr>
          <w:rFonts w:ascii="Arial" w:eastAsia="Times New Roman" w:hAnsi="Arial" w:cs="Arial"/>
          <w:color w:val="262830"/>
          <w:sz w:val="24"/>
          <w:szCs w:val="24"/>
          <w:lang w:eastAsia="sk-SK"/>
        </w:rPr>
        <w:br/>
        <w:t>Sekundárne rezervy</w:t>
      </w:r>
      <w:r w:rsidRPr="0044019D">
        <w:rPr>
          <w:rFonts w:ascii="Arial" w:eastAsia="Times New Roman" w:hAnsi="Arial" w:cs="Arial"/>
          <w:color w:val="262830"/>
          <w:sz w:val="24"/>
          <w:szCs w:val="24"/>
          <w:lang w:eastAsia="sk-SK"/>
        </w:rPr>
        <w:br/>
        <w:t>·         Predstavujú krátkodobé obchodovateľné CP (rýchlo sa premenia na peniaze).</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Bankové operácie, ktorých výsledok má vplyv na celkovú sumu pasív, sa nazývajú pasívne bankové operácie. Patrí sem najmä príjem vkladov a emisia vlastných dlhopisov.</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 xml:space="preserve">Bankové operácie, v dôsledku ktorých sa mení objem aktív, sa nazývajú aktívne </w:t>
      </w:r>
      <w:r w:rsidRPr="0044019D">
        <w:rPr>
          <w:rFonts w:ascii="Arial" w:eastAsia="Times New Roman" w:hAnsi="Arial" w:cs="Arial"/>
          <w:color w:val="262830"/>
          <w:sz w:val="24"/>
          <w:szCs w:val="24"/>
          <w:lang w:eastAsia="sk-SK"/>
        </w:rPr>
        <w:lastRenderedPageBreak/>
        <w:t>bankové operácie. Ide najmä o poskytovanie úverov a o finančné investície.</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r>
      <w:r w:rsidRPr="0044019D">
        <w:rPr>
          <w:rFonts w:ascii="Arial" w:eastAsia="Times New Roman" w:hAnsi="Arial" w:cs="Arial"/>
          <w:b/>
          <w:bCs/>
          <w:color w:val="262830"/>
          <w:sz w:val="24"/>
          <w:szCs w:val="24"/>
          <w:lang w:eastAsia="sk-SK"/>
        </w:rPr>
        <w:t>Ak chce banka dosiahnuť maximálny zisk a pritom uspokojiť potreby klientov, musí sledovať svoju:</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r>
      <w:r w:rsidRPr="0044019D">
        <w:rPr>
          <w:rFonts w:ascii="Arial" w:eastAsia="Times New Roman" w:hAnsi="Arial" w:cs="Arial"/>
          <w:b/>
          <w:bCs/>
          <w:color w:val="262830"/>
          <w:sz w:val="24"/>
          <w:szCs w:val="24"/>
          <w:lang w:eastAsia="sk-SK"/>
        </w:rPr>
        <w:t>1.      Solventnosť</w:t>
      </w:r>
      <w:r w:rsidRPr="0044019D">
        <w:rPr>
          <w:rFonts w:ascii="Arial" w:eastAsia="Times New Roman" w:hAnsi="Arial" w:cs="Arial"/>
          <w:color w:val="262830"/>
          <w:sz w:val="24"/>
          <w:szCs w:val="24"/>
          <w:lang w:eastAsia="sk-SK"/>
        </w:rPr>
        <w:t xml:space="preserve"> – t. j. schopnosť uhrádzať zo svojich bežných príjmov bežné výdavky.</w:t>
      </w:r>
      <w:r w:rsidRPr="0044019D">
        <w:rPr>
          <w:rFonts w:ascii="Arial" w:eastAsia="Times New Roman" w:hAnsi="Arial" w:cs="Arial"/>
          <w:color w:val="262830"/>
          <w:sz w:val="24"/>
          <w:szCs w:val="24"/>
          <w:lang w:eastAsia="sk-SK"/>
        </w:rPr>
        <w:br/>
      </w:r>
      <w:r w:rsidRPr="0044019D">
        <w:rPr>
          <w:rFonts w:ascii="Arial" w:eastAsia="Times New Roman" w:hAnsi="Arial" w:cs="Arial"/>
          <w:b/>
          <w:bCs/>
          <w:color w:val="262830"/>
          <w:sz w:val="24"/>
          <w:szCs w:val="24"/>
          <w:lang w:eastAsia="sk-SK"/>
        </w:rPr>
        <w:t>2.      Likviditu</w:t>
      </w:r>
      <w:r w:rsidRPr="0044019D">
        <w:rPr>
          <w:rFonts w:ascii="Arial" w:eastAsia="Times New Roman" w:hAnsi="Arial" w:cs="Arial"/>
          <w:color w:val="262830"/>
          <w:sz w:val="24"/>
          <w:szCs w:val="24"/>
          <w:lang w:eastAsia="sk-SK"/>
        </w:rPr>
        <w:t xml:space="preserve"> – t. j. schopnosť vyplatiť veriteľom vklady kedykoľvek na ich požiadanie.</w:t>
      </w:r>
      <w:r w:rsidRPr="0044019D">
        <w:rPr>
          <w:rFonts w:ascii="Arial" w:eastAsia="Times New Roman" w:hAnsi="Arial" w:cs="Arial"/>
          <w:color w:val="262830"/>
          <w:sz w:val="24"/>
          <w:szCs w:val="24"/>
          <w:lang w:eastAsia="sk-SK"/>
        </w:rPr>
        <w:br/>
      </w:r>
      <w:r w:rsidRPr="0044019D">
        <w:rPr>
          <w:rFonts w:ascii="Arial" w:eastAsia="Times New Roman" w:hAnsi="Arial" w:cs="Arial"/>
          <w:b/>
          <w:bCs/>
          <w:color w:val="262830"/>
          <w:sz w:val="24"/>
          <w:szCs w:val="24"/>
          <w:lang w:eastAsia="sk-SK"/>
        </w:rPr>
        <w:t>3.      Rentabilitu</w:t>
      </w:r>
      <w:r w:rsidRPr="0044019D">
        <w:rPr>
          <w:rFonts w:ascii="Arial" w:eastAsia="Times New Roman" w:hAnsi="Arial" w:cs="Arial"/>
          <w:color w:val="262830"/>
          <w:sz w:val="24"/>
          <w:szCs w:val="24"/>
          <w:lang w:eastAsia="sk-SK"/>
        </w:rPr>
        <w:t xml:space="preserve"> – efektívnosť obchodnej činnosti, ktorá závisí od dosiahnutého zisku.</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r>
      <w:r w:rsidRPr="0044019D">
        <w:rPr>
          <w:rFonts w:ascii="Arial" w:eastAsia="Times New Roman" w:hAnsi="Arial" w:cs="Arial"/>
          <w:b/>
          <w:bCs/>
          <w:color w:val="262830"/>
          <w:sz w:val="24"/>
          <w:szCs w:val="24"/>
          <w:lang w:eastAsia="sk-SK"/>
        </w:rPr>
        <w:t>Klienti obchodných bánk:</w:t>
      </w:r>
      <w:r w:rsidRPr="0044019D">
        <w:rPr>
          <w:rFonts w:ascii="Arial" w:eastAsia="Times New Roman" w:hAnsi="Arial" w:cs="Arial"/>
          <w:b/>
          <w:bCs/>
          <w:color w:val="262830"/>
          <w:sz w:val="24"/>
          <w:szCs w:val="24"/>
          <w:lang w:eastAsia="sk-SK"/>
        </w:rPr>
        <w:br/>
      </w:r>
      <w:r w:rsidRPr="0044019D">
        <w:rPr>
          <w:rFonts w:ascii="Arial" w:eastAsia="Times New Roman" w:hAnsi="Arial" w:cs="Arial"/>
          <w:color w:val="262830"/>
          <w:sz w:val="24"/>
          <w:szCs w:val="24"/>
          <w:lang w:eastAsia="sk-SK"/>
        </w:rPr>
        <w:t>·      Podnikateľské subjekty</w:t>
      </w:r>
      <w:r w:rsidRPr="0044019D">
        <w:rPr>
          <w:rFonts w:ascii="Arial" w:eastAsia="Times New Roman" w:hAnsi="Arial" w:cs="Arial"/>
          <w:color w:val="262830"/>
          <w:sz w:val="24"/>
          <w:szCs w:val="24"/>
          <w:lang w:eastAsia="sk-SK"/>
        </w:rPr>
        <w:br/>
        <w:t>·      Obyvateľstvo</w:t>
      </w:r>
      <w:r w:rsidRPr="0044019D">
        <w:rPr>
          <w:rFonts w:ascii="Arial" w:eastAsia="Times New Roman" w:hAnsi="Arial" w:cs="Arial"/>
          <w:color w:val="262830"/>
          <w:sz w:val="24"/>
          <w:szCs w:val="24"/>
          <w:lang w:eastAsia="sk-SK"/>
        </w:rPr>
        <w:br/>
        <w:t>·      Vláda</w:t>
      </w:r>
      <w:r w:rsidRPr="0044019D">
        <w:rPr>
          <w:rFonts w:ascii="Arial" w:eastAsia="Times New Roman" w:hAnsi="Arial" w:cs="Arial"/>
          <w:color w:val="262830"/>
          <w:sz w:val="24"/>
          <w:szCs w:val="24"/>
          <w:lang w:eastAsia="sk-SK"/>
        </w:rPr>
        <w:br/>
        <w:t>·      Komunálne orgány</w:t>
      </w:r>
      <w:r w:rsidRPr="0044019D">
        <w:rPr>
          <w:rFonts w:ascii="Arial" w:eastAsia="Times New Roman" w:hAnsi="Arial" w:cs="Arial"/>
          <w:color w:val="262830"/>
          <w:sz w:val="24"/>
          <w:szCs w:val="24"/>
          <w:lang w:eastAsia="sk-SK"/>
        </w:rPr>
        <w:br/>
        <w:t>·      Ostatné banky</w:t>
      </w:r>
      <w:r w:rsidRPr="0044019D">
        <w:rPr>
          <w:rFonts w:ascii="Arial" w:eastAsia="Times New Roman" w:hAnsi="Arial" w:cs="Arial"/>
          <w:color w:val="262830"/>
          <w:sz w:val="24"/>
          <w:szCs w:val="24"/>
          <w:lang w:eastAsia="sk-SK"/>
        </w:rPr>
        <w:br/>
      </w:r>
      <w:r w:rsidRPr="0044019D">
        <w:rPr>
          <w:rFonts w:ascii="Arial" w:eastAsia="Times New Roman" w:hAnsi="Arial" w:cs="Arial"/>
          <w:color w:val="262830"/>
          <w:sz w:val="24"/>
          <w:szCs w:val="24"/>
          <w:lang w:eastAsia="sk-SK"/>
        </w:rPr>
        <w:br/>
        <w:t>Pasívne bankové činnosti</w:t>
      </w:r>
      <w:r w:rsidRPr="0044019D">
        <w:rPr>
          <w:rFonts w:ascii="Arial" w:eastAsia="Times New Roman" w:hAnsi="Arial" w:cs="Arial"/>
          <w:color w:val="262830"/>
          <w:sz w:val="24"/>
          <w:szCs w:val="24"/>
          <w:lang w:eastAsia="sk-SK"/>
        </w:rPr>
        <w:br/>
        <w:t>Pasívne operácie sú zamerané na získavanie zdrojov, s ktorými banka vykonáva svoju podnikateľskú činnosť.</w:t>
      </w:r>
      <w:r w:rsidRPr="0044019D">
        <w:rPr>
          <w:rFonts w:ascii="Arial" w:eastAsia="Times New Roman" w:hAnsi="Arial" w:cs="Arial"/>
          <w:color w:val="262830"/>
          <w:sz w:val="24"/>
          <w:szCs w:val="24"/>
          <w:lang w:eastAsia="sk-SK"/>
        </w:rPr>
        <w:br/>
        <w:t>Tieto zdroje tvoria bankové pasíva a skladajú sa z:</w:t>
      </w:r>
      <w:r w:rsidRPr="0044019D">
        <w:rPr>
          <w:rFonts w:ascii="Arial" w:eastAsia="Times New Roman" w:hAnsi="Arial" w:cs="Arial"/>
          <w:color w:val="262830"/>
          <w:sz w:val="24"/>
          <w:szCs w:val="24"/>
          <w:lang w:eastAsia="sk-SK"/>
        </w:rPr>
        <w:br/>
        <w:t>·         Vlastných zdrojov banky (cca 8 %)</w:t>
      </w:r>
      <w:r w:rsidRPr="0044019D">
        <w:rPr>
          <w:rFonts w:ascii="Arial" w:eastAsia="Times New Roman" w:hAnsi="Arial" w:cs="Arial"/>
          <w:color w:val="262830"/>
          <w:sz w:val="24"/>
          <w:szCs w:val="24"/>
          <w:lang w:eastAsia="sk-SK"/>
        </w:rPr>
        <w:br/>
        <w:t>·         Cudzích zdrojov banky (cca 92 %)</w:t>
      </w:r>
    </w:p>
    <w:p w14:paraId="20D98C52" w14:textId="77777777" w:rsidR="009A2392" w:rsidRDefault="00653D05"/>
    <w:sectPr w:rsidR="009A23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D167B7"/>
    <w:multiLevelType w:val="multilevel"/>
    <w:tmpl w:val="4AC6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F7AAC"/>
    <w:multiLevelType w:val="multilevel"/>
    <w:tmpl w:val="E8B0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E41E5"/>
    <w:multiLevelType w:val="multilevel"/>
    <w:tmpl w:val="79A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8A3AB1"/>
    <w:multiLevelType w:val="multilevel"/>
    <w:tmpl w:val="D010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DB1567"/>
    <w:multiLevelType w:val="multilevel"/>
    <w:tmpl w:val="9A3A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19D"/>
    <w:rsid w:val="001149FC"/>
    <w:rsid w:val="0044019D"/>
    <w:rsid w:val="00447A85"/>
    <w:rsid w:val="005A78A1"/>
    <w:rsid w:val="00653D05"/>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5FECF"/>
  <w15:chartTrackingRefBased/>
  <w15:docId w15:val="{023EF226-5B34-427B-B7E3-05DA9452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29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826</Words>
  <Characters>4712</Characters>
  <Application>Microsoft Office Word</Application>
  <DocSecurity>0</DocSecurity>
  <Lines>39</Lines>
  <Paragraphs>11</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Veličová Mariana</dc:creator>
  <cp:keywords/>
  <dc:description/>
  <cp:lastModifiedBy>Veličová Mariana</cp:lastModifiedBy>
  <cp:revision>3</cp:revision>
  <dcterms:created xsi:type="dcterms:W3CDTF">2021-03-29T00:20:00Z</dcterms:created>
  <dcterms:modified xsi:type="dcterms:W3CDTF">2021-03-29T06:20:00Z</dcterms:modified>
</cp:coreProperties>
</file>