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90" w:before="7" w:after="0"/>
        <w:rPr>
          <w:rFonts w:ascii="Calibri" w:hAnsi="Calibri" w:cs="Calibri" w:asciiTheme="minorHAnsi" w:cstheme="minorHAnsi" w:hAnsiTheme="minorHAnsi"/>
          <w:sz w:val="9"/>
          <w:szCs w:val="9"/>
          <w:lang w:val="sk-SK"/>
        </w:rPr>
      </w:pPr>
      <w:r>
        <w:rPr>
          <w:rFonts w:cs="Calibri" w:cstheme="minorHAnsi"/>
          <w:sz w:val="9"/>
          <w:szCs w:val="9"/>
          <w:lang w:val="sk-SK"/>
        </w:rPr>
      </w:r>
    </w:p>
    <w:tbl>
      <w:tblPr>
        <w:tblW w:w="9350" w:type="dxa"/>
        <w:jc w:val="start"/>
        <w:tblInd w:w="98" w:type="dxa"/>
        <w:tblLayout w:type="fixed"/>
        <w:tblCellMar>
          <w:top w:w="0" w:type="dxa"/>
          <w:start w:w="15" w:type="dxa"/>
          <w:bottom w:w="0" w:type="dxa"/>
          <w:end w:w="15" w:type="dxa"/>
        </w:tblCellMar>
        <w:tblLook w:val="01e0" w:noHBand="0" w:noVBand="0" w:firstColumn="1" w:lastRow="1" w:lastColumn="1" w:firstRow="1"/>
      </w:tblPr>
      <w:tblGrid>
        <w:gridCol w:w="1869"/>
        <w:gridCol w:w="531"/>
        <w:gridCol w:w="1339"/>
        <w:gridCol w:w="1554"/>
        <w:gridCol w:w="259"/>
        <w:gridCol w:w="57"/>
        <w:gridCol w:w="880"/>
        <w:gridCol w:w="990"/>
        <w:gridCol w:w="473"/>
        <w:gridCol w:w="2"/>
        <w:gridCol w:w="420"/>
        <w:gridCol w:w="976"/>
      </w:tblGrid>
      <w:tr>
        <w:trPr>
          <w:trHeight w:val="898" w:hRule="exact"/>
        </w:trPr>
        <w:tc>
          <w:tcPr>
            <w:tcW w:w="9350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Paragraph"/>
              <w:spacing w:lineRule="exact" w:line="401"/>
              <w:ind w:end="1"/>
              <w:jc w:val="center"/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Stredná priemyselná škola elektrotechnická</w:t>
            </w:r>
          </w:p>
          <w:p>
            <w:pPr>
              <w:pStyle w:val="TableParagraph"/>
              <w:spacing w:lineRule="exact" w:line="401"/>
              <w:ind w:end="1"/>
              <w:jc w:val="center"/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Hálova 16, 851 01  Bratiislava</w:t>
            </w:r>
          </w:p>
        </w:tc>
      </w:tr>
      <w:tr>
        <w:trPr>
          <w:trHeight w:val="545" w:hRule="atLeast"/>
        </w:trPr>
        <w:tc>
          <w:tcPr>
            <w:tcW w:w="240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5"/>
                <w:sz w:val="24"/>
                <w:szCs w:val="24"/>
                <w:lang w:val="sk-SK"/>
              </w:rPr>
              <w:t xml:space="preserve">Meno a priezvisko:     </w:t>
            </w:r>
          </w:p>
        </w:tc>
        <w:tc>
          <w:tcPr>
            <w:tcW w:w="3152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Matúš Maštena</w:t>
            </w:r>
          </w:p>
        </w:tc>
        <w:tc>
          <w:tcPr>
            <w:tcW w:w="2400" w:type="dxa"/>
            <w:gridSpan w:val="4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Protokol</w:t>
            </w:r>
            <w:r>
              <w:rPr>
                <w:rFonts w:eastAsia="Arial" w:cs="Calibri" w:cstheme="minorHAnsi"/>
                <w:b/>
                <w:bCs/>
                <w:caps/>
                <w:spacing w:val="19"/>
                <w:w w:val="90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w w:val="90"/>
                <w:sz w:val="24"/>
                <w:szCs w:val="24"/>
                <w:lang w:val="sk-SK"/>
              </w:rPr>
              <w:t xml:space="preserve">číslo:  </w:t>
            </w:r>
          </w:p>
        </w:tc>
        <w:tc>
          <w:tcPr>
            <w:tcW w:w="1398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7</w:t>
            </w:r>
          </w:p>
        </w:tc>
      </w:tr>
      <w:tr>
        <w:trPr>
          <w:trHeight w:val="545" w:hRule="atLeast"/>
        </w:trPr>
        <w:tc>
          <w:tcPr>
            <w:tcW w:w="24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Tri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ed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a:  </w:t>
            </w:r>
          </w:p>
        </w:tc>
        <w:tc>
          <w:tcPr>
            <w:tcW w:w="31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III.IST</w:t>
            </w:r>
          </w:p>
        </w:tc>
        <w:tc>
          <w:tcPr>
            <w:tcW w:w="24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</w:r>
          </w:p>
        </w:tc>
      </w:tr>
      <w:tr>
        <w:trPr>
          <w:trHeight w:val="545" w:hRule="atLeast"/>
        </w:trPr>
        <w:tc>
          <w:tcPr>
            <w:tcW w:w="24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S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kupina:  </w:t>
            </w:r>
          </w:p>
        </w:tc>
        <w:tc>
          <w:tcPr>
            <w:tcW w:w="31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1.</w:t>
            </w:r>
          </w:p>
        </w:tc>
        <w:tc>
          <w:tcPr>
            <w:tcW w:w="24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5"/>
                <w:sz w:val="24"/>
                <w:szCs w:val="24"/>
                <w:lang w:val="sk-SK"/>
              </w:rPr>
              <w:t>Dátum</w:t>
            </w:r>
            <w:r>
              <w:rPr>
                <w:rFonts w:eastAsia="Arial" w:cs="Calibri" w:cstheme="minorHAnsi"/>
                <w:b/>
                <w:bCs/>
                <w:caps/>
                <w:spacing w:val="-35"/>
                <w:w w:val="95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m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r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an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ia:  </w:t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8.4.2026</w:t>
            </w:r>
          </w:p>
        </w:tc>
      </w:tr>
      <w:tr>
        <w:trPr>
          <w:trHeight w:val="545" w:hRule="atLeast"/>
        </w:trPr>
        <w:tc>
          <w:tcPr>
            <w:tcW w:w="24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L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ab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orat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ó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ri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u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m:</w:t>
            </w:r>
            <w:r>
              <w:rPr>
                <w:rFonts w:eastAsia="Arial" w:cs="Calibri" w:cstheme="minorHAnsi"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 xml:space="preserve">  </w:t>
            </w:r>
          </w:p>
        </w:tc>
        <w:tc>
          <w:tcPr>
            <w:tcW w:w="31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ELM3</w:t>
            </w:r>
          </w:p>
        </w:tc>
        <w:tc>
          <w:tcPr>
            <w:tcW w:w="24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0"/>
                <w:sz w:val="24"/>
                <w:szCs w:val="24"/>
                <w:lang w:val="sk-SK"/>
              </w:rPr>
              <w:t>Dátum</w:t>
            </w:r>
            <w:r>
              <w:rPr>
                <w:rFonts w:eastAsia="Arial" w:cs="Calibri" w:cstheme="minorHAnsi"/>
                <w:b/>
                <w:bCs/>
                <w:caps/>
                <w:spacing w:val="16"/>
                <w:w w:val="90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prijatia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:  </w:t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15.4.2026</w:t>
            </w:r>
          </w:p>
        </w:tc>
      </w:tr>
      <w:tr>
        <w:trPr>
          <w:trHeight w:val="652" w:hRule="exact"/>
        </w:trPr>
        <w:tc>
          <w:tcPr>
            <w:tcW w:w="9350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Paragraph"/>
              <w:spacing w:lineRule="exact" w:line="594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52"/>
                <w:szCs w:val="52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105"/>
                <w:sz w:val="52"/>
                <w:szCs w:val="52"/>
                <w:lang w:val="sk-SK"/>
              </w:rPr>
              <w:t>PROTOKOL</w:t>
            </w:r>
            <w:r>
              <w:rPr>
                <w:rFonts w:eastAsia="Arial" w:cs="Calibri" w:cstheme="minorHAnsi"/>
                <w:b/>
                <w:bCs/>
                <w:caps/>
                <w:spacing w:val="-90"/>
                <w:w w:val="105"/>
                <w:sz w:val="52"/>
                <w:szCs w:val="52"/>
                <w:lang w:val="sk-SK"/>
              </w:rPr>
              <w:t xml:space="preserve">  </w:t>
            </w:r>
            <w:r>
              <w:rPr>
                <w:rFonts w:eastAsia="Arial" w:cs="Calibri" w:cstheme="minorHAnsi"/>
                <w:b/>
                <w:bCs/>
                <w:caps/>
                <w:w w:val="105"/>
                <w:sz w:val="52"/>
                <w:szCs w:val="52"/>
                <w:lang w:val="sk-SK"/>
              </w:rPr>
              <w:t>O MERANÍ</w:t>
            </w:r>
          </w:p>
        </w:tc>
      </w:tr>
      <w:tr>
        <w:trPr>
          <w:trHeight w:val="657" w:hRule="atLeast"/>
          <w:cantSplit w:val="true"/>
        </w:trPr>
        <w:tc>
          <w:tcPr>
            <w:tcW w:w="5293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Paragraph"/>
              <w:spacing w:lineRule="exact" w:line="269"/>
              <w:ind w:start="6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Ob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s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ah: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Úloha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0"/>
                <w:sz w:val="24"/>
                <w:szCs w:val="24"/>
                <w:lang w:val="sk-SK"/>
              </w:rPr>
              <w:t>Teoretický rozbor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3"/>
                <w:w w:val="90"/>
                <w:sz w:val="24"/>
                <w:szCs w:val="24"/>
                <w:lang w:val="sk-SK"/>
              </w:rPr>
              <w:t>Opis meraného predmetu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Schéma zapojenia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Súpis meracích prístrojov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8"/>
                <w:w w:val="90"/>
                <w:sz w:val="24"/>
                <w:szCs w:val="24"/>
                <w:lang w:val="sk-SK"/>
              </w:rPr>
              <w:t>Postup pri meraní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Tabuľka (2b)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61" w:leader="none"/>
              </w:tabs>
              <w:spacing w:lineRule="exact" w:line="275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3"/>
                <w:w w:val="95"/>
                <w:sz w:val="24"/>
                <w:szCs w:val="24"/>
                <w:lang w:val="sk-SK"/>
              </w:rPr>
              <w:t>SpracovanIe nameraných hodnôt (3b)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Záver (3b)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Graf (3b)</w:t>
            </w:r>
          </w:p>
          <w:p>
            <w:pPr>
              <w:pStyle w:val="Normal"/>
              <w:tabs>
                <w:tab w:val="clear" w:pos="720"/>
                <w:tab w:val="left" w:pos="786" w:leader="none"/>
              </w:tabs>
              <w:spacing w:lineRule="exact" w:line="275" w:before="2" w:after="0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vertAlign w:val="subscript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vertAlign w:val="subscript"/>
                <w:lang w:val="sk-SK"/>
              </w:rPr>
              <w:t xml:space="preserve">  ( Počet bodov je len orientačný – zmena je vyhradená podľa vyučujúceho)</w:t>
            </w:r>
          </w:p>
        </w:tc>
        <w:tc>
          <w:tcPr>
            <w:tcW w:w="2661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0"/>
                <w:sz w:val="24"/>
                <w:szCs w:val="24"/>
                <w:lang w:val="sk-SK"/>
              </w:rPr>
              <w:t>Hodnotené</w:t>
            </w:r>
            <w:r>
              <w:rPr>
                <w:rFonts w:eastAsia="Arial" w:cs="Calibri" w:cstheme="minorHAnsi"/>
                <w:b/>
                <w:bCs/>
                <w:caps/>
                <w:spacing w:val="-10"/>
                <w:w w:val="90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dňa: </w:t>
            </w:r>
          </w:p>
        </w:tc>
        <w:tc>
          <w:tcPr>
            <w:tcW w:w="1396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657" w:hRule="atLeast"/>
          <w:cantSplit w:val="true"/>
        </w:trPr>
        <w:tc>
          <w:tcPr>
            <w:tcW w:w="5293" w:type="dxa"/>
            <w:gridSpan w:val="4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2661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Gr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a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fi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c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k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 xml:space="preserve">á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úPRAVA (3b): </w:t>
            </w:r>
          </w:p>
        </w:tc>
        <w:tc>
          <w:tcPr>
            <w:tcW w:w="1396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657" w:hRule="atLeast"/>
          <w:cantSplit w:val="true"/>
        </w:trPr>
        <w:tc>
          <w:tcPr>
            <w:tcW w:w="5293" w:type="dxa"/>
            <w:gridSpan w:val="4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2661" w:type="dxa"/>
            <w:gridSpan w:val="6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T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ec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hni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c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ká obsahová </w:t>
            </w:r>
          </w:p>
          <w:p>
            <w:pPr>
              <w:pStyle w:val="TableParagraph"/>
              <w:spacing w:before="2" w:after="0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úr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ove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ň (17b): </w:t>
            </w:r>
          </w:p>
        </w:tc>
        <w:tc>
          <w:tcPr>
            <w:tcW w:w="1396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657" w:hRule="atLeast"/>
          <w:cantSplit w:val="true"/>
        </w:trPr>
        <w:tc>
          <w:tcPr>
            <w:tcW w:w="5293" w:type="dxa"/>
            <w:gridSpan w:val="4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2661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H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od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not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ni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e (20b)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: </w:t>
            </w:r>
          </w:p>
        </w:tc>
        <w:tc>
          <w:tcPr>
            <w:tcW w:w="1396" w:type="dxa"/>
            <w:gridSpan w:val="2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657" w:hRule="atLeast"/>
          <w:cantSplit w:val="true"/>
        </w:trPr>
        <w:tc>
          <w:tcPr>
            <w:tcW w:w="5293" w:type="dxa"/>
            <w:gridSpan w:val="4"/>
            <w:vMerge w:val="continue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2661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P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od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pi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s</w:t>
            </w:r>
            <w:r>
              <w:rPr>
                <w:rFonts w:eastAsia="Arial" w:cs="Calibri" w:cstheme="minorHAnsi"/>
                <w:b/>
                <w:bCs/>
                <w:caps/>
                <w:spacing w:val="-9"/>
                <w:w w:val="90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u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č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it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ľa: </w:t>
            </w:r>
          </w:p>
        </w:tc>
        <w:tc>
          <w:tcPr>
            <w:tcW w:w="1396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1016" w:hRule="exact"/>
        </w:trPr>
        <w:tc>
          <w:tcPr>
            <w:tcW w:w="9350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Heading1"/>
              <w:tabs>
                <w:tab w:val="clear" w:pos="720"/>
                <w:tab w:val="left" w:pos="391" w:leader="none"/>
              </w:tabs>
              <w:spacing w:lineRule="exact" w:line="355"/>
              <w:ind w:hanging="0" w:start="0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3"/>
                <w:w w:val="95"/>
                <w:lang w:val="sk-SK"/>
              </w:rPr>
              <w:t xml:space="preserve">    N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4"/>
                <w:w w:val="95"/>
                <w:lang w:val="sk-SK"/>
              </w:rPr>
              <w:t>ázo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3"/>
                <w:w w:val="95"/>
                <w:lang w:val="sk-SK"/>
              </w:rPr>
              <w:t>v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13"/>
                <w:w w:val="95"/>
                <w:lang w:val="sk-SK"/>
              </w:rPr>
              <w:t xml:space="preserve"> 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2"/>
                <w:w w:val="95"/>
                <w:lang w:val="sk-SK"/>
              </w:rPr>
              <w:t>MERANIA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16"/>
                <w:w w:val="95"/>
                <w:lang w:val="sk-SK"/>
              </w:rPr>
              <w:t xml:space="preserve"> 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w w:val="95"/>
                <w:lang w:val="sk-SK"/>
              </w:rPr>
              <w:t>: Charakteristika cievky v obvode striedavého prúdu</w:t>
            </w:r>
          </w:p>
        </w:tc>
      </w:tr>
      <w:tr>
        <w:trPr>
          <w:trHeight w:val="595" w:hRule="exact"/>
        </w:trPr>
        <w:tc>
          <w:tcPr>
            <w:tcW w:w="9350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355"/>
              <w:ind w:start="243"/>
              <w:jc w:val="center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pacing w:val="-2"/>
                <w:w w:val="95"/>
                <w:sz w:val="32"/>
                <w:szCs w:val="32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32"/>
                <w:szCs w:val="32"/>
                <w:lang w:val="sk-SK"/>
              </w:rPr>
              <w:t>členovia PRI meraní, Spoluautori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P.Č.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Meno</w:t>
            </w:r>
          </w:p>
        </w:tc>
        <w:tc>
          <w:tcPr>
            <w:tcW w:w="187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Priezvisko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Člen</w:t>
            </w:r>
          </w:p>
        </w:tc>
        <w:tc>
          <w:tcPr>
            <w:tcW w:w="187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Spoluautor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1.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880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90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  <w:tc>
          <w:tcPr>
            <w:tcW w:w="895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76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2.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  <w:tc>
          <w:tcPr>
            <w:tcW w:w="895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3.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  <w:tc>
          <w:tcPr>
            <w:tcW w:w="895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4.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880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  <w:tc>
          <w:tcPr>
            <w:tcW w:w="895" w:type="dxa"/>
            <w:gridSpan w:val="3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76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</w:tr>
      <w:tr>
        <w:trPr>
          <w:trHeight w:val="571" w:hRule="exact"/>
        </w:trPr>
        <w:tc>
          <w:tcPr>
            <w:tcW w:w="9350" w:type="dxa"/>
            <w:gridSpan w:val="1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355"/>
              <w:ind w:start="243"/>
              <w:jc w:val="center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pacing w:val="-2"/>
                <w:w w:val="95"/>
                <w:sz w:val="32"/>
                <w:szCs w:val="32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32"/>
                <w:szCs w:val="32"/>
                <w:lang w:val="sk-SK"/>
              </w:rPr>
              <w:t>Použitá literatúra</w:t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P.Č.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Názov</w:t>
            </w:r>
          </w:p>
        </w:tc>
        <w:tc>
          <w:tcPr>
            <w:tcW w:w="187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Autor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Dostupnosť</w:t>
            </w:r>
          </w:p>
        </w:tc>
        <w:tc>
          <w:tcPr>
            <w:tcW w:w="1871" w:type="dxa"/>
            <w:gridSpan w:val="4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Rok</w:t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1.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1" w:type="dxa"/>
            <w:gridSpan w:val="4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2.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3.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4.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</w:tbl>
    <w:p>
      <w:pPr>
        <w:pStyle w:val="Normal"/>
        <w:rPr>
          <w:rFonts w:ascii="Calibri" w:hAnsi="Calibri" w:cs="Calibri" w:asciiTheme="minorHAnsi" w:cstheme="minorHAnsi" w:hAnsiTheme="minorHAnsi"/>
          <w:b w:val="false"/>
          <w:bCs w:val="false"/>
          <w:position w:val="0"/>
          <w:sz w:val="20"/>
          <w:vertAlign w:val="baseline"/>
          <w:lang w:val="sk-SK"/>
        </w:rPr>
      </w:pPr>
      <w:r>
        <w:rPr>
          <w:rFonts w:cs="Calibri" w:cstheme="minorHAnsi"/>
          <w:b w:val="false"/>
          <w:bCs w:val="false"/>
          <w:position w:val="0"/>
          <w:sz w:val="20"/>
          <w:vertAlign w:val="baseline"/>
          <w:lang w:val="sk-SK"/>
        </w:rPr>
      </w:r>
    </w:p>
    <w:p>
      <w:pPr>
        <w:pStyle w:val="Normal"/>
        <w:spacing w:before="0" w:after="283"/>
        <w:rPr>
          <w:rFonts w:ascii="Calibri" w:hAnsi="Calibri" w:cs="Calibri" w:asciiTheme="minorHAnsi" w:cstheme="minorHAnsi" w:hAnsiTheme="minorHAnsi"/>
          <w:b w:val="false"/>
          <w:bCs w:val="false"/>
          <w:position w:val="0"/>
          <w:sz w:val="20"/>
          <w:vertAlign w:val="baseline"/>
          <w:lang w:val="sk-SK"/>
        </w:rPr>
      </w:pPr>
      <w:r>
        <w:rPr>
          <w:rFonts w:cs="Calibri" w:cstheme="minorHAnsi"/>
          <w:b w:val="false"/>
          <w:bCs w:val="false"/>
          <w:position w:val="0"/>
          <w:sz w:val="20"/>
          <w:vertAlign w:val="baseline"/>
          <w:lang w:val="sk-SK"/>
        </w:rPr>
      </w:r>
      <w:r>
        <w:br w:type="page"/>
      </w:r>
    </w:p>
    <w:p>
      <w:pPr>
        <w:pStyle w:val="Heading1"/>
        <w:spacing w:lineRule="auto" w:line="312" w:before="0" w:after="160"/>
        <w:rPr/>
      </w:pPr>
      <w:r>
        <w:rPr>
          <w:rFonts w:eastAsia="SimHei"/>
          <w:b/>
          <w:bCs/>
          <w:color w:val="auto"/>
          <w:sz w:val="32"/>
          <w:szCs w:val="32"/>
          <w:shd w:fill="auto" w:val="clear"/>
        </w:rPr>
        <w:t>1.</w:t>
      </w:r>
      <w:r>
        <w:rPr>
          <w:rFonts w:eastAsia="SimHei" w:ascii="Times New Roman" w:hAnsi="Times New Roman"/>
          <w:b/>
          <w:bCs/>
          <w:color w:val="1284BA"/>
          <w:sz w:val="32"/>
          <w:szCs w:val="32"/>
        </w:rPr>
        <w:t xml:space="preserve"> </w:t>
      </w:r>
      <w:r>
        <w:rPr>
          <w:rFonts w:eastAsia="SimHei"/>
          <w:b/>
          <w:bCs/>
          <w:color w:val="auto"/>
          <w:sz w:val="32"/>
          <w:szCs w:val="32"/>
        </w:rPr>
        <w:t>Úloha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Úlohou merania je určiť základné parametre cievky (indukčnosť L) pri striedavom napätí rôznych frekvencií. Meraním s osciloskopom sa má zistiť závislosť impedancie |Z|, fázového posunu φ medzi napätím a prúdom a induktívnej reaktancie XL od frekvencie striedavého signálu. Z nameraných hodnôt sa má overiť teoretický vzťah pre impedanciu cievky Z = R + jXL, kde XL = 2πfL, a potvrdiť, že fázový posun sa pri čistej indukčnosti blíži k 90°. Okrem toho sa má zistiť efektívna hodnota indukčnosti z nameraných dát a porovnať s nominálnou hodnotou cievky L = 33 H. Doplňujúcim cieľom je pozorovanie vplyvu parazitných javov (najmä odporu vinutia R a medzikapacitných javov) na správanie sa cievky pri rôznych frekvenciách a dokumentovanie odchýlok od ideálneho induktívneho prvku.</w:t>
      </w:r>
    </w:p>
    <w:p>
      <w:pPr>
        <w:pStyle w:val="Heading1"/>
        <w:spacing w:lineRule="auto" w:line="312" w:before="360" w:after="160"/>
        <w:rPr/>
      </w:pPr>
      <w:r>
        <w:rPr>
          <w:rFonts w:eastAsia="SimHei"/>
          <w:b/>
          <w:bCs/>
          <w:color w:val="auto"/>
          <w:sz w:val="32"/>
          <w:szCs w:val="32"/>
        </w:rPr>
        <w:t>2.</w:t>
      </w:r>
      <w:r>
        <w:rPr>
          <w:rFonts w:eastAsia="SimHei" w:ascii="Times New Roman" w:hAnsi="Times New Roman"/>
          <w:b/>
          <w:bCs/>
          <w:color w:val="1284BA"/>
          <w:sz w:val="32"/>
          <w:szCs w:val="32"/>
        </w:rPr>
        <w:t xml:space="preserve"> </w:t>
      </w:r>
      <w:r>
        <w:rPr>
          <w:rFonts w:eastAsia="SimHei"/>
          <w:b/>
          <w:bCs/>
          <w:color w:val="auto"/>
          <w:sz w:val="32"/>
          <w:szCs w:val="32"/>
        </w:rPr>
        <w:t>Teoretický rozbor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Cievka (indukčnosť) je pasívny lineárny elektrický prvok, ktorého hlavnou vlastnosťou je schopnosť ukladať energiu v magnetickom poli. V striedavom obvode sa cievka správa ako komplexná impedance, ktorá závisí od frekvencie pripojeného signálu. Pre ideálnu cievku s indukčnosťou L platí základný vzťah pre induktívnu reaktanciu:</w:t>
      </w:r>
    </w:p>
    <w:p>
      <w:pPr>
        <w:pStyle w:val="Normal"/>
        <w:spacing w:lineRule="auto" w:line="312" w:before="120" w:after="120"/>
        <w:jc w:val="center"/>
        <w:rPr/>
      </w:pPr>
      <w:r>
        <w:rPr>
          <w:rFonts w:eastAsia="Microsoft YaHei" w:ascii="Times New Roman" w:hAnsi="Times New Roman"/>
          <w:i/>
          <w:iCs/>
          <w:color w:val="000000"/>
          <w:sz w:val="24"/>
          <w:szCs w:val="24"/>
        </w:rPr>
        <w:t>XL = 2πfL = ωL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kde f je frekvencia striedavého signálu a ω = 2πf je uhlová frekvencia. Induktívna reaktancia XL rastie lineárne s frekvenciou, čo znamená, že cievka viac bráni prechodu prúdu pri vyšších frekvenciách. Skutočná cievka však nie je ideálna – obsahuje aj odpor vinutia R, ktorý spôsobuje skutočnú impedanciu cievky vyjadriteľnú komplexným číslom:</w:t>
      </w:r>
    </w:p>
    <w:p>
      <w:pPr>
        <w:pStyle w:val="Normal"/>
        <w:spacing w:lineRule="auto" w:line="312" w:before="120" w:after="120"/>
        <w:jc w:val="center"/>
        <w:rPr/>
      </w:pPr>
      <w:r>
        <w:rPr>
          <w:rFonts w:eastAsia="Microsoft YaHei" w:ascii="Times New Roman" w:hAnsi="Times New Roman"/>
          <w:i/>
          <w:iCs/>
          <w:color w:val="000000"/>
          <w:sz w:val="24"/>
          <w:szCs w:val="24"/>
        </w:rPr>
        <w:t>Z = R + jXL = R + jωL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Modul impedancie (veľkosť impedancie) je potom:</w:t>
      </w:r>
    </w:p>
    <w:p>
      <w:pPr>
        <w:pStyle w:val="Normal"/>
        <w:spacing w:lineRule="auto" w:line="312" w:before="120" w:after="120"/>
        <w:jc w:val="center"/>
        <w:rPr/>
      </w:pPr>
      <w:r>
        <w:rPr>
          <w:rFonts w:eastAsia="Microsoft YaHei" w:ascii="Times New Roman" w:hAnsi="Times New Roman"/>
          <w:i/>
          <w:iCs/>
          <w:color w:val="000000"/>
          <w:sz w:val="24"/>
          <w:szCs w:val="24"/>
        </w:rPr>
        <w:t>|Z| = √(R² + XL²) = √(R² + (ωL)²)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Fázový posun φ medzi napätím na cievke a prúdom prechádzajúcim ňou je daný vzťahom:</w:t>
      </w:r>
    </w:p>
    <w:p>
      <w:pPr>
        <w:pStyle w:val="Normal"/>
        <w:spacing w:lineRule="auto" w:line="312" w:before="120" w:after="120"/>
        <w:jc w:val="center"/>
        <w:rPr/>
      </w:pPr>
      <w:r>
        <w:rPr>
          <w:rFonts w:eastAsia="Microsoft YaHei" w:ascii="Times New Roman" w:hAnsi="Times New Roman"/>
          <w:i/>
          <w:iCs/>
          <w:color w:val="000000"/>
          <w:sz w:val="24"/>
          <w:szCs w:val="24"/>
        </w:rPr>
        <w:t>φ = arctan(XL / R) = arctan(ωL / R)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Pre ideálnu cievku (R = 0) je fázový posun φ = 90°, tzn. napätie predbehne prúd o štvrť períody. Pre skutočnú cievku s nezanedbateľným odporom R je fázový posun menší ako 90°, pričom sa k tejto hodnote približuje pri vysokých frekvenciách, kde platí ωL &gt;&gt; R. Pri nízkych frekvenciách, kde ωL &lt;&lt; R, sa fázový posun blíži k nule a cievka sa správa prevažne ako odpor. Tento prechod od odporového k induktívnemu správaniu je kľúčovým javom, ktorý sa pri meraní sleduje a dokumentuje.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Osciloskop umožňuje priame meranie fázového posunu medzi napätím a prúdom zobrazením oboch signálov na obrazovke súčasne. Prúd sa meria nepriamo – snímaním napätia na sériovo zapojenom referenčnom rezistore (shunte), cez ktorý prechádza rovnaký prúd ako cievkou. Z pomeru amplitúd napätia a prúdu a z nameraného fázového posunu sa môže vypočítať kompletná impedance cievky v komplexnom tvare.</w:t>
      </w:r>
    </w:p>
    <w:p>
      <w:pPr>
        <w:pStyle w:val="Heading1"/>
        <w:spacing w:lineRule="auto" w:line="312" w:before="360" w:after="160"/>
        <w:rPr>
          <w:rFonts w:ascii="Arial" w:hAnsi="Arial"/>
          <w:color w:val="auto"/>
        </w:rPr>
      </w:pPr>
      <w:r>
        <w:rPr>
          <w:rFonts w:eastAsia="SimHei"/>
          <w:b/>
          <w:bCs/>
          <w:color w:val="auto"/>
          <w:sz w:val="32"/>
          <w:szCs w:val="32"/>
        </w:rPr>
        <w:t>3. Opis meraného predmetu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Meraným predmetom je cievka s nominálnou indukčnosťou L = 33 H. Cievka je navinutá z medeného vodiča na feritovom jadre, ktoré zabezpečuje vysokú permeabilitu a tým aj vysokú indukčnosť pri relatívne kompaktných rozmeroch. Vinutie cievky pozostáva z viacvrstvového zvinutia s veľkým počtom závitov, čo je charakteristické pre cievky s vysokou indukčnosťou. Parazitný odpor vinutia R je nezanedbateľný vzhľadom na dĺžku a prierez vodiča – z nameraných dát pri nízkej frekvencii (f = 11 Hz, φ ≈ 0°) vyplýva, že odpor vinutia je približne R ≈ 0,09 Ω. Cievka je určená pre aplikácie v nízkofrekvenčných obvodoch, napríklad v filtroch, tlmičkách sieťových rušení alebo v spínaných zdrojoch. Kvalita cievky (činiteľ kvality Q = XL/R) rastie s frekvenciou, keďže induktívna reaktancia narastá lineárne, kým odpor vinutia zostáva približne konštantný.</w:t>
      </w:r>
    </w:p>
    <w:p>
      <w:pPr>
        <w:pStyle w:val="Heading1"/>
        <w:spacing w:lineRule="auto" w:line="312" w:before="360" w:after="160"/>
        <w:rPr>
          <w:rFonts w:ascii="Arial" w:hAnsi="Arial"/>
          <w:color w:val="auto"/>
        </w:rPr>
      </w:pPr>
      <w:r>
        <w:rPr>
          <w:rFonts w:eastAsia="SimHei"/>
          <w:b/>
          <w:bCs/>
          <w:color w:val="auto"/>
          <w:sz w:val="32"/>
          <w:szCs w:val="32"/>
        </w:rPr>
        <w:t>4. Schéma zapojenia</w:t>
      </w:r>
    </w:p>
    <w:p>
      <w:pPr>
        <w:pStyle w:val="Normal"/>
        <w:spacing w:lineRule="auto" w:line="312" w:before="0" w:after="60"/>
        <w:ind w:firstLine="480"/>
        <w:jc w:val="both"/>
        <w:rPr>
          <w:rFonts w:ascii="Times New Roman" w:hAnsi="Times New Roman" w:eastAsia="Microsoft YaHei"/>
          <w:color w:val="000000"/>
          <w:sz w:val="24"/>
          <w:szCs w:val="24"/>
        </w:rPr>
      </w:pPr>
      <w:r>
        <w:rPr>
          <w:rFonts w:eastAsia="Microsoft YaHei" w:ascii="Times New Roman" w:hAnsi="Times New Roman"/>
          <w:color w:val="000000"/>
          <w:sz w:val="24"/>
          <w:szCs w:val="24"/>
        </w:rPr>
        <w:t>Meracia schéma pozostáva z nasledujúcich prvkov zapojených do sériového obvodu: generátor striedavého signálu (funkčný generátor) – referenčný odpor (shunt) Rref – meraná cievka L. Osciloskop je zapojený s dvoma kanálmi: kanál CH1 meria napätie na celej sériovej kombinácii (výstup generátora voči zemi), kanál CH2 meria napätie na referenčnom odpore, čo umožňuje výpočet prúdu obvodom podľa Ohmovho zákona I = URref / Rref. Rozdiel signálov CH1 – CH2 poskytuje napätie na cievke UL.</w:t>
      </w:r>
    </w:p>
    <w:p>
      <w:pPr>
        <w:pStyle w:val="Normal"/>
        <w:spacing w:lineRule="auto" w:line="312" w:before="0" w:after="60"/>
        <w:ind w:hanging="0" w:start="0"/>
        <w:jc w:val="both"/>
        <w:rPr>
          <w:rFonts w:ascii="Times New Roman" w:hAnsi="Times New Roman" w:eastAsia="Microsoft YaHei"/>
          <w:color w:val="000000"/>
          <w:sz w:val="24"/>
          <w:szCs w:val="24"/>
        </w:rPr>
      </w:pPr>
      <w:r>
        <w:rPr>
          <w:rFonts w:eastAsia="Microsoft YaHei" w:ascii="Times New Roman" w:hAnsi="Times New Roman"/>
          <w:color w:val="000000"/>
          <w:sz w:val="24"/>
          <w:szCs w:val="24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88050" cy="4424680"/>
            <wp:effectExtent l="0" t="0" r="0" b="0"/>
            <wp:wrapSquare wrapText="largest"/>
            <wp:docPr id="1" name="Bil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5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050" cy="4424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Obr. 1: Schéma zapojenia meracieho obvodu</w:t>
      </w:r>
    </w:p>
    <w:p>
      <w:pPr>
        <w:pStyle w:val="Heading1"/>
        <w:spacing w:lineRule="auto" w:line="312" w:before="360" w:after="160"/>
        <w:rPr/>
      </w:pPr>
      <w:r>
        <w:rPr>
          <w:rFonts w:eastAsia="SimHei" w:ascii="Times New Roman" w:hAnsi="Times New Roman"/>
          <w:b/>
          <w:bCs/>
          <w:color w:val="1284BA"/>
          <w:sz w:val="32"/>
          <w:szCs w:val="32"/>
        </w:rPr>
        <w:t>5. Súpis meracích prístrojov</w:t>
      </w:r>
    </w:p>
    <w:tbl>
      <w:tblPr>
        <w:tblW w:w="5000" w:type="pct"/>
        <w:jc w:val="center"/>
        <w:tblInd w:w="0" w:type="dxa"/>
        <w:tblLayout w:type="fixed"/>
        <w:tblCellMar>
          <w:top w:w="50" w:type="dxa"/>
          <w:start w:w="100" w:type="dxa"/>
          <w:bottom w:w="50" w:type="dxa"/>
          <w:end w:w="100" w:type="dxa"/>
        </w:tblCellMar>
      </w:tblPr>
      <w:tblGrid>
        <w:gridCol w:w="2357"/>
        <w:gridCol w:w="2357"/>
        <w:gridCol w:w="2358"/>
        <w:gridCol w:w="2358"/>
      </w:tblGrid>
      <w:tr>
        <w:trPr>
          <w:tblHeader w:val="true"/>
          <w:cantSplit w:val="true"/>
        </w:trPr>
        <w:tc>
          <w:tcPr>
            <w:tcW w:w="2357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Prístroj</w:t>
            </w:r>
          </w:p>
        </w:tc>
        <w:tc>
          <w:tcPr>
            <w:tcW w:w="2357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Typ / Model</w:t>
            </w:r>
          </w:p>
        </w:tc>
        <w:tc>
          <w:tcPr>
            <w:tcW w:w="2358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Rozsah</w:t>
            </w:r>
          </w:p>
        </w:tc>
        <w:tc>
          <w:tcPr>
            <w:tcW w:w="2358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Presnosť</w:t>
            </w:r>
          </w:p>
        </w:tc>
      </w:tr>
      <w:tr>
        <w:trPr>
          <w:cantSplit w:val="true"/>
        </w:trPr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Osciloskop</w:t>
            </w:r>
          </w:p>
        </w:tc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Digitálny 2-kanálový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 – 100 MHz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±2 %</w:t>
            </w:r>
          </w:p>
        </w:tc>
      </w:tr>
      <w:tr>
        <w:trPr>
          <w:cantSplit w:val="true"/>
        </w:trPr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Funkčný generátor</w:t>
            </w:r>
          </w:p>
        </w:tc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Generátor signálov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 – 2 MHz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±1 %</w:t>
            </w:r>
          </w:p>
        </w:tc>
      </w:tr>
      <w:tr>
        <w:trPr>
          <w:cantSplit w:val="true"/>
        </w:trPr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Referenčný odpor</w:t>
            </w:r>
          </w:p>
        </w:tc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Shunt Rref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0,09 Ω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±1 %</w:t>
            </w:r>
          </w:p>
        </w:tc>
      </w:tr>
      <w:tr>
        <w:trPr>
          <w:cantSplit w:val="true"/>
        </w:trPr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Cievka</w:t>
            </w:r>
          </w:p>
        </w:tc>
        <w:tc>
          <w:tcPr>
            <w:tcW w:w="2357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Feritové jadro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L = 33 H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±10 %</w:t>
            </w:r>
          </w:p>
        </w:tc>
      </w:tr>
      <w:tr>
        <w:trPr>
          <w:cantSplit w:val="true"/>
        </w:trPr>
        <w:tc>
          <w:tcPr>
            <w:tcW w:w="2357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Multimeter</w:t>
            </w:r>
          </w:p>
        </w:tc>
        <w:tc>
          <w:tcPr>
            <w:tcW w:w="2357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Digitálny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 – 1000 V / 0 – 10 A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±0,5 %</w:t>
            </w:r>
          </w:p>
        </w:tc>
      </w:tr>
    </w:tbl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Tab. 1: Súpis meracích prístrojov</w:t>
      </w:r>
    </w:p>
    <w:p>
      <w:pPr>
        <w:pStyle w:val="Heading1"/>
        <w:spacing w:lineRule="auto" w:line="312" w:before="360" w:after="160"/>
        <w:rPr>
          <w:rFonts w:ascii="Arial" w:hAnsi="Arial"/>
          <w:color w:val="auto"/>
        </w:rPr>
      </w:pPr>
      <w:r>
        <w:rPr>
          <w:rFonts w:eastAsia="SimHei"/>
          <w:b/>
          <w:bCs/>
          <w:color w:val="auto"/>
          <w:sz w:val="32"/>
          <w:szCs w:val="32"/>
        </w:rPr>
        <w:t>6. Postup pri meraní</w:t>
      </w:r>
    </w:p>
    <w:p>
      <w:pPr>
        <w:pStyle w:val="Normal"/>
        <w:spacing w:lineRule="auto" w:line="312" w:before="0" w:after="6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1. Zostavenie meracieho obvodu podľa schémy zapojenia (sekcia 4). Generátor, referenčný odpor a cievka boli zapojené do série. Osciloskop bol pripojený na meranie napätia na celej kombinácii (CH1) a na referenčnom odpore (CH2).</w:t>
      </w:r>
    </w:p>
    <w:p>
      <w:pPr>
        <w:pStyle w:val="Normal"/>
        <w:spacing w:lineRule="auto" w:line="312" w:before="0" w:after="6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2. Nastavenie funkčného generátora na minimálnu frekvenciu f = 11 Hz a amplitúdu výstupného napätia tak, aby prúd obvodom neprekročil menovitú hodnotu cievky. Overenie správneho zobrazenia oboch signálov na osciloskope.</w:t>
      </w:r>
    </w:p>
    <w:p>
      <w:pPr>
        <w:pStyle w:val="Normal"/>
        <w:spacing w:lineRule="auto" w:line="312" w:before="0" w:after="6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3. Meranie efektívnej hodnoty napätia Urms na výstupe generátora, amplitúdy prúdu Ip a efektívnej hodnoty prúdu Irms vypočítanej z napätia na referenčnom odpore.</w:t>
      </w:r>
    </w:p>
    <w:p>
      <w:pPr>
        <w:pStyle w:val="Normal"/>
        <w:spacing w:lineRule="auto" w:line="312" w:before="0" w:after="6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4. Meranie fázového posunu φ medzi napätím a prúdom pomocou osciloskopu – z časového posunu medzi nulovými prechodmi oboch signálov podľa vzťahu φ = (Δt / T) × 360°, kde Δt je časový posun a T je períoda signálu.</w:t>
      </w:r>
    </w:p>
    <w:p>
      <w:pPr>
        <w:pStyle w:val="Normal"/>
        <w:spacing w:lineRule="auto" w:line="312" w:before="0" w:after="6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5. Zaznamenanie nameraných hodnôt do tabuľky.</w:t>
      </w:r>
    </w:p>
    <w:p>
      <w:pPr>
        <w:pStyle w:val="Normal"/>
        <w:spacing w:lineRule="auto" w:line="312" w:before="0" w:after="6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6. Zvýšenie frekvencie generátora na nasledujúcu hodnotu (50, 100, 200, 300, 400, 500, 600, 700, 800, 900, 1000, 1200, 1400, 1600, 1800, 2000 Hz) a opakovanie krokov 3–5 pre každú frekvenciu.</w:t>
      </w:r>
    </w:p>
    <w:p>
      <w:pPr>
        <w:pStyle w:val="Normal"/>
        <w:spacing w:lineRule="auto" w:line="312" w:before="0" w:after="6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7. Kontrola konzistencie nameraných dát – overenie monotónnosti rastu fázového posunu s frekvenciou a zmysluplnosti vypočítaných hodnôt impedancie a reaktancie.</w:t>
      </w:r>
    </w:p>
    <w:p>
      <w:pPr>
        <w:pStyle w:val="Normal"/>
        <w:spacing w:lineRule="auto" w:line="312" w:before="0" w:after="6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8. Ukončenie merania a rozpojenie obvodu.</w:t>
      </w:r>
    </w:p>
    <w:p>
      <w:pPr>
        <w:pStyle w:val="Heading1"/>
        <w:spacing w:lineRule="auto" w:line="312" w:before="360" w:after="160"/>
        <w:rPr>
          <w:rFonts w:ascii="Arial" w:hAnsi="Arial"/>
          <w:color w:val="auto"/>
        </w:rPr>
      </w:pPr>
      <w:r>
        <w:rPr>
          <w:rFonts w:eastAsia="SimHei"/>
          <w:b/>
          <w:bCs/>
          <w:color w:val="auto"/>
          <w:sz w:val="32"/>
          <w:szCs w:val="32"/>
        </w:rPr>
        <w:t>7. Tabuľka nameraných hodnôt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Nasledujúca tabuľka obsahuje namerané hodnoty pre cievku L = 33 H pri rôznych frekvenciách. Stĺpce udávajú: frekvenciu f, efektívnu hodnotu napätia Urms, amplitúdu prúdu Ip, efektívnu hodnotu prúdu Irms a fázový posun φ medzi napätím a prúdom.</w:t>
      </w:r>
    </w:p>
    <w:tbl>
      <w:tblPr>
        <w:tblW w:w="5000" w:type="pct"/>
        <w:jc w:val="center"/>
        <w:tblInd w:w="0" w:type="dxa"/>
        <w:tblLayout w:type="fixed"/>
        <w:tblCellMar>
          <w:top w:w="50" w:type="dxa"/>
          <w:start w:w="100" w:type="dxa"/>
          <w:bottom w:w="50" w:type="dxa"/>
          <w:end w:w="100" w:type="dxa"/>
        </w:tblCellMar>
      </w:tblPr>
      <w:tblGrid>
        <w:gridCol w:w="1886"/>
        <w:gridCol w:w="1886"/>
        <w:gridCol w:w="1886"/>
        <w:gridCol w:w="1886"/>
        <w:gridCol w:w="1886"/>
      </w:tblGrid>
      <w:tr>
        <w:trPr>
          <w:tblHeader w:val="true"/>
          <w:cantSplit w:val="true"/>
        </w:trPr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f [Hz]</w:t>
            </w:r>
          </w:p>
        </w:tc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Urms [V]</w:t>
            </w:r>
          </w:p>
        </w:tc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Ip [mA]</w:t>
            </w:r>
          </w:p>
        </w:tc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Irms [mA]</w:t>
            </w:r>
          </w:p>
        </w:tc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φ [°]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3.53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55.00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38.89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4.10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53.03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37.50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4.32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52.40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37.05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9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4.57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45.60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32.24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23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4.98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42.00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29.70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36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5.25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36.00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25.46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42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5.57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29.00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20.51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52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5.84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24.00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16.97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59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700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22.00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15.56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61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800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6.22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18.40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13.01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65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900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6.34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16.80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11.88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72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6.46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14.40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10.18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78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1200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6.61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11.20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7.92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82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1400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6.71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9.20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6.51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87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1600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6.79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8.00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5.66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90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1800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6.84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4.24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90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6.87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4.40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3.11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90</w:t>
            </w:r>
          </w:p>
        </w:tc>
      </w:tr>
    </w:tbl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Tab. 2: Namerané hodnoty pre cievku L = 33 H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Doplnková tabuľka porovnania dvoch cievok pri frekvencii f = 900 Hz:</w:t>
      </w:r>
    </w:p>
    <w:tbl>
      <w:tblPr>
        <w:tblW w:w="5000" w:type="pct"/>
        <w:jc w:val="center"/>
        <w:tblInd w:w="0" w:type="dxa"/>
        <w:tblLayout w:type="fixed"/>
        <w:tblCellMar>
          <w:top w:w="50" w:type="dxa"/>
          <w:start w:w="100" w:type="dxa"/>
          <w:bottom w:w="50" w:type="dxa"/>
          <w:end w:w="100" w:type="dxa"/>
        </w:tblCellMar>
      </w:tblPr>
      <w:tblGrid>
        <w:gridCol w:w="1886"/>
        <w:gridCol w:w="1886"/>
        <w:gridCol w:w="1886"/>
        <w:gridCol w:w="1886"/>
        <w:gridCol w:w="1886"/>
      </w:tblGrid>
      <w:tr>
        <w:trPr>
          <w:tblHeader w:val="true"/>
          <w:cantSplit w:val="true"/>
        </w:trPr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L [H]</w:t>
            </w:r>
          </w:p>
        </w:tc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U [V]</w:t>
            </w:r>
          </w:p>
        </w:tc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f [Hz]</w:t>
            </w:r>
          </w:p>
        </w:tc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I [mA]</w:t>
            </w:r>
          </w:p>
        </w:tc>
        <w:tc>
          <w:tcPr>
            <w:tcW w:w="1886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φ [°]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4.60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900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72.4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76.6</w:t>
            </w:r>
          </w:p>
        </w:tc>
      </w:tr>
      <w:tr>
        <w:trPr>
          <w:cantSplit w:val="true"/>
        </w:trPr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4.09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900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30.5</w:t>
            </w:r>
          </w:p>
        </w:tc>
        <w:tc>
          <w:tcPr>
            <w:tcW w:w="1886" w:type="dxa"/>
            <w:tcBorders>
              <w:top w:val="single" w:sz="2" w:space="0" w:color="D8E4EC"/>
              <w:bottom w:val="single" w:sz="2" w:space="0" w:color="1284BA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71.2</w:t>
            </w:r>
          </w:p>
        </w:tc>
      </w:tr>
    </w:tbl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Tab. 3: Porovnanie cievok L = 10 H a L = 33 H pri f = 900 Hz</w:t>
      </w:r>
    </w:p>
    <w:p>
      <w:pPr>
        <w:pStyle w:val="Normal"/>
      </w:pPr>
      <w:r>
        <w:rPr>
          <w:rFonts w:eastAsia="SimHei" w:ascii="Times New Roman" w:hAnsi="Times New Roman"/>
          <w:sz w:val="24"/>
          <w:szCs w:val="24"/>
        </w:rPr>
        <w:t>Tabuľka nameraných parametrov cievok (Umax, odpor, prúd):</w:t>
      </w:r>
    </w:p>
    <w:tbl>
      <w:tblPr>
        <w:tblW w:w="5000" w:type="pct"/>
        <w:jc w:val="center"/>
        <w:tblInd w:w="0" w:type="dxa"/>
        <w:tblLayout w:type="fixed"/>
        <w:tblCellMar>
          <w:top w:w="50" w:type="dxa"/>
          <w:start w:w="100" w:type="dxa"/>
          <w:bottom w:w="50" w:type="dxa"/>
          <w:end w:w="100" w:type="dxa"/>
        </w:tblCellMar>
      </w:tblPr>
      <w:tblGrid>
        <w:gridCol w:w="2358"/>
        <w:gridCol w:w="2358"/>
        <w:gridCol w:w="2358"/>
        <w:gridCol w:w="2358"/>
      </w:tblGrid>
      <w:tr>
        <w:trPr>
          <w:tblHeader w:val="true"/>
          <w:cantSplit w:val="true"/>
        </w:trPr>
        <w:tc>
          <w:tcPr>
            <w:tcW w:w="2358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Cievka</w:t>
            </w:r>
          </w:p>
        </w:tc>
        <w:tc>
          <w:tcPr>
            <w:tcW w:w="2358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Umax [V]</w:t>
            </w:r>
          </w:p>
        </w:tc>
        <w:tc>
          <w:tcPr>
            <w:tcW w:w="2358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odpor [Ω]</w:t>
            </w:r>
          </w:p>
        </w:tc>
        <w:tc>
          <w:tcPr>
            <w:tcW w:w="2358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prúd [mA]</w:t>
            </w:r>
          </w:p>
        </w:tc>
      </w:tr>
      <w:tr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D8E4EC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Cievka1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D8E4EC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1,566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D8E4EC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17,4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D8E4EC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90</w:t>
            </w:r>
          </w:p>
        </w:tc>
      </w:tr>
      <w:tr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Cievka2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3,315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66,3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2" w:space="0" w:color="D8E4EC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50</w:t>
            </w:r>
          </w:p>
        </w:tc>
      </w:tr>
      <w:tr>
        <w:tc>
          <w:tcPr>
            <w:tcW w:w="2358" w:type="dxa"/>
            <w:tcBorders>
              <w:top w:val="single" w:sz="2" w:space="0" w:color="D8E4EC"/>
              <w:bottom w:val="single" w:sz="4" w:space="0" w:color="1284BA"/>
            </w:tcBorders>
            <w:shd w:fill="D8E4EC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Cievka3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4" w:space="0" w:color="1284BA"/>
            </w:tcBorders>
            <w:shd w:fill="D8E4EC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153,6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4" w:space="0" w:color="1284BA"/>
            </w:tcBorders>
            <w:shd w:fill="D8E4EC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4800</w:t>
            </w:r>
          </w:p>
        </w:tc>
        <w:tc>
          <w:tcPr>
            <w:tcW w:w="2358" w:type="dxa"/>
            <w:tcBorders>
              <w:top w:val="single" w:sz="2" w:space="0" w:color="D8E4EC"/>
              <w:bottom w:val="single" w:sz="4" w:space="0" w:color="1284BA"/>
            </w:tcBorders>
            <w:shd w:fill="D8E4EC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sz w:val="20"/>
                <w:szCs w:val="20"/>
              </w:rPr>
              <w:t>32</w:t>
            </w:r>
          </w:p>
        </w:tc>
      </w:tr>
    </w:tbl>
    <w:p>
      <w:pPr>
        <w:pStyle w:val="Normal"/>
        <w:jc w:val="center"/>
      </w:pPr>
      <w:r>
        <w:rPr>
          <w:rFonts w:eastAsia="Microsoft YaHei" w:ascii="Times New Roman" w:hAnsi="Times New Roman"/>
          <w:color w:val="606060"/>
          <w:sz w:val="21"/>
          <w:szCs w:val="21"/>
        </w:rPr>
        <w:t>Tab. 4: Parametre cievok – Umax, odpor a prúd</w:t>
      </w:r>
    </w:p>
    <w:p>
      <w:pPr>
        <w:pStyle w:val="Normal"/>
        <w:jc w:val="center"/>
        <w:rPr/>
      </w:pPr>
      <w:r>
        <w:rPr/>
        <w:drawing>
          <wp:inline distT="0" distB="0" distL="0" distR="0">
            <wp:extent cx="5950000" cy="2288000"/>
            <wp:effectExtent l="0" t="0" r="0" b="0"/>
            <wp:docPr id="6" name="chart_ciev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hart_cievky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000" cy="228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Obr. 6: Parametre cievok – Umax [V], odpor [Ω] a prúd [mA]</w:t>
      </w:r>
    </w:p>
    <w:p>
      <w:pPr>
        <w:pStyle w:val="Heading1"/>
        <w:spacing w:lineRule="auto" w:line="312" w:before="360" w:after="160"/>
        <w:rPr>
          <w:rFonts w:ascii="Arial" w:hAnsi="Arial"/>
          <w:color w:val="auto"/>
        </w:rPr>
      </w:pPr>
      <w:r>
        <w:rPr>
          <w:rFonts w:eastAsia="SimHei"/>
          <w:b/>
          <w:bCs/>
          <w:color w:val="auto"/>
          <w:sz w:val="32"/>
          <w:szCs w:val="32"/>
        </w:rPr>
        <w:t>8. Spracovanie nameraných hodnôt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Z nameraných hodnôt boli vypočítané nasledujúce veličiny pre každú frekvenciu:</w:t>
      </w:r>
    </w:p>
    <w:p>
      <w:pPr>
        <w:pStyle w:val="Heading2"/>
        <w:spacing w:lineRule="auto" w:line="312" w:before="240" w:after="120"/>
        <w:rPr>
          <w:rFonts w:ascii="Arial" w:hAnsi="Arial"/>
        </w:rPr>
      </w:pPr>
      <w:r>
        <w:rPr>
          <w:rFonts w:eastAsia="SimHei" w:ascii="Arial" w:hAnsi="Arial"/>
          <w:b/>
          <w:bCs/>
          <w:color w:val="333333"/>
          <w:sz w:val="28"/>
          <w:szCs w:val="28"/>
        </w:rPr>
        <w:t>8.1 Výpočet komplexnej impedancie Z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Komplexná impedance cievky sa vypočíta z nameraného napätia a prúdu:</w:t>
      </w:r>
    </w:p>
    <w:p>
      <w:pPr>
        <w:pStyle w:val="Normal"/>
        <w:spacing w:lineRule="auto" w:line="312" w:before="120" w:after="120"/>
        <w:jc w:val="center"/>
        <w:rPr/>
      </w:pPr>
      <w:r>
        <w:rPr>
          <w:rFonts w:eastAsia="Microsoft YaHei" w:ascii="Times New Roman" w:hAnsi="Times New Roman"/>
          <w:i/>
          <w:iCs/>
          <w:color w:val="000000"/>
          <w:sz w:val="24"/>
          <w:szCs w:val="24"/>
        </w:rPr>
        <w:t>Z = Ucomplex / Icomplex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kde Ucomplex = Urms (napätie na cievke ako referenčný fázor) a Icomplex = Irms × e^(jφ) (prúd s fázovým posunom φ). Realná časť impedancie ZR = Re{Z} zodpovedá odporu vinutia, imaginárna časť ZI = Im{Z} zodpovedá induktívnej reaktancii XL s opačným znamienkom (prúd zaostáva za napätím). Výsledky výpočtov sú uvedené v tabuľke nižšie.</w:t>
      </w:r>
    </w:p>
    <w:tbl>
      <w:tblPr>
        <w:tblW w:w="5000" w:type="pct"/>
        <w:jc w:val="center"/>
        <w:tblInd w:w="0" w:type="dxa"/>
        <w:tblLayout w:type="fixed"/>
        <w:tblCellMar>
          <w:top w:w="50" w:type="dxa"/>
          <w:start w:w="100" w:type="dxa"/>
          <w:bottom w:w="50" w:type="dxa"/>
          <w:end w:w="100" w:type="dxa"/>
        </w:tblCellMar>
      </w:tblPr>
      <w:tblGrid>
        <w:gridCol w:w="1571"/>
        <w:gridCol w:w="1572"/>
        <w:gridCol w:w="1571"/>
        <w:gridCol w:w="1572"/>
        <w:gridCol w:w="1571"/>
        <w:gridCol w:w="1573"/>
      </w:tblGrid>
      <w:tr>
        <w:trPr>
          <w:tblHeader w:val="true"/>
          <w:cantSplit w:val="true"/>
        </w:trPr>
        <w:tc>
          <w:tcPr>
            <w:tcW w:w="1571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f [Hz]</w:t>
            </w:r>
          </w:p>
        </w:tc>
        <w:tc>
          <w:tcPr>
            <w:tcW w:w="1572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Re{Z} [Ω]</w:t>
            </w:r>
          </w:p>
        </w:tc>
        <w:tc>
          <w:tcPr>
            <w:tcW w:w="1571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Im{Z} [Ω]</w:t>
            </w:r>
          </w:p>
        </w:tc>
        <w:tc>
          <w:tcPr>
            <w:tcW w:w="1572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XL [Ω]</w:t>
            </w:r>
          </w:p>
        </w:tc>
        <w:tc>
          <w:tcPr>
            <w:tcW w:w="1571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|Z| [Ω]</w:t>
            </w:r>
          </w:p>
        </w:tc>
        <w:tc>
          <w:tcPr>
            <w:tcW w:w="1573" w:type="dxa"/>
            <w:tcBorders>
              <w:top w:val="single" w:sz="2" w:space="0" w:color="1284BA"/>
              <w:bottom w:val="single" w:sz="2" w:space="0" w:color="D8E4EC"/>
            </w:tcBorders>
            <w:shd w:fill="1284BA" w:val="clear"/>
          </w:tcPr>
          <w:p>
            <w:pPr>
              <w:pStyle w:val="Normal"/>
              <w:jc w:val="center"/>
              <w:rPr/>
            </w:pPr>
            <w:r>
              <w:rPr>
                <w:rFonts w:eastAsia="SimHei" w:ascii="Times New Roman" w:hAnsi="Times New Roman"/>
                <w:b/>
                <w:bCs/>
                <w:color w:val="FFFFFF"/>
                <w:sz w:val="20"/>
                <w:szCs w:val="20"/>
              </w:rPr>
              <w:t>Lm [µH]</w:t>
            </w:r>
          </w:p>
        </w:tc>
      </w:tr>
      <w:tr>
        <w:trPr>
          <w:cantSplit w:val="true"/>
        </w:trPr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11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0.0908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0.0908</w:t>
            </w:r>
          </w:p>
        </w:tc>
        <w:tc>
          <w:tcPr>
            <w:tcW w:w="1573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0.00</w:t>
            </w:r>
          </w:p>
        </w:tc>
      </w:tr>
      <w:tr>
        <w:trPr>
          <w:cantSplit w:val="true"/>
        </w:trPr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0.1152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-0.0182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0.0182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0.1166</w:t>
            </w:r>
          </w:p>
        </w:tc>
        <w:tc>
          <w:tcPr>
            <w:tcW w:w="1573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29.03</w:t>
            </w:r>
          </w:p>
        </w:tc>
      </w:tr>
      <w:tr>
        <w:trPr>
          <w:cantSplit w:val="true"/>
        </w:trPr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300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0.1357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-0.0986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0.0986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0.1677</w:t>
            </w:r>
          </w:p>
        </w:tc>
        <w:tc>
          <w:tcPr>
            <w:tcW w:w="1573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52.29</w:t>
            </w:r>
          </w:p>
        </w:tc>
      </w:tr>
      <w:tr>
        <w:trPr>
          <w:cantSplit w:val="true"/>
        </w:trPr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500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0.1672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-0.2140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0.2140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0.2716</w:t>
            </w:r>
          </w:p>
        </w:tc>
        <w:tc>
          <w:tcPr>
            <w:tcW w:w="1573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68.13</w:t>
            </w:r>
          </w:p>
        </w:tc>
      </w:tr>
      <w:tr>
        <w:trPr>
          <w:cantSplit w:val="true"/>
        </w:trPr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700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0.1870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-0.3373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0.3373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0.3857</w:t>
            </w:r>
          </w:p>
        </w:tc>
        <w:tc>
          <w:tcPr>
            <w:tcW w:w="1573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76.70</w:t>
            </w:r>
          </w:p>
        </w:tc>
      </w:tr>
      <w:tr>
        <w:trPr>
          <w:cantSplit w:val="true"/>
        </w:trPr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900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0.1649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-0.5076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0.5076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0.5337</w:t>
            </w:r>
          </w:p>
        </w:tc>
        <w:tc>
          <w:tcPr>
            <w:tcW w:w="1573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89.76</w:t>
            </w:r>
          </w:p>
        </w:tc>
      </w:tr>
      <w:tr>
        <w:trPr>
          <w:cantSplit w:val="true"/>
        </w:trPr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1200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0.1162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-0.8265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0.8265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0.8346</w:t>
            </w:r>
          </w:p>
        </w:tc>
        <w:tc>
          <w:tcPr>
            <w:tcW w:w="1573" w:type="dxa"/>
            <w:tcBorders>
              <w:top w:val="single" w:sz="2" w:space="0" w:color="D8E4EC"/>
              <w:bottom w:val="single" w:sz="2" w:space="0" w:color="D8E4EC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109.62</w:t>
            </w:r>
          </w:p>
        </w:tc>
      </w:tr>
      <w:tr>
        <w:trPr>
          <w:cantSplit w:val="true"/>
        </w:trPr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1600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-1.2003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1.2003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1.2003</w:t>
            </w:r>
          </w:p>
        </w:tc>
        <w:tc>
          <w:tcPr>
            <w:tcW w:w="1573" w:type="dxa"/>
            <w:tcBorders>
              <w:top w:val="single" w:sz="2" w:space="0" w:color="D8E4EC"/>
              <w:bottom w:val="single" w:sz="2" w:space="0" w:color="D8E4EC"/>
            </w:tcBorders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119.40</w:t>
            </w:r>
          </w:p>
        </w:tc>
      </w:tr>
      <w:tr>
        <w:trPr>
          <w:cantSplit w:val="true"/>
        </w:trPr>
        <w:tc>
          <w:tcPr>
            <w:tcW w:w="1571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0.0000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-2.2081</w:t>
            </w:r>
          </w:p>
        </w:tc>
        <w:tc>
          <w:tcPr>
            <w:tcW w:w="1572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2.2081</w:t>
            </w:r>
          </w:p>
        </w:tc>
        <w:tc>
          <w:tcPr>
            <w:tcW w:w="1571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2.2081</w:t>
            </w:r>
          </w:p>
        </w:tc>
        <w:tc>
          <w:tcPr>
            <w:tcW w:w="1573" w:type="dxa"/>
            <w:tcBorders>
              <w:top w:val="single" w:sz="2" w:space="0" w:color="D8E4EC"/>
              <w:bottom w:val="single" w:sz="2" w:space="0" w:color="1284BA"/>
            </w:tcBorders>
            <w:shd w:fill="EDF4F9" w:val="clear"/>
          </w:tcPr>
          <w:p>
            <w:pPr>
              <w:pStyle w:val="Normal"/>
              <w:jc w:val="center"/>
              <w:rPr/>
            </w:pPr>
            <w:r>
              <w:rPr>
                <w:rFonts w:eastAsia="Microsoft YaHei" w:ascii="Times New Roman" w:hAnsi="Times New Roman"/>
                <w:color w:val="000000"/>
                <w:sz w:val="20"/>
                <w:szCs w:val="20"/>
              </w:rPr>
              <w:t>175.72</w:t>
            </w:r>
          </w:p>
        </w:tc>
      </w:tr>
    </w:tbl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Tab. 4: Vypočítané hodnoty impedancie a reaktancie pre vybrané frekvencie</w:t>
      </w:r>
    </w:p>
    <w:p>
      <w:pPr>
        <w:pStyle w:val="Heading2"/>
        <w:spacing w:lineRule="auto" w:line="312" w:before="240" w:after="120"/>
        <w:rPr>
          <w:rFonts w:ascii="Arial" w:hAnsi="Arial"/>
        </w:rPr>
      </w:pPr>
      <w:r>
        <w:rPr>
          <w:rFonts w:eastAsia="SimHei" w:ascii="Arial" w:hAnsi="Arial"/>
          <w:b/>
          <w:bCs/>
          <w:color w:val="333333"/>
          <w:sz w:val="28"/>
          <w:szCs w:val="28"/>
        </w:rPr>
        <w:t>8.2 Výpočet indukčnosti z nameraných hodnôt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Z nameranej reaktancie XL je možné vypočítať efektívnu indukčnosť cievky pre každú frekvenciu podľa vzťahu:</w:t>
      </w:r>
    </w:p>
    <w:p>
      <w:pPr>
        <w:pStyle w:val="Normal"/>
        <w:spacing w:lineRule="auto" w:line="312" w:before="120" w:after="120"/>
        <w:jc w:val="center"/>
        <w:rPr/>
      </w:pPr>
      <w:r>
        <w:rPr>
          <w:rFonts w:eastAsia="Microsoft YaHei" w:ascii="Times New Roman" w:hAnsi="Times New Roman"/>
          <w:i/>
          <w:iCs/>
          <w:color w:val="000000"/>
          <w:sz w:val="24"/>
          <w:szCs w:val="24"/>
        </w:rPr>
        <w:t>Lm = XL / (2πf)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Vypočítané hodnoty Lm sú uvedené v tabuľke 4. Pre vyššie frekvencie (f ≥ 500 Hz) sa vypočítaná indukčnosť pohybuje v rozsahu približne 68 až 176 µH. Tieto hodnoty sú výrazne nižšie ako nominálna hodnota L = 33 H uvedená na cievke. Tento rozdiel naznačuje, že nominálna hodnota 33 H pravdepodobne nezodpovedá skutočnej indukčnosti cievky v danom meranom rozsahu, alebo že označenie cievky bolo interpretované inak (napríklad ako poradové číslo typu cievky). Skutočná indukčnosť zodpovedajúca nameraným dátam je v ráde stotín milihenry, čo je typické pre menšie cievky používané v elektronických obvodoch.</w:t>
      </w:r>
    </w:p>
    <w:p>
      <w:pPr>
        <w:pStyle w:val="Heading2"/>
        <w:spacing w:lineRule="auto" w:line="312" w:before="240" w:after="120"/>
        <w:rPr>
          <w:rFonts w:ascii="Arial" w:hAnsi="Arial"/>
        </w:rPr>
      </w:pPr>
      <w:r>
        <w:rPr>
          <w:rFonts w:eastAsia="SimHei" w:ascii="Arial" w:hAnsi="Arial"/>
          <w:b/>
          <w:bCs/>
          <w:color w:val="333333"/>
          <w:sz w:val="28"/>
          <w:szCs w:val="28"/>
        </w:rPr>
        <w:t>8.3 Analýza fázového posunu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Fázový posun φ rastie s frekvenciou od 0° pri f = 11 Hz až po 90° pri frekvenciách f ≥ 1600 Hz. Toto správanie je v súlade s teóriou: pri nízkych frekvenciách prevaľuje odporová zložka (ωL &lt;&lt; R), takže fázový posun je malý. S rastúcou frekvenciou narastá induktívna reaktancia ωL rýchlejšie ako odpor R zostáva konštantný, a teda pomer XL/R rastie, čo vedie k nárastu fázového posunu. Pri dostatočne vysokej frekvencii (f ≥ 1600 Hz) je XL &gt;&gt; R a fázový posun dosahuje teoretickú limitnú hodnotu 90° pre čisto induktívny prvok. Prechodová oblasť, v ktorej sa fázový posun mení najrýchlejšie, leží približne medzi 200 Hz a 1000 Hz, Čo zodpovedá frekvencii, kde XL ≈ R.</w:t>
      </w:r>
    </w:p>
    <w:p>
      <w:pPr>
        <w:pStyle w:val="Heading2"/>
        <w:spacing w:lineRule="auto" w:line="312" w:before="240" w:after="120"/>
        <w:rPr>
          <w:rFonts w:ascii="Arial" w:hAnsi="Arial"/>
        </w:rPr>
      </w:pPr>
      <w:r>
        <w:rPr>
          <w:rFonts w:eastAsia="SimHei" w:ascii="Arial" w:hAnsi="Arial"/>
          <w:b/>
          <w:bCs/>
          <w:color w:val="333333"/>
          <w:sz w:val="28"/>
          <w:szCs w:val="28"/>
        </w:rPr>
        <w:t>8.4 Porovnanie cievok L = 10 H a L = 33 H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Pri frekvencii f = 900 Hz vykazuje cievka L = 10 H vyšší prúd (72,4 mA) v porovnaní s cievkou L = 33 H (30,5 mA) pri podobnom napätí (4,6 V vs. 4,09 V). To je v súlade s teóriou – cievka s vyššou indukčnosťou má vyššiu reaktanciu pri rovnakej frekvencii, a teda menší prúd pri rovnakom napätí. Fázový posun cievky L = 10 H (76,6°) je o niečo väčší než u cievky L = 33 H (71,2°), čo naznačuje, že cievka L = 10 H má relatívne menší odpor vinutia v pomere k svojej reaktancii (vyšší činiteľ kvality Q) pri tejto frekvencii. Avšak rozdiel nie je veľký, Čo svedčí o podobnom konštrukčnom prevedení oboch cievok.</w:t>
      </w:r>
    </w:p>
    <w:p>
      <w:pPr>
        <w:pStyle w:val="Heading1"/>
        <w:spacing w:lineRule="auto" w:line="312" w:before="360" w:after="160"/>
        <w:rPr>
          <w:rFonts w:ascii="Arial" w:hAnsi="Arial"/>
          <w:color w:val="auto"/>
        </w:rPr>
      </w:pPr>
      <w:r>
        <w:rPr>
          <w:rFonts w:eastAsia="SimHei"/>
          <w:b/>
          <w:bCs/>
          <w:color w:val="auto"/>
          <w:sz w:val="32"/>
          <w:szCs w:val="32"/>
        </w:rPr>
        <w:t>9. Záver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Meranie parametrov cievky pomocou osciloskopu preukázalo základné fyzikálne javy spojené so správaním sa indukčnosti v striedavom obvode. Z nameraných dát jasne vyplýva, že impedance cievky rastie s frekvenciou, čo je v plnom súlade s teoretickým vzťahom |Z| = √(R² + (ωL)²). Pri nízkych frekvenciách (f = 11 Hz) prevaľuje odporová zložka a impedance sa blíži k odporu vinutia R ≈ 0,09 Ω. Pri vyšších frekvenciách (f ≥ 1600 Hz) dominuje induktívna reaktancia a impedancia rastie takmer lineárne s frekvenciou.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Fázový posun φ preukázal očakávaný prechod od prevažne odporového správania (φ ≈ 0° pri nízkych frekvenciách) k prevažne induktívnemu správaniu (φ → 90° pri vysokých frekvenciách). Tento prebeh je plynulý a dobre zodpovedá teoretickému vzťahu φ = arctan(ωL/R). Skutočnosť, že fázový posun pri frekvenciách 1600 Hz, 1800 Hz a 2000 Hz dosiahol presne 90°, potvrdzuje, že pri týchto frekvenciách je induktívna reaktancia oveľa väčšia než odpor vinutia a cievka sa správa ako takmer čistý induktívny prvok.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Efektívna indukčnosť vypočítaná z nameraných hodnôt (Lm v ráde 68 až 176 µH) sa výrazne líši od nominálnej hodnoty L = 33 H uvedenej na cievke. Tento rozdiel môže byť spôsobený viacerými faktormi: (1) nominálna hodnota môže byť označenie typu cievky, nie jej skutočnej indukčnosti; (2) cievka môže byť navrhnutá pre iné pracovné podmienky (napríklad so superponovaným jednosmerným prúdom, ktorý mení permeabilitu jadra); (3) pri vysokých frekvenciách môže dochádzať k zníženiu efektívnej permeability jadra v dôsledku vírivých prúdov a skin-efektu. Napriek tejto nekonzistencii v absolútnych hodnotách, relatívne trendy nameraných dát (rast impedancie a fázového posunu s frekvenciou) sú plne v súlade s teóriou lineárnej indukčnosti.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Meranie bolo úspešné v tom zmysle, že potvrdilo hlavné teoretické predpovede o správaní cievky v striedavom obvode. Kvalita merania bola dobrá, o čom svedčí plynulý a monotónny priebeh všetkých sledovaných veličín. Pre ďalšie meranie by bolo vhodné overiť skutočnú indukčnosť cievky nezávislou metódou (napríklad RLC mostíkom) a zmerať odpor vinutia priamo jednosmerným prúdom, aby sa umožnila presnejšia kvantitatívna analýza.</w:t>
      </w:r>
    </w:p>
    <w:p>
      <w:pPr>
        <w:pStyle w:val="Heading1"/>
        <w:spacing w:lineRule="auto" w:line="312" w:before="360" w:after="160"/>
        <w:rPr>
          <w:rFonts w:ascii="Arial" w:hAnsi="Arial"/>
          <w:color w:val="auto"/>
        </w:rPr>
      </w:pPr>
      <w:r>
        <w:rPr>
          <w:rFonts w:eastAsia="SimHei"/>
          <w:b/>
          <w:bCs/>
          <w:color w:val="auto"/>
          <w:sz w:val="32"/>
          <w:szCs w:val="32"/>
        </w:rPr>
        <w:t>10. Grafy</w:t>
      </w:r>
    </w:p>
    <w:p>
      <w:pPr>
        <w:pStyle w:val="Normal"/>
        <w:spacing w:lineRule="auto" w:line="312" w:before="0" w:after="60"/>
        <w:ind w:firstLine="480"/>
        <w:jc w:val="both"/>
        <w:rPr/>
      </w:pPr>
      <w:r>
        <w:rPr>
          <w:rFonts w:eastAsia="Microsoft YaHei" w:ascii="Times New Roman" w:hAnsi="Times New Roman"/>
          <w:color w:val="000000"/>
          <w:sz w:val="24"/>
          <w:szCs w:val="24"/>
        </w:rPr>
        <w:t>Nasledujúce grafy znázorňujú závislosť jednotlivých veličín od frekvencie pre meranú cievku. Grafy boli vytvorené z nameraných a vypočítaných hodnôt uvedených v predchádzajúcich sekciách.</w:t>
      </w:r>
    </w:p>
    <w:p>
      <w:pPr>
        <w:pStyle w:val="Normal"/>
        <w:spacing w:before="200" w:after="80"/>
        <w:jc w:val="center"/>
        <w:rPr/>
      </w:pPr>
      <w:r>
        <w:rPr/>
        <w:drawing>
          <wp:inline distT="0" distB="0" distL="0" distR="0">
            <wp:extent cx="4953000" cy="2724150"/>
            <wp:effectExtent l="0" t="0" r="0" b="0"/>
            <wp:docPr id="2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Bild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Obr. 2: Závislosť impedancie |Z| od frekvencie</w:t>
      </w:r>
    </w:p>
    <w:p>
      <w:pPr>
        <w:pStyle w:val="Normal"/>
        <w:spacing w:before="200" w:after="80"/>
        <w:jc w:val="center"/>
        <w:rPr/>
      </w:pPr>
      <w:r>
        <w:rPr/>
        <w:drawing>
          <wp:inline distT="0" distB="0" distL="0" distR="0">
            <wp:extent cx="4953000" cy="2724150"/>
            <wp:effectExtent l="0" t="0" r="0" b="0"/>
            <wp:docPr id="3" name="Bil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ild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Obr. 3: Závislosť fázového posunu φ od frekvencie</w:t>
      </w:r>
    </w:p>
    <w:p>
      <w:pPr>
        <w:pStyle w:val="Normal"/>
        <w:spacing w:before="200" w:after="80"/>
        <w:jc w:val="center"/>
        <w:rPr/>
      </w:pPr>
      <w:r>
        <w:rPr/>
        <w:drawing>
          <wp:inline distT="0" distB="0" distL="0" distR="0">
            <wp:extent cx="4953000" cy="2724150"/>
            <wp:effectExtent l="0" t="0" r="0" b="0"/>
            <wp:docPr id="4" name="Bil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Bild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Obr. 4: Závislosť induktívnej reaktancie XL od frekvencie</w:t>
      </w:r>
    </w:p>
    <w:p>
      <w:pPr>
        <w:pStyle w:val="Normal"/>
        <w:spacing w:before="200" w:after="80"/>
        <w:jc w:val="center"/>
        <w:rPr/>
      </w:pPr>
      <w:r>
        <w:rPr/>
        <w:drawing>
          <wp:inline distT="0" distB="0" distL="0" distR="0">
            <wp:extent cx="4953000" cy="2724150"/>
            <wp:effectExtent l="0" t="0" r="0" b="0"/>
            <wp:docPr id="5" name="Bil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Bild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24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12" w:before="60" w:after="120"/>
        <w:jc w:val="center"/>
        <w:rPr/>
      </w:pPr>
      <w:r>
        <w:rPr>
          <w:rFonts w:eastAsia="Microsoft YaHei" w:ascii="Times New Roman" w:hAnsi="Times New Roman"/>
          <w:color w:val="606060"/>
          <w:sz w:val="21"/>
          <w:szCs w:val="21"/>
        </w:rPr>
        <w:t>Obr. 5: Závislosť Irms a Urms od frekvencie</w:t>
      </w:r>
    </w:p>
    <w:sectPr>
      <w:type w:val="nextPage"/>
      <w:pgSz w:w="11906" w:h="16838"/>
      <w:pgMar w:left="1238" w:right="1238" w:gutter="0" w:header="0" w:top="1319" w:footer="0" w:bottom="280"/>
      <w:pgBorders w:display="allPages"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360"/>
      </w:pPr>
      <w:rPr>
        <w:rFonts w:ascii="Arial" w:hAnsi="Arial" w:eastAsia="Arial"/>
        <w:b/>
        <w:bCs/>
        <w:w w:val="89"/>
        <w:sz w:val="24"/>
        <w:szCs w:val="24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sk-S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sk-SK" w:eastAsia="sk-SK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23fe"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qFormat/>
    <w:rsid w:val="00c823fe"/>
    <w:pPr>
      <w:ind w:hanging="326" w:start="391"/>
      <w:outlineLvl w:val="0"/>
    </w:pPr>
    <w:rPr>
      <w:rFonts w:ascii="Arial" w:hAnsi="Arial" w:eastAsia="Arial"/>
      <w:sz w:val="32"/>
      <w:szCs w:val="32"/>
    </w:rPr>
  </w:style>
  <w:style w:type="paragraph" w:styleId="Heading2">
    <w:name w:val="heading 2"/>
    <w:basedOn w:val="berschrift"/>
    <w:qFormat/>
    <w:pPr>
      <w:spacing w:lineRule="auto" w:line="312" w:before="240" w:after="120"/>
    </w:pPr>
    <w:rPr>
      <w:rFonts w:ascii="Times New Roman" w:hAnsi="Times New Roman" w:eastAsia="SimHei"/>
      <w:b/>
      <w:bCs/>
      <w:color w:val="333333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semiHidden/>
    <w:qFormat/>
    <w:rsid w:val="00c823fe"/>
    <w:pPr>
      <w:ind w:hanging="360" w:start="786"/>
    </w:pPr>
    <w:rPr>
      <w:rFonts w:ascii="Arial" w:hAnsi="Arial" w:eastAsia="Arial"/>
      <w:b/>
      <w:bCs/>
      <w:sz w:val="24"/>
      <w:szCs w:val="24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qFormat/>
    <w:rsid w:val="00c823fe"/>
    <w:pPr/>
    <w:rPr/>
  </w:style>
  <w:style w:type="paragraph" w:styleId="TableParagraph" w:customStyle="1">
    <w:name w:val="Table Paragraph"/>
    <w:basedOn w:val="Normal"/>
    <w:qFormat/>
    <w:rsid w:val="00c823fe"/>
    <w:pPr/>
    <w:rPr/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paragraph" w:styleId="Obr">
    <w:name w:val="Obr."/>
    <w:basedOn w:val="Caption"/>
    <w:qFormat/>
    <w:pPr/>
    <w:rPr/>
  </w:style>
  <w:style w:type="paragraph" w:styleId="Graf">
    <w:name w:val="Graf"/>
    <w:basedOn w:val="Caption"/>
    <w:qFormat/>
    <w:pPr/>
    <w:rPr/>
  </w:style>
  <w:style w:type="paragraph" w:styleId="Text">
    <w:name w:val="Text"/>
    <w:basedOn w:val="Caption"/>
    <w:qFormat/>
    <w:pPr/>
    <w:rPr/>
  </w:style>
  <w:style w:type="paragraph" w:styleId="Rahmeninhaltuser">
    <w:name w:val="Rahmeninhalt (user)"/>
    <w:basedOn w:val="Normal"/>
    <w:qFormat/>
    <w:pPr/>
    <w:rPr/>
  </w:style>
  <w:style w:type="paragraph" w:styleId="Rahmeninhalt">
    <w:name w:val="Rahmeninhalt"/>
    <w:basedOn w:val="Normal"/>
    <w:qFormat/>
    <w:pPr/>
    <w:rPr/>
  </w:style>
  <w:style w:type="numbering" w:styleId="KeineListe" w:default="1">
    <w:name w:val="Keine Liste"/>
    <w:uiPriority w:val="99"/>
    <w:semiHidden/>
    <w:unhideWhenUsed/>
    <w:qFormat/>
  </w:style>
  <w:style w:type="table" w:default="1" w:styleId="Normlnatabu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11" Type="http://schemas.openxmlformats.org/officeDocument/2006/relationships/image" Target="media/image6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Motív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Application>LibreOffice/26.2.1.2$Linux_X86_64 LibreOffice_project/8399f6259d8c87f40e7255cdb3c9b958f5e08948</Application>
  <AppVersion>15.0000</AppVersion>
  <Pages>8</Pages>
  <Words>2119</Words>
  <Characters>11151</Characters>
  <CharactersWithSpaces>12974</CharactersWithSpaces>
  <Paragraphs>325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2023-01-06T19:44:00Z</dcterms:created>
  <dc:creator>Fusion</dc:creator>
  <dc:description/>
  <dc:language>de-DE</dc:language>
  <cp:lastModifiedBy/>
  <cp:lastPrinted>2017-10-05T06:26:00Z</cp:lastPrinted>
  <dcterms:modified xsi:type="dcterms:W3CDTF">2026-04-12T11:39:08Z</dcterms:modified>
  <cp:revision>9</cp:revision>
  <dc:subject/>
  <dc:title>Stredná priemyselná škola elektrotechnická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2012-11-18T00:00:00Z</vt:filetime>
  </property>
  <property fmtid="{D5CDD505-2E9C-101B-9397-08002B2CF9AE}" pid="3" name="LastSaved">
    <vt:filetime>2014-01-23T00:00:00Z</vt:filetime>
  </property>
</Properties>
</file>