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Соболевский</w:t>
      </w:r>
      <w:r>
        <w:t xml:space="preserve"> </w:t>
      </w:r>
      <w:r>
        <w:t xml:space="preserve">Денис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Шифрование — это процесс кодирования информации с целью предотвращения несанкционированного доступа. В случае кражи или утечки зашифрованные данные будут недоступны для прочтения без соответствующего ключа.</w:t>
      </w:r>
    </w:p>
    <w:p>
      <w:pPr>
        <w:numPr>
          <w:ilvl w:val="0"/>
          <w:numId w:val="1002"/>
        </w:numPr>
      </w:pPr>
      <w:r>
        <w:t xml:space="preserve">Гаммирование - преобразование исходного (открытого) текста, при котором символы исходного текста складываются (по модулю, равному мощности алфавита) с символами псевдослучайной последовательности, вырабатываемой по определенному правилу.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Импортируем модули.</w:t>
      </w:r>
    </w:p>
    <w:p>
      <w:pPr>
        <w:pStyle w:val="CaptionedFigure"/>
      </w:pPr>
      <w:r>
        <w:drawing>
          <wp:inline>
            <wp:extent cx="2675823" cy="789271"/>
            <wp:effectExtent b="0" l="0" r="0" t="0"/>
            <wp:docPr descr="Импорт модулей" title="" id="24" name="Picture"/>
            <a:graphic>
              <a:graphicData uri="http://schemas.openxmlformats.org/drawingml/2006/picture">
                <pic:pic>
                  <pic:nvPicPr>
                    <pic:cNvPr descr="imag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Импорт модулей</w:t>
      </w:r>
    </w:p>
    <w:p>
      <w:pPr>
        <w:numPr>
          <w:ilvl w:val="0"/>
          <w:numId w:val="1004"/>
        </w:numPr>
        <w:pStyle w:val="Compact"/>
      </w:pPr>
      <w:r>
        <w:t xml:space="preserve">Напишем функцию для преобразования данных в шестнадцатеричный формат.</w:t>
      </w:r>
    </w:p>
    <w:p>
      <w:pPr>
        <w:pStyle w:val="CaptionedFigure"/>
      </w:pPr>
      <w:r>
        <w:drawing>
          <wp:inline>
            <wp:extent cx="5101389" cy="779646"/>
            <wp:effectExtent b="0" l="0" r="0" t="0"/>
            <wp:docPr descr="Первая функция" title="" id="27" name="Picture"/>
            <a:graphic>
              <a:graphicData uri="http://schemas.openxmlformats.org/drawingml/2006/picture">
                <pic:pic>
                  <pic:nvPicPr>
                    <pic:cNvPr descr="image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функция</w:t>
      </w:r>
    </w:p>
    <w:p>
      <w:pPr>
        <w:numPr>
          <w:ilvl w:val="0"/>
          <w:numId w:val="1005"/>
        </w:numPr>
        <w:pStyle w:val="Compact"/>
      </w:pPr>
      <w:r>
        <w:t xml:space="preserve">Напишем функцию для генерации ключа.</w:t>
      </w:r>
    </w:p>
    <w:p>
      <w:pPr>
        <w:pStyle w:val="CaptionedFigure"/>
      </w:pPr>
      <w:r>
        <w:drawing>
          <wp:inline>
            <wp:extent cx="5334000" cy="631031"/>
            <wp:effectExtent b="0" l="0" r="0" t="0"/>
            <wp:docPr descr="Вторая функция" title="" id="30" name="Picture"/>
            <a:graphic>
              <a:graphicData uri="http://schemas.openxmlformats.org/drawingml/2006/picture">
                <pic:pic>
                  <pic:nvPicPr>
                    <pic:cNvPr descr="image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функция</w:t>
      </w:r>
    </w:p>
    <w:p>
      <w:pPr>
        <w:numPr>
          <w:ilvl w:val="0"/>
          <w:numId w:val="1006"/>
        </w:numPr>
        <w:pStyle w:val="Compact"/>
      </w:pPr>
      <w:r>
        <w:t xml:space="preserve">Реализуем функцию для кодирования и декодирования данных.</w:t>
      </w:r>
    </w:p>
    <w:p>
      <w:pPr>
        <w:pStyle w:val="CaptionedFigure"/>
      </w:pPr>
      <w:r>
        <w:drawing>
          <wp:inline>
            <wp:extent cx="5334000" cy="729516"/>
            <wp:effectExtent b="0" l="0" r="0" t="0"/>
            <wp:docPr descr="Третья функция" title="" id="33" name="Picture"/>
            <a:graphic>
              <a:graphicData uri="http://schemas.openxmlformats.org/drawingml/2006/picture">
                <pic:pic>
                  <pic:nvPicPr>
                    <pic:cNvPr descr="image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функция</w:t>
      </w:r>
    </w:p>
    <w:p>
      <w:pPr>
        <w:numPr>
          <w:ilvl w:val="0"/>
          <w:numId w:val="1007"/>
        </w:numPr>
        <w:pStyle w:val="Compact"/>
      </w:pPr>
      <w:r>
        <w:t xml:space="preserve">Закодируем и декодируем сообщение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1554659"/>
            <wp:effectExtent b="0" l="0" r="0" t="0"/>
            <wp:docPr descr="Кодирование и декодирование собщение" title="" id="36" name="Picture"/>
            <a:graphic>
              <a:graphicData uri="http://schemas.openxmlformats.org/drawingml/2006/picture">
                <pic:pic>
                  <pic:nvPicPr>
                    <pic:cNvPr descr="image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Кодирование и декодирование собщение</w:t>
      </w:r>
    </w:p>
    <w:p>
      <w:pPr>
        <w:numPr>
          <w:ilvl w:val="0"/>
          <w:numId w:val="1008"/>
        </w:numPr>
        <w:pStyle w:val="Compact"/>
      </w:pPr>
      <w:r>
        <w:t xml:space="preserve">Получим ключ, с помощью которого получим сообщение</w:t>
      </w:r>
      <w:r>
        <w:t xml:space="preserve"> </w:t>
      </w:r>
      <w:r>
        <w:t xml:space="preserve">“</w:t>
      </w:r>
      <w:r>
        <w:t xml:space="preserve">С Новым годом, коллега</w:t>
      </w:r>
      <w:r>
        <w:t xml:space="preserve">”</w:t>
      </w:r>
      <w:r>
        <w:t xml:space="preserve">, вместо</w:t>
      </w:r>
      <w:r>
        <w:t xml:space="preserve"> </w:t>
      </w:r>
      <w:r>
        <w:t xml:space="preserve">“</w:t>
      </w:r>
      <w:r>
        <w:t xml:space="preserve">С Новым годом, друзья!</w:t>
      </w:r>
      <w:r>
        <w:t xml:space="preserve">”</w:t>
      </w:r>
      <w:r>
        <w:t xml:space="preserve"> </w:t>
      </w:r>
      <w:r>
        <w:t xml:space="preserve">при декодировании. Воспользуемся симметричностью кодирования.</w:t>
      </w:r>
    </w:p>
    <w:p>
      <w:pPr>
        <w:pStyle w:val="CaptionedFigure"/>
      </w:pPr>
      <w:r>
        <w:drawing>
          <wp:inline>
            <wp:extent cx="5334000" cy="1054474"/>
            <wp:effectExtent b="0" l="0" r="0" t="0"/>
            <wp:docPr descr="Получение ключа для другого прочтения открытого текста" title="" id="39" name="Picture"/>
            <a:graphic>
              <a:graphicData uri="http://schemas.openxmlformats.org/drawingml/2006/picture">
                <pic:pic>
                  <pic:nvPicPr>
                    <pic:cNvPr descr="image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ключа для другого прочтения открытого текста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было освоено на практике применение режима однократного гаммирования.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https://www.eset.com/ua-ru/support/information/entsiklopediya-ugroz/shifrovaniye/</w:t>
      </w:r>
    </w:p>
    <w:p>
      <w:pPr>
        <w:pStyle w:val="BodyText"/>
      </w:pPr>
      <w:r>
        <w:t xml:space="preserve">[2] https://www.finam.ru/publications/item/gammirovanie-20230628-2028/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Соболевский Денис Андреевич</dc:creator>
  <dc:language>ru-RU</dc:language>
  <cp:keywords/>
  <dcterms:created xsi:type="dcterms:W3CDTF">2023-10-21T18:29:54Z</dcterms:created>
  <dcterms:modified xsi:type="dcterms:W3CDTF">2023-10-21T18:29:54Z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False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Times New Roman</vt:lpwstr>
  </property>
  <property fmtid="{D5CDD505-2E9C-101B-9397-08002B2CF9AE}" pid="20" name="monofont">
    <vt:lpwstr>Courier New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sansfont">
    <vt:lpwstr>Arial</vt:lpwstr>
  </property>
  <property fmtid="{D5CDD505-2E9C-101B-9397-08002B2CF9AE}" pid="25" name="subtitle">
    <vt:lpwstr>Элементы криптографии. Однократное гаммирование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