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eastAsia="Malgun Gothic"/>
          <w:rFonts w:ascii="Malgun Gothic" w:hAnsi="Malgun Gothic"/>
          <w:b/>
          <w:sz w:val="36"/>
        </w:rPr>
        <w:t>LXH목동점 위탁판매 계약 종료</w:t>
        <w:br/>
        <w:t>채권 정산보고서</w:t>
      </w:r>
    </w:p>
    <w:p>
      <w:r>
        <w:t>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rFonts w:eastAsia="Malgun Gothic"/>
          <w:rFonts w:ascii="Malgun Gothic" w:hAnsi="Malgun Gothic"/>
          <w:b w:val="0"/>
          <w:color w:val="646464"/>
          <w:sz w:val="18"/>
        </w:rPr>
        <w:t>작성일: 2025년 9월 30일    작성자: 서다솔 (대리점파트)    문서구분: 채권대사 정산보고</w:t>
      </w:r>
    </w:p>
    <w:p>
      <w:pPr>
        <w:spacing w:before="240" w:after="80"/>
      </w:pPr>
      <w:r>
        <w:rPr>
          <w:rFonts w:eastAsia="Malgun Gothic"/>
          <w:rFonts w:ascii="Malgun Gothic" w:hAnsi="Malgun Gothic"/>
          <w:b/>
          <w:sz w:val="22"/>
        </w:rPr>
        <w:t>1. 목적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일룸 LXH목동점(투자형 B-Shop)의 위탁판매 대리점 계약이 2025년 9월 30일부로 종료됨에 따라,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위탁판매 계약 기간(2021년 4월 ~ 2025년 9월) 중 발생한 외상매출금 전체를 수주 대조하여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최종 채권 잔액을 정산하고 처리 방침을 보고함.</w:t>
      </w:r>
    </w:p>
    <w:p>
      <w:pPr>
        <w:spacing w:before="240" w:after="80"/>
      </w:pPr>
      <w:r>
        <w:rPr>
          <w:rFonts w:eastAsia="Malgun Gothic"/>
          <w:rFonts w:ascii="Malgun Gothic" w:hAnsi="Malgun Gothic"/>
          <w:b/>
          <w:sz w:val="22"/>
        </w:rPr>
        <w:t>2. 대리점 기본정보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대리점명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일룸 목동점 (LXH목동) — 투자형 B-Shop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대리점코드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61LM96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주소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서울 양천구 신월로 323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대표자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구한정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사업자등록번호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493-27-00631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계약 종료일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2025년 9월 30일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대조 기간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2021년 4월 ~ 2025년 9월 (계약 전 기간)</w:t>
            </w:r>
          </w:p>
        </w:tc>
      </w:tr>
    </w:tbl>
    <w:p>
      <w:pPr>
        <w:spacing w:before="240" w:after="80"/>
      </w:pPr>
      <w:r>
        <w:rPr>
          <w:rFonts w:eastAsia="Malgun Gothic"/>
          <w:rFonts w:ascii="Malgun Gothic" w:hAnsi="Malgun Gothic"/>
          <w:b/>
          <w:sz w:val="22"/>
        </w:rPr>
        <w:t>3. ERP ACC 외상매출금 수주 대조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대조 기간: 2021년 4월 ~ 2025년 10월  (단위: 원, VAT 포함)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252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5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금액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외상매출금 (a)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7,186,740,259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외상매출금 입금 (b)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7,037,963,889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SPC 결제수수료 (c)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149,047,373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반품수수료 잡이익 (d)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251,000</w:t>
            </w:r>
          </w:p>
        </w:tc>
      </w:tr>
      <w:tr>
        <w:tc>
          <w:tcPr>
            <w:tcW w:type="dxa" w:w="4252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B40000"/>
                <w:sz w:val="18"/>
              </w:rPr>
              <w:t>진여채권 (a-b-c+d)</w:t>
            </w:r>
          </w:p>
        </w:tc>
        <w:tc>
          <w:tcPr>
            <w:tcW w:type="dxa" w:w="4535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B40000"/>
                <w:sz w:val="18"/>
              </w:rPr>
              <w:t>△20,003</w:t>
            </w:r>
          </w:p>
        </w:tc>
      </w:tr>
    </w:tbl>
    <w:p>
      <w:pPr>
        <w:spacing w:after="40"/>
        <w:ind w:left="170"/>
      </w:pPr>
      <w:r>
        <w:rPr>
          <w:rFonts w:eastAsia="Malgun Gothic"/>
          <w:rFonts w:ascii="Malgun Gothic" w:hAnsi="Malgun Gothic"/>
          <w:b w:val="0"/>
          <w:color w:val="5A5A5A"/>
          <w:sz w:val="18"/>
        </w:rPr>
        <w:t>※ 진여채권 산정: 7,186,740,259 - 7,037,963,889 - 149,047,373 + 251,000 = △20,003원</w:t>
      </w:r>
    </w:p>
    <w:p>
      <w:pPr>
        <w:spacing w:after="40"/>
        <w:ind w:left="170"/>
      </w:pPr>
      <w:r>
        <w:rPr>
          <w:rFonts w:eastAsia="Malgun Gothic"/>
          <w:rFonts w:ascii="Malgun Gothic" w:hAnsi="Malgun Gothic"/>
          <w:b w:val="0"/>
          <w:color w:val="5A5A5A"/>
          <w:sz w:val="18"/>
        </w:rPr>
        <w:t>※ 외상매출금 중 2026-06 24,646,000원은 롯데구리점서브 오결제 이관 건 (거래처 이관 별도 처리, 하단 특이사항 참조)</w:t>
      </w:r>
    </w:p>
    <w:p>
      <w:pPr>
        <w:spacing w:before="240" w:after="80"/>
      </w:pPr>
      <w:r>
        <w:rPr>
          <w:rFonts w:eastAsia="Malgun Gothic"/>
          <w:rFonts w:ascii="Malgun Gothic" w:hAnsi="Malgun Gothic"/>
          <w:b/>
          <w:sz w:val="22"/>
        </w:rPr>
        <w:t>4. PG사 청구내역 vs ERP 대조 (연도별)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연도</w:t>
            </w:r>
          </w:p>
        </w:tc>
        <w:tc>
          <w:tcPr>
            <w:tcW w:type="dxa" w:w="2551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정산대상액 (PG 청구)</w:t>
            </w:r>
          </w:p>
        </w:tc>
        <w:tc>
          <w:tcPr>
            <w:tcW w:type="dxa" w:w="2551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실지급액</w:t>
            </w:r>
          </w:p>
        </w:tc>
        <w:tc>
          <w:tcPr>
            <w:tcW w:type="dxa" w:w="2268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결제수수료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1,202,777,551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1,178,253,148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24,524,403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1,546,909,261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1,515,795,249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31,114,012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1,599,294,047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1,565,444,315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33,849,732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1,594,859,930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1,562,509,549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32,350,381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1,243,170,473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1,215,961,628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27,208,845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합계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7,187,011,262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7,037,963,889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149,047,373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ERP 외상매출금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7,186,740,259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B40000"/>
                <w:sz w:val="18"/>
              </w:rPr>
              <w:t>차이 (ERP-PG)</w:t>
            </w:r>
          </w:p>
        </w:tc>
        <w:tc>
          <w:tcPr>
            <w:tcW w:type="dxa" w:w="2551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B40000"/>
                <w:sz w:val="18"/>
              </w:rPr>
              <w:t>△271,003</w:t>
            </w:r>
          </w:p>
        </w:tc>
        <w:tc>
          <w:tcPr>
            <w:tcW w:type="dxa" w:w="2551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→ 잡이익 처리</w:t>
            </w:r>
          </w:p>
        </w:tc>
      </w:tr>
    </w:tbl>
    <w:p>
      <w:pPr>
        <w:spacing w:before="240" w:after="80"/>
      </w:pPr>
      <w:r>
        <w:rPr>
          <w:rFonts w:eastAsia="Malgun Gothic"/>
          <w:rFonts w:ascii="Malgun Gothic" w:hAnsi="Malgun Gothic"/>
          <w:b/>
          <w:sz w:val="22"/>
        </w:rPr>
        <w:t>5. 잔여채권 / 미수금 정산 처리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87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17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계정과목</w:t>
            </w:r>
          </w:p>
        </w:tc>
        <w:tc>
          <w:tcPr>
            <w:tcW w:type="dxa" w:w="1134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차변 (원)</w:t>
            </w:r>
          </w:p>
        </w:tc>
        <w:tc>
          <w:tcPr>
            <w:tcW w:type="dxa" w:w="1134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대변 (원)</w:t>
            </w:r>
          </w:p>
        </w:tc>
        <w:tc>
          <w:tcPr>
            <w:tcW w:type="dxa" w:w="1417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거래처</w:t>
            </w:r>
          </w:p>
        </w:tc>
        <w:tc>
          <w:tcPr>
            <w:tcW w:type="dxa" w:w="2098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PG사 환급금</w:t>
              <w:br/>
              <w:t>(역환)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외상매출금1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LXH목동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역환금액 없음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보통예금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섹타나인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1587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잔여채권 정리</w:t>
            </w:r>
          </w:p>
        </w:tc>
        <w:tc>
          <w:tcPr>
            <w:tcW w:type="dxa" w:w="1417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외상매출금1</w:t>
            </w:r>
          </w:p>
        </w:tc>
        <w:tc>
          <w:tcPr>
            <w:tcW w:type="dxa" w:w="1134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B40000"/>
                <w:sz w:val="18"/>
              </w:rPr>
              <w:t>20,003</w:t>
            </w:r>
          </w:p>
        </w:tc>
        <w:tc>
          <w:tcPr>
            <w:tcW w:type="dxa" w:w="1134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LXH목동</w:t>
            </w:r>
          </w:p>
        </w:tc>
        <w:tc>
          <w:tcPr>
            <w:tcW w:type="dxa" w:w="2098"/>
            <w:vAlign w:val="center"/>
            <w:shd w:val="clear" w:color="auto" w:fill="FFF0F0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잡이익 처리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잡이익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B40000"/>
                <w:sz w:val="18"/>
              </w:rPr>
              <w:t>20,003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</w:r>
          </w:p>
        </w:tc>
      </w:tr>
    </w:tbl>
    <w:p>
      <w:pPr>
        <w:spacing w:after="40"/>
        <w:ind w:left="170"/>
      </w:pPr>
      <w:r>
        <w:rPr>
          <w:rFonts w:eastAsia="Malgun Gothic"/>
          <w:rFonts w:ascii="Malgun Gothic" w:hAnsi="Malgun Gothic"/>
          <w:b w:val="0"/>
          <w:color w:val="5A5A5A"/>
          <w:sz w:val="18"/>
        </w:rPr>
        <w:t>※ 해당 보고서 및 전표를 통하여 신도림3(구 LXH목동 계정)에 대한 최종 채권 정리 및 코드 폐쇄 예정</w:t>
      </w:r>
    </w:p>
    <w:p>
      <w:pPr>
        <w:spacing w:before="240" w:after="80"/>
      </w:pPr>
      <w:r>
        <w:rPr>
          <w:rFonts w:eastAsia="Malgun Gothic"/>
          <w:rFonts w:ascii="Malgun Gothic" w:hAnsi="Malgun Gothic"/>
          <w:b/>
          <w:sz w:val="22"/>
        </w:rPr>
        <w:t>6. 특이사항 — 롯데구리점서브 오결제 이관 건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롯데구리점서브 전시품 수주 결제건(2025-05)이 LXH목동 단말기로 처리되어,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해당 결제금액이 LXH목동 계정에 귀속된 건으로, 별도 거래처 이관 정정 처리함.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333333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이관 금액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24,646,000원 (5건)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원인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동일 점주 복수 매장 운영 — LXH목동 단말기로 롯데구리 수주 결제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처리 방법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거래처 이관 정정 (LXH목동 → 롯데구리점서브)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처리 시기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2026년 6월 (Connect+ 시스템 이관 의뢰)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sz w:val="18"/>
              </w:rPr>
              <w:t>비고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eastAsia="Malgun Gothic"/>
                <w:rFonts w:ascii="Malgun Gothic" w:hAnsi="Malgun Gothic"/>
                <w:b w:val="0"/>
                <w:sz w:val="18"/>
              </w:rPr>
              <w:t>채권 정산보고서 대조 범위 외 항목으로 별도 관리</w:t>
            </w:r>
          </w:p>
        </w:tc>
      </w:tr>
    </w:tbl>
    <w:p>
      <w:pPr>
        <w:spacing w:before="240" w:after="80"/>
      </w:pPr>
      <w:r>
        <w:rPr>
          <w:rFonts w:eastAsia="Malgun Gothic"/>
          <w:rFonts w:ascii="Malgun Gothic" w:hAnsi="Malgun Gothic"/>
          <w:b/>
          <w:sz w:val="22"/>
        </w:rPr>
        <w:t>7. 요청사항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1) 잔여채권(△20,003원) 잡이익 처리 전표 승인 → 일룸 재경팀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2) 신도림3 (구 LXH목동 계정, 61LM06) 코드 폐쇄 처리 → 일룸 재경팀</w:t>
      </w:r>
    </w:p>
    <w:p>
      <w:pPr>
        <w:spacing w:after="40"/>
        <w:ind w:left="170"/>
      </w:pPr>
      <w:r>
        <w:rPr>
          <w:rFonts w:eastAsia="Malgun Gothic"/>
          <w:rFonts w:ascii="Malgun Gothic" w:hAnsi="Malgun Gothic"/>
          <w:b w:val="0"/>
          <w:color w:val="5A5A5A"/>
          <w:sz w:val="18"/>
        </w:rPr>
        <w:t xml:space="preserve">   • 계약 종료 매장으로 추가 수주 없음, 잔여 채권 정리 완료 후 계정 폐쇄 요청</w:t>
      </w:r>
    </w:p>
    <w:p>
      <w:pPr>
        <w:spacing w:before="240" w:after="80"/>
      </w:pPr>
      <w:r>
        <w:rPr>
          <w:rFonts w:eastAsia="Malgun Gothic"/>
          <w:rFonts w:ascii="Malgun Gothic" w:hAnsi="Malgun Gothic"/>
          <w:b/>
          <w:sz w:val="22"/>
        </w:rPr>
        <w:t>8. 첨부자료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1) (채권대사) LXH목동점 V.2 — ERP ACC / 청구내역 / 지급내역 / 미결초과 상세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2) 거래처별보조원장_LXH목동(61LM96)_260615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3) 거래처별원장_LXH목동(61LM96)_260615</w:t>
      </w:r>
    </w:p>
    <w:p>
      <w:pPr>
        <w:spacing w:after="40"/>
      </w:pPr>
      <w:r>
        <w:rPr>
          <w:rFonts w:eastAsia="Malgun Gothic"/>
          <w:rFonts w:ascii="Malgun Gothic" w:hAnsi="Malgun Gothic"/>
          <w:b w:val="0"/>
          <w:sz w:val="20"/>
        </w:rPr>
        <w:t>4) (채권대사) 롯데구리점서브 오결제 이관 정산 관련 자료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