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color w:val="1A1A1A"/>
          <w:sz w:val="16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20" w:after="200"/>
      </w:pPr>
      <w:r>
        <w:rPr>
          <w:rFonts w:ascii="맑은 고딕" w:hAnsi="맑은 고딕" w:eastAsia="맑은 고딕"/>
          <w:b/>
          <w:i w:val="0"/>
          <w:color w:val="1A1A1A"/>
          <w:sz w:val="36"/>
        </w:rPr>
        <w:t>온라인 행사  매출기여 보전 프로그램 안내</w:t>
      </w:r>
    </w:p>
    <w:p>
      <w:pPr>
        <w:spacing w:before="0" w:after="0"/>
      </w:pPr>
    </w:p>
    <w:p>
      <w:pPr>
        <w:spacing w:before="280" w:after="10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■  보전 대상 기준</w:t>
      </w:r>
    </w:p>
    <w:p>
      <w:pPr>
        <w:spacing w:before="20" w:after="60"/>
      </w:pPr>
      <w:r>
        <w:rPr>
          <w:rFonts w:ascii="맑은 고딕" w:hAnsi="맑은 고딕" w:eastAsia="맑은 고딕"/>
          <w:b w:val="0"/>
          <w:i w:val="0"/>
          <w:color w:val="1A1A1A"/>
          <w:sz w:val="20"/>
        </w:rPr>
        <w:t>아래 조건을 모두 충족하는 경우 보전 대상으로 인정됩니다.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수주 등록 시점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온라인 행사 공지일 전일(D-1)까지 등록된 수주건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취소 사유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해당 온라인 행사 기간 중 취소된 건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고객 동일 여부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고객명  +  거주 동(洞)  +  휴대폰 뒷 4자리  3가지 일치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품목 동일 여부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동일 시리즈 + 동일 품목 타입 (사이즈·색상 차이는 인정)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납기 기준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행사 종료일로부터 1개월 이내 납기 완료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보전율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온라인 결제액의 5%</w:t>
            </w:r>
          </w:p>
        </w:tc>
      </w:tr>
    </w:tbl>
    <w:p>
      <w:pPr>
        <w:spacing w:before="0" w:after="0"/>
      </w:pPr>
    </w:p>
    <w:p>
      <w:pPr>
        <w:spacing w:before="280" w:after="10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■  품목 인정 기준 상세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[인정]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대리점 수주 → 쿠시노 1100폭, 에디키즈 장난감수납장</w:t>
              <w:br/>
              <w:t>온라인 수주 → 쿠시노 1500폭, 에디키즈 베이비장 세트</w:t>
            </w:r>
          </w:p>
        </w:tc>
        <w:tc>
          <w:tcPr>
            <w:tcW w:type="dxa" w:w="2381"/>
            <w:shd w:val="clear" w:color="auto" w:fill="FAFAFA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▶ 매출기여 인정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[불인정]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대리점 수주 → 학생방 공용침대, 로이 5단 모션데스크 세트</w:t>
              <w:br/>
              <w:t>온라인 수주 → 멘디 모션패키지</w:t>
            </w:r>
          </w:p>
        </w:tc>
        <w:tc>
          <w:tcPr>
            <w:tcW w:type="dxa" w:w="2381"/>
            <w:shd w:val="clear" w:color="auto" w:fill="FAFAFA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▶ 매출기여 불인정</w:t>
            </w:r>
          </w:p>
        </w:tc>
      </w:tr>
      <w:tr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[부분인정]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대리점 수주 → 바젤SS, 로이 6단 다리형 책상세트</w:t>
              <w:br/>
              <w:t>온라인 수주 → 반트SS, 로이 5단 다리형 책상세트</w:t>
            </w:r>
          </w:p>
        </w:tc>
        <w:tc>
          <w:tcPr>
            <w:tcW w:type="dxa" w:w="2381"/>
            <w:shd w:val="clear" w:color="auto" w:fill="FAFAFA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▶ 로이 5단 다리형 책상세트만 인정  (바젤SS ↔ 반트SS는 다른 시리즈로 불인정)</w:t>
            </w:r>
          </w:p>
        </w:tc>
      </w:tr>
    </w:tbl>
    <w:p>
      <w:pPr>
        <w:spacing w:before="0" w:after="0"/>
      </w:pPr>
    </w:p>
    <w:p>
      <w:pPr>
        <w:spacing w:before="280" w:after="10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■  매칭 프로세스</w:t>
      </w:r>
    </w:p>
    <w:p>
      <w:pPr>
        <w:spacing w:before="20" w:after="60"/>
      </w:pPr>
      <w:r>
        <w:rPr>
          <w:rFonts w:ascii="맑은 고딕" w:hAnsi="맑은 고딕" w:eastAsia="맑은 고딕"/>
          <w:b w:val="0"/>
          <w:i w:val="0"/>
          <w:color w:val="1A1A1A"/>
          <w:sz w:val="20"/>
        </w:rPr>
        <w:t>대리점에서 별도로 신청하실 필요가 없습니다. 본사에서 데이터를 수집하여 자동으로 처리합니다.</w:t>
      </w:r>
    </w:p>
    <w:p>
      <w:pPr>
        <w:spacing w:before="20" w:after="60"/>
      </w:pPr>
      <w:r>
        <w:rPr>
          <w:rFonts w:ascii="맑은 고딕" w:hAnsi="맑은 고딕" w:eastAsia="맑은 고딕"/>
          <w:b w:val="0"/>
          <w:i w:val="0"/>
          <w:color w:val="1A1A1A"/>
          <w:sz w:val="20"/>
        </w:rPr>
        <w:t>단, 아내 이름으로 오프라인 수주 후 남편 이름으로 온라인 수주를 진행한 경우처럼 고객명이 달라 자동 매칭이 되지 않더라도, 의심되는 건이 있으면 대리점에서 소명해 주시면 확인 후 예외 적용해 드리겠습니다.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1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행사 등록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본사가 온라인 행사 정보(행사명, 기간, 채널, 대상 품목)를 시스템에 등록합니다.</w:t>
            </w:r>
          </w:p>
        </w:tc>
      </w:tr>
      <w:tr>
        <w:tc>
          <w:tcPr>
            <w:tcW w:type="dxa" w:w="1134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2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데이터 수집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행사 종료 후, 행사 기간 내 오프라인 취소건과 온라인 수주건을 자동 추출합니다.</w:t>
            </w:r>
          </w:p>
        </w:tc>
      </w:tr>
      <w:tr>
        <w:tc>
          <w:tcPr>
            <w:tcW w:type="dxa" w:w="1134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3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고객 자동 매칭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고객명 + 거주 동(洞) + 휴대폰 뒷 4자리로 동일 고객을 특정합니다.</w:t>
            </w:r>
          </w:p>
        </w:tc>
      </w:tr>
      <w:tr>
        <w:tc>
          <w:tcPr>
            <w:tcW w:type="dxa" w:w="1134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4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품목 자동 검증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시리즈·품목을 자동 비교합니다.</w:t>
              <w:br/>
              <w:t xml:space="preserve">  완전 일치 → 자동 인정</w:t>
              <w:br/>
              <w:t xml:space="preserve">  시리즈·품목 동일, 세부 사양 상이 → 담당자 확인 후 결정</w:t>
              <w:br/>
              <w:t xml:space="preserve">  시리즈 불일치 → 자동 불인정</w:t>
            </w:r>
          </w:p>
        </w:tc>
      </w:tr>
      <w:tr>
        <w:tc>
          <w:tcPr>
            <w:tcW w:type="dxa" w:w="1134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5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보전금 산정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인정된 품목의 온라인 결제액 합계 × 5%를 산정합니다.</w:t>
            </w:r>
          </w:p>
        </w:tc>
      </w:tr>
      <w:tr>
        <w:tc>
          <w:tcPr>
            <w:tcW w:type="dxa" w:w="1134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STEP 6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정산 처리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보전금이 확정되면 해당 월 위탁수수료에 포함하여 지급됩니다.</w:t>
              <w:br/>
              <w:t>결과 통보 후 이의제기가 있는 경우, 검토 후 익월 정산에 반영됩니다.</w:t>
            </w:r>
          </w:p>
        </w:tc>
      </w:tr>
    </w:tbl>
    <w:p>
      <w:pPr>
        <w:spacing w:before="0" w:after="0"/>
      </w:pPr>
    </w:p>
    <w:p>
      <w:pPr>
        <w:spacing w:before="280" w:after="10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■  기존 진행건 소급 적용</w:t>
      </w:r>
    </w:p>
    <w:p>
      <w:pPr>
        <w:spacing w:before="20" w:after="60"/>
      </w:pPr>
      <w:r>
        <w:rPr>
          <w:rFonts w:ascii="맑은 고딕" w:hAnsi="맑은 고딕" w:eastAsia="맑은 고딕"/>
          <w:b w:val="0"/>
          <w:i w:val="0"/>
          <w:color w:val="1A1A1A"/>
          <w:sz w:val="20"/>
        </w:rPr>
        <w:t>제도 시행(2026년 5월) 이후 이미 종료된 온라인 행사 2건에 대해 소급 적용됩니다. 해당 행사에서 발생한 오프라인 취소건은 위 기준에 따라 자동 검토되며, 결과는 개별 통보드립니다.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행사명</w:t>
            </w:r>
          </w:p>
        </w:tc>
        <w:tc>
          <w:tcPr>
            <w:tcW w:type="dxa" w:w="2268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수주기간</w:t>
            </w:r>
          </w:p>
        </w:tc>
        <w:tc>
          <w:tcPr>
            <w:tcW w:type="dxa" w:w="1984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납기 인정 기한</w:t>
            </w:r>
          </w:p>
        </w:tc>
        <w:tc>
          <w:tcPr>
            <w:tcW w:type="dxa" w:w="1701"/>
            <w:shd w:val="clear" w:color="auto" w:fill="333333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정산 예정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네이버 쿠시노 10주년 라이브</w:t>
              <w:br/>
              <w:t>(5/15, 5/24)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2026년 5월 5일</w:t>
              <w:br/>
              <w:t>~ 5월 24일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~ 2026년</w:t>
              <w:br/>
              <w:t>6월 24일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2026년 7월</w:t>
              <w:br/>
              <w:t>위탁수수료 반영</w:t>
              <w:br/>
              <w:t>(시스템 개발중으로</w:t>
              <w:br/>
              <w:t>6월→7월 반영 예정)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네이버 퍼시스 패밀리 페스타 라이브</w:t>
              <w:br/>
              <w:t>(6/1·2, 앵콜 6/7·8)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2026년 5월 28일</w:t>
              <w:br/>
              <w:t>~ 6월 8일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~ 2026년</w:t>
              <w:br/>
              <w:t>7월 8일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2026년 8월</w:t>
              <w:br/>
              <w:t>위탁수수료 반영</w:t>
            </w:r>
          </w:p>
        </w:tc>
      </w:tr>
    </w:tbl>
    <w:p>
      <w:pPr>
        <w:spacing w:before="0" w:after="0"/>
      </w:pPr>
    </w:p>
    <w:p>
      <w:pPr>
        <w:spacing w:before="80" w:after="80"/>
        <w:ind w:left="227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※ 납기 인정 기한 이내에 납기가 완료된 건에 한하여 정산됩니다. 납기 초과 시 해당 건은 보전 대상에서 제외됩니다.</w:t>
      </w:r>
    </w:p>
    <w:p>
      <w:pPr>
        <w:spacing w:before="280" w:after="10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■  정산 방식 및 시기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납기 인정 기한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행사 종료일 기준 1개월 이내 납기 완료건에 한함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정산 시점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납기 인정 기한 이후 익월 초 검수, 해당 월 위탁수수료에 반영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지급 방식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위탁수수료에 포함하여 지급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정산 단위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행사별 1회 처리 (월별 반복 정산 아님)</w:t>
            </w:r>
          </w:p>
        </w:tc>
      </w:tr>
    </w:tbl>
    <w:p>
      <w:pPr>
        <w:spacing w:before="0" w:after="0"/>
      </w:pPr>
    </w:p>
    <w:p>
      <w:pPr>
        <w:spacing w:before="80" w:after="80"/>
        <w:ind w:left="227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※ 예시: 행사 종료일 5월 24일 → 납기 인정 기한 6월 24일 → 6월 24일 이전 납기 완료건은 7월 정산</w:t>
      </w:r>
    </w:p>
    <w:p>
      <w:pPr>
        <w:spacing w:before="280" w:after="100"/>
      </w:pPr>
      <w:r>
        <w:rPr>
          <w:rFonts w:ascii="맑은 고딕" w:hAnsi="맑은 고딕" w:eastAsia="맑은 고딕"/>
          <w:b/>
          <w:i w:val="0"/>
          <w:color w:val="1A1A1A"/>
          <w:sz w:val="24"/>
        </w:rPr>
        <w:t>■  이의제기 안내</w:t>
      </w:r>
    </w:p>
    <w:p>
      <w:pPr>
        <w:spacing w:before="20" w:after="60"/>
      </w:pPr>
      <w:r>
        <w:rPr>
          <w:rFonts w:ascii="맑은 고딕" w:hAnsi="맑은 고딕" w:eastAsia="맑은 고딕"/>
          <w:b w:val="0"/>
          <w:i w:val="0"/>
          <w:color w:val="1A1A1A"/>
          <w:sz w:val="20"/>
        </w:rPr>
        <w:t>결과 통보 후 내용에 이견이 있는 경우 담당 영업관리자에게 이의를 제기하실 수 있습니다.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이의제기 기한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결과 통보 후 14일 이내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제기 방법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담당 영업관리자에게 연락 (이메일 또는 슬랙)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필요 자료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해당 수주 관련 증빙 (고객 상담 이력, 수주서 등)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rFonts w:ascii="맑은 고딕" w:hAnsi="맑은 고딕" w:eastAsia="맑은 고딕"/>
                <w:b/>
                <w:i w:val="0"/>
                <w:color w:val="1A1A1A"/>
                <w:sz w:val="20"/>
              </w:rPr>
              <w:t>반영 시점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이의제기 확인 및 검토 후 익월 정산에 반영</w:t>
            </w:r>
          </w:p>
        </w:tc>
      </w:tr>
    </w:tbl>
    <w:p>
      <w:pPr>
        <w:spacing w:before="0" w:after="0"/>
      </w:pPr>
    </w:p>
    <w:p>
      <w:pPr>
        <w:spacing w:before="80" w:after="80"/>
        <w:ind w:left="227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※ 이의제기가 인정되는 경우: 시스템상 미매칭된 건이나 담당자 직접 확인(호수 등)으로 동일 고객임이 소명된 경우</w:t>
      </w:r>
    </w:p>
    <w:p>
      <w:pPr>
        <w:spacing w:before="0" w:after="0"/>
      </w:pPr>
    </w:p>
    <w:p>
      <w:pPr>
        <w:spacing w:before="120" w:after="80"/>
      </w:pPr>
      <w:r>
        <w:rPr>
          <w:rFonts w:ascii="맑은 고딕" w:hAnsi="맑은 고딕" w:eastAsia="맑은 고딕"/>
          <w:b w:val="0"/>
          <w:i w:val="0"/>
          <w:color w:val="1A1A1A"/>
          <w:sz w:val="16"/>
        </w:rPr>
        <w:t>━━━━━━━━━━━━━━━━━━━━━━━━━━━━━━━━━━━━━━━━━━━━━━━━━━━━━━━━━━━━━━━━━</w:t>
      </w:r>
    </w:p>
    <w:p>
      <w:r>
        <w:rPr>
          <w:rFonts w:ascii="맑은 고딕" w:hAnsi="맑은 고딕" w:eastAsia="맑은 고딕"/>
          <w:b w:val="0"/>
          <w:i w:val="0"/>
          <w:color w:val="888888"/>
          <w:sz w:val="18"/>
        </w:rPr>
        <w:t>문의  |  대리점파트 서다솔  ·  dasol_seo@fursys.com</w:t>
      </w:r>
    </w:p>
    <w:p>
      <w:r>
        <w:rPr>
          <w:rFonts w:ascii="맑은 고딕" w:hAnsi="맑은 고딕" w:eastAsia="맑은 고딕"/>
          <w:b w:val="0"/>
          <w:i w:val="0"/>
          <w:color w:val="888888"/>
          <w:sz w:val="16"/>
        </w:rPr>
        <w:t>본 공지는 2026년 영업지원제도(품의26-03-00266) 기반이며, 최종 확정 내용은 별도 안내드립니다.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