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Date: July 11, 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Summary: A runthrough of the design of alert system was done in the Awarehome, the subject was a middle-aged man (30-50 year range). He was walked through the Use Cases 1, 2, and 5 and was simulated through the process through instruction by voice. The grooveOpen.wav, grooveEnd.wav, and the ambientAlert3.wav was played manually when the subject turned on the stove, turned off the stove, during the simulated time of 10min intervals, and when the door was opened with the burner on.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Feedback: When the subject opened the door, the sound from the streets were too loud for the subject to hear the alert sound. The subject asked for a more demanding alert that would get his attention more. A default sound was needed for standardization of the sound system. The length of the sound might be too long for alerting</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