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Healthcare Insurance Claims Fraud Detection AI Platform</w:t>
      </w:r>
    </w:p>
    <w:p>
      <w:pPr>
        <w:jc w:val="center"/>
      </w:pPr>
      <w:r>
        <w:rPr>
          <w:i/>
          <w:sz w:val="22"/>
        </w:rPr>
        <w:t>Technical Project Notes, Implementation Guide &amp; End-to-End Workflow</w:t>
      </w:r>
    </w:p>
    <w:p/>
    <w:p>
      <w:pPr>
        <w:jc w:val="center"/>
      </w:pPr>
      <w:r>
        <w:t>End-to-end workflow notes</w:t>
      </w:r>
    </w:p>
    <w:p>
      <w:pPr>
        <w:pStyle w:val="Heading1"/>
      </w:pPr>
      <w:r>
        <w:t>1. Project Overview</w:t>
      </w:r>
    </w:p>
    <w:p>
      <w:r>
        <w:t>This project combines structured healthcare claims analysis, rule-based checks, anomaly detection, explainability, policy-document retrieval, a large language model (LLM), and a Streamlit interface.</w:t>
      </w:r>
    </w:p>
    <w:p>
      <w:pPr>
        <w:pStyle w:val="ListBullet"/>
      </w:pPr>
      <w:r>
        <w:t>Prioritize claims for investigation using interpretable rules and anomaly signals.</w:t>
      </w:r>
    </w:p>
    <w:p>
      <w:pPr>
        <w:pStyle w:val="ListBullet"/>
      </w:pPr>
      <w:r>
        <w:t>Explain the evidence behind each risk flag.</w:t>
      </w:r>
    </w:p>
    <w:p>
      <w:pPr>
        <w:pStyle w:val="ListBullet"/>
      </w:pPr>
      <w:r>
        <w:t>Retrieve relevant policy and procedure passages to support investigation.</w:t>
      </w:r>
    </w:p>
    <w:p>
      <w:pPr>
        <w:pStyle w:val="ListBullet"/>
      </w:pPr>
      <w:r>
        <w:t>Generate a dynamic, evidence-grounded narrative for the investigator.</w:t>
      </w:r>
    </w:p>
    <w:p>
      <w:pPr>
        <w:pStyle w:val="Heading1"/>
      </w:pPr>
      <w:r>
        <w:t>2. Raw Data Files and Purpose</w:t>
      </w:r>
    </w:p>
    <w:p>
      <w:r>
        <w:t>The workflow starts with CSV datasets that represent different parts of the claims process. The files are connected primarily through identifiers such as claim_id, member_id, and provider_id.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5"/>
              </w:rPr>
              <w:t>Dataset group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Claims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Claim identifiers, dates, billed/allowed/paid amounts, and status.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Claim line items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Procedure codes, units, and line-level amounts.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Members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Member attributes associated with claims.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Providers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Provider identifiers, specialty, network status, and related attributes.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Procedures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Reference information for procedure codes.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Claim labels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Reference labels used by evaluation.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Claim denial reasons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Claim-linked denial details.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Denial reason catalog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Descriptions of denial codes.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Claim status history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Timeline of status changes.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Claim payments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Payments associated with claims.</w:t>
            </w:r>
          </w:p>
        </w:tc>
      </w:tr>
    </w:tbl>
    <w:p/>
    <w:p>
      <w:r>
        <w:t>Recorded project load sizes included 60,000 claims, 60,800 line items, 5,000 members, 300 providers, 100 procedures, 161,009 status-history records, and 59,079 payment records.</w:t>
      </w:r>
    </w:p>
    <w:p>
      <w:pPr>
        <w:pStyle w:val="Heading1"/>
      </w:pPr>
      <w:r>
        <w:t>3. Data Loading and Validation</w:t>
      </w:r>
    </w:p>
    <w:p>
      <w:r>
        <w:t>The pipeline loads the required CSV files and checks that expected columns are available before downstream processing.</w:t>
      </w:r>
    </w:p>
    <w:p>
      <w:pPr>
        <w:pStyle w:val="ListBullet"/>
      </w:pPr>
      <w:r>
        <w:t>Check files, row counts, column names, data types, and missing values.</w:t>
      </w:r>
    </w:p>
    <w:p>
      <w:pPr>
        <w:pStyle w:val="ListBullet"/>
      </w:pPr>
      <w:r>
        <w:t>Validate key identifiers and joins between claims, members, providers, line items, and payments.</w:t>
      </w:r>
    </w:p>
    <w:p>
      <w:pPr>
        <w:pStyle w:val="ListBullet"/>
      </w:pPr>
      <w:r>
        <w:t>Parse dates consistently and check monetary or unit fields for invalid values.</w:t>
      </w:r>
    </w:p>
    <w:p>
      <w:r>
        <w:t>Incorrect joins, missing identifiers, inconsistent types, or invalid amounts can distort both fraud signals and evaluation results.</w:t>
      </w:r>
    </w:p>
    <w:p>
      <w:pPr>
        <w:pStyle w:val="Heading1"/>
      </w:pPr>
      <w:r>
        <w:t>4. Feature Engineering and Claim Signals</w:t>
      </w:r>
    </w:p>
    <w:p>
      <w:r>
        <w:t>The fraud engine uses claim and line-item information to derive indicators of unusual billing, duplication, quantity issues, provider patterns, timing anomalies, and inconsistencies.</w:t>
      </w:r>
    </w:p>
    <w:p>
      <w:pPr>
        <w:pStyle w:val="ListBullet"/>
      </w:pPr>
      <w:r>
        <w:t>Amount-related signals: unusually high billed amounts and ratios to reference amounts where available.</w:t>
      </w:r>
    </w:p>
    <w:p>
      <w:pPr>
        <w:pStyle w:val="ListBullet"/>
      </w:pPr>
      <w:r>
        <w:t>Quantity signals: unusually high units for a procedure.</w:t>
      </w:r>
    </w:p>
    <w:p>
      <w:pPr>
        <w:pStyle w:val="ListBullet"/>
      </w:pPr>
      <w:r>
        <w:t>Duplicate signals: repeated or potentially duplicate claims.</w:t>
      </w:r>
    </w:p>
    <w:p>
      <w:pPr>
        <w:pStyle w:val="ListBullet"/>
      </w:pPr>
      <w:r>
        <w:t>Provider-pattern signals: billing behavior that differs from the expected pattern.</w:t>
      </w:r>
    </w:p>
    <w:p>
      <w:pPr>
        <w:pStyle w:val="ListBullet"/>
      </w:pPr>
      <w:r>
        <w:t>Timing signals: unusual relationships between service and submission dates.</w:t>
      </w:r>
    </w:p>
    <w:p>
      <w:pPr>
        <w:pStyle w:val="ListBullet"/>
      </w:pPr>
      <w:r>
        <w:t>Consistency signals: mismatches between claim totals and line-item totals.</w:t>
      </w:r>
    </w:p>
    <w:p>
      <w:r>
        <w:t>A flag is an indicator for review, not proof that fraud occurred.</w:t>
      </w:r>
    </w:p>
    <w:p>
      <w:pPr>
        <w:pStyle w:val="Heading1"/>
      </w:pPr>
      <w:r>
        <w:t>5. Hybrid Fraud Detection Engine</w:t>
      </w:r>
    </w:p>
    <w:p>
      <w:r>
        <w:t>The solution combines interpretable business rules with Isolation Forest anomaly detection. Rules capture known patterns; Isolation Forest can identify observations that differ from the broader feature distribution.</w:t>
      </w:r>
    </w:p>
    <w:p>
      <w:r>
        <w:t>Configured Isolation Forest settings: 200 estimators, contamination 0.03, random_state 42. The contamination setting influences the expected anomaly proportion; it does not establish that those records are fraudulent.</w:t>
      </w:r>
    </w:p>
    <w:p>
      <w:r>
        <w:t>Implemented rule checks include: rule_duplicate_claim, rule_high_amount, rule_excessive_units, rule_provider_billing_outlier, rule_negative_submission_lag, and rule_line_amount_mismatch.</w:t>
      </w:r>
    </w:p>
    <w:p>
      <w:pPr>
        <w:pStyle w:val="Heading1"/>
      </w:pPr>
      <w:r>
        <w:t>6. Risk Scoring and Investigation Queue</w:t>
      </w:r>
    </w:p>
    <w:p>
      <w:r>
        <w:t>The scoring workflow combines rule evidence and the ML anomaly indicator into a risk score and risk category. Claims meeting configured review conditions are added to the investigation queue.</w:t>
      </w:r>
    </w:p>
    <w:p>
      <w:r>
        <w:t>Recorded baseline output: 60,000 claims scored, 4,734 flagged for review, 612 high-risk claims, and 1,800 ML anomalies. The review queue was approximately 7.89% of scored claims.</w:t>
      </w:r>
    </w:p>
    <w:p>
      <w:r>
        <w:t>Risk categories in that run: HIGH 612; MEDIUM 3,696; LOW 9,778; MINIMAL 45,914. These categories support prioritization and should be interpreted alongside the underlying evidence.</w:t>
      </w:r>
    </w:p>
    <w:p>
      <w:pPr>
        <w:pStyle w:val="Heading1"/>
      </w:pPr>
      <w:r>
        <w:t>7. Model Evaluation</w:t>
      </w:r>
    </w:p>
    <w:p>
      <w:r>
        <w:t>The evaluation workflow compares detection results with available reference labels and reports confusion-matrix counts and classification metrics. Scenario-level evaluation helps show which patterns are detected well and which need improvement.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1F4E79"/>
          </w:tcPr>
          <w:p>
            <w:r>
              <w:rPr>
                <w:b/>
                <w:color w:val="FFFFFF"/>
                <w:sz w:val="15"/>
              </w:rPr>
              <w:t>Approach</w:t>
            </w:r>
          </w:p>
        </w:tc>
        <w:tc>
          <w:tcPr>
            <w:tcW w:type="dxa" w:w="1136"/>
            <w:shd w:fill="1F4E79"/>
          </w:tcPr>
          <w:p>
            <w:r>
              <w:rPr>
                <w:b/>
                <w:color w:val="FFFFFF"/>
                <w:sz w:val="15"/>
              </w:rPr>
              <w:t>TP</w:t>
            </w:r>
          </w:p>
        </w:tc>
        <w:tc>
          <w:tcPr>
            <w:tcW w:type="dxa" w:w="1136"/>
            <w:shd w:fill="1F4E79"/>
          </w:tcPr>
          <w:p>
            <w:r>
              <w:rPr>
                <w:b/>
                <w:color w:val="FFFFFF"/>
                <w:sz w:val="15"/>
              </w:rPr>
              <w:t>FP</w:t>
            </w:r>
          </w:p>
        </w:tc>
        <w:tc>
          <w:tcPr>
            <w:tcW w:type="dxa" w:w="1136"/>
            <w:shd w:fill="1F4E79"/>
          </w:tcPr>
          <w:p>
            <w:r>
              <w:rPr>
                <w:b/>
                <w:color w:val="FFFFFF"/>
                <w:sz w:val="15"/>
              </w:rPr>
              <w:t>TN</w:t>
            </w:r>
          </w:p>
        </w:tc>
        <w:tc>
          <w:tcPr>
            <w:tcW w:type="dxa" w:w="1136"/>
            <w:shd w:fill="1F4E79"/>
          </w:tcPr>
          <w:p>
            <w:r>
              <w:rPr>
                <w:b/>
                <w:color w:val="FFFFFF"/>
                <w:sz w:val="15"/>
              </w:rPr>
              <w:t>FN</w:t>
            </w:r>
          </w:p>
        </w:tc>
        <w:tc>
          <w:tcPr>
            <w:tcW w:type="dxa" w:w="1136"/>
            <w:shd w:fill="1F4E79"/>
          </w:tcPr>
          <w:p>
            <w:r>
              <w:rPr>
                <w:b/>
                <w:color w:val="FFFFFF"/>
                <w:sz w:val="15"/>
              </w:rPr>
              <w:t>Precision</w:t>
            </w:r>
          </w:p>
        </w:tc>
        <w:tc>
          <w:tcPr>
            <w:tcW w:type="dxa" w:w="1136"/>
            <w:shd w:fill="1F4E79"/>
          </w:tcPr>
          <w:p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1136"/>
            <w:shd w:fill="1F4E79"/>
          </w:tcPr>
          <w:p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1136"/>
            <w:shd w:fill="1F4E79"/>
          </w:tcPr>
          <w:p>
            <w:r>
              <w:rPr>
                <w:b/>
                <w:color w:val="FFFFFF"/>
                <w:sz w:val="15"/>
              </w:rPr>
              <w:t>Accuracy</w:t>
            </w:r>
          </w:p>
        </w:tc>
      </w:tr>
      <w:tr>
        <w:tc>
          <w:tcPr>
            <w:tcW w:type="dxa" w:w="1136"/>
          </w:tcPr>
          <w:p>
            <w:r>
              <w:rPr>
                <w:sz w:val="15"/>
              </w:rPr>
              <w:t>Combined queue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1,012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3,722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54,478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788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0.2138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0.5622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0.3098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0.9248</w:t>
            </w:r>
          </w:p>
        </w:tc>
      </w:tr>
      <w:tr>
        <w:tc>
          <w:tcPr>
            <w:tcW w:type="dxa" w:w="1136"/>
          </w:tcPr>
          <w:p>
            <w:r>
              <w:rPr>
                <w:sz w:val="15"/>
              </w:rPr>
              <w:t>Isolation Forest only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402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1,398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56,802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1,398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0.2233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0.2233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0.2233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0.9534</w:t>
            </w:r>
          </w:p>
        </w:tc>
      </w:tr>
      <w:tr>
        <w:tc>
          <w:tcPr>
            <w:tcW w:type="dxa" w:w="1136"/>
          </w:tcPr>
          <w:p>
            <w:r>
              <w:rPr>
                <w:sz w:val="15"/>
              </w:rPr>
              <w:t>Rules only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1,489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22,143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36,057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311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0.0630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0.8272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0.1171</w:t>
            </w:r>
          </w:p>
        </w:tc>
        <w:tc>
          <w:tcPr>
            <w:tcW w:type="dxa" w:w="1136"/>
          </w:tcPr>
          <w:p>
            <w:r>
              <w:rPr>
                <w:sz w:val="15"/>
              </w:rPr>
              <w:t>0.6258</w:t>
            </w:r>
          </w:p>
        </w:tc>
      </w:tr>
    </w:tbl>
    <w:p/>
    <w:p>
      <w:r>
        <w:t>Recorded scenario recall: duplicate claims 95.28%; high units 72.50%; provider outliers 43.61%; submission timing 7.50%; unusual billing amounts 62.22%.</w:t>
      </w:r>
    </w:p>
    <w:p>
      <w:r>
        <w:t>The combined approach balances rule coverage and anomaly detection. Precision indicates that many flagged claims may not match the reference label. Accuracy alone is not sufficient; review precision, recall, false positives, false negatives, and investigation capacity together.</w:t>
      </w:r>
    </w:p>
    <w:p>
      <w:pPr>
        <w:pStyle w:val="Heading1"/>
      </w:pPr>
      <w:r>
        <w:t>8. Claim-Level Explanations</w:t>
      </w:r>
    </w:p>
    <w:p>
      <w:r>
        <w:t>A deterministic explanation layer converts engine outputs into structured fields: explanation_risk_score, explanation_risk_level, is_flagged_for_review, triggered_rule_count, triggered_rules, explanation_ml_anomaly_flag, fraud_explanation, recommended_investigation_actions, and review_disclaimer.</w:t>
      </w:r>
    </w:p>
    <w:p>
      <w:r>
        <w:t>This layer is distinct from the LLM-generated narrative. It summarizes recorded evidence consistently; the LLM later combines claim details with retrieved policy and procedure material.</w:t>
      </w:r>
    </w:p>
    <w:p>
      <w:pPr>
        <w:pStyle w:val="Heading1"/>
      </w:pPr>
      <w:r>
        <w:t>9. PDF Document Ingestion</w:t>
      </w:r>
    </w:p>
    <w:p>
      <w:r>
        <w:t>The document pipeline processes policy, operational, investigation, rulebook, and reference PDFs. It extracts text and tables, records metadata, and stores the content in CSV outputs for indexing and traceability.</w:t>
      </w:r>
    </w:p>
    <w:p>
      <w:r>
        <w:t>The recorded run processed seven documents and produced 19 text chunks, nine tables, seven figure assets, and 43 references. Outputs included document_chunks.csv, document_tables.csv, document_figures.csv, document_inventory.csv, and document_references.csv.</w:t>
      </w:r>
    </w:p>
    <w:p>
      <w:r>
        <w:t>Extracted text and tables should be spot-checked against the source documents, particularly where PDFs contain complex layouts or scanned pages.</w:t>
      </w:r>
    </w:p>
    <w:p>
      <w:pPr>
        <w:pStyle w:val="Heading1"/>
      </w:pPr>
      <w:r>
        <w:t>10. Embeddings and ChromaDB</w:t>
      </w:r>
    </w:p>
    <w:p>
      <w:r>
        <w:t>Text chunks are converted into vector embeddings using sentence-transformers/all-MiniLM-L6-v2. The vectors are stored in a persistent ChromaDB collection named healthcare_claims_documents. The recorded index contained 19 chunks and passed validation.</w:t>
      </w:r>
    </w:p>
    <w:p>
      <w:r>
        <w:t>Semantic retrieval matches a question to passages based on meaning, not only exact keyword matches. When source documents change, refresh the index so retrieval reflects the latest approved content.</w:t>
      </w:r>
    </w:p>
    <w:p>
      <w:pPr>
        <w:pStyle w:val="Heading1"/>
      </w:pPr>
      <w:r>
        <w:t>11. Semantic Search and Hybrid Retrieval</w:t>
      </w:r>
    </w:p>
    <w:p>
      <w:r>
        <w:t>Semantic search embeds the user query and retrieves nearby document chunks. Results include rank, distance, source filename/path, page, chunk ID, and text. Distance is a retrieval measure, not a calibrated confidence probability.</w:t>
      </w:r>
    </w:p>
    <w:p>
      <w:r>
        <w:t>The hybrid retrieval option combines semantic retrieval with keyword overlap and Reciprocal Rank Fusion (RRF), helping when exact rule names or policy phrases matter.</w:t>
      </w:r>
    </w:p>
    <w:p>
      <w:r>
        <w:t>Test retrieval using questions about unusual billing amounts, duplicate claim candidates, provider billing patterns, denial reasons, and investigation procedures.</w:t>
      </w:r>
    </w:p>
    <w:p>
      <w:pPr>
        <w:pStyle w:val="Heading1"/>
      </w:pPr>
      <w:r>
        <w:t>12. NVIDIA LLM Integration</w:t>
      </w:r>
    </w:p>
    <w:p>
      <w:r>
        <w:t>The LLM layer uses an OpenAI-compatible client configured for the NVIDIA inference endpoint. Provider, base URL, model name, and API key are configured through environment variables.</w:t>
      </w:r>
    </w:p>
    <w:p>
      <w:r>
        <w:t>Keep credentials in a local environment file or secret manager; do not commit keys to source control. Prompts should distinguish observed claim evidence from retrieved policy text, avoid inventing facts, and communicate uncertainty.</w:t>
      </w:r>
    </w:p>
    <w:p>
      <w:pPr>
        <w:pStyle w:val="Heading1"/>
      </w:pPr>
      <w:r>
        <w:t>13. Dynamic AI Claim Investigation</w:t>
      </w:r>
    </w:p>
    <w:p>
      <w:r>
        <w:t>When an investigator enters a claim ID and requests evidence retrieval, the service looks up the claim, gathers risk signals and deterministic explanation fields, retrieves relevant documents, and sends the assembled context to the LLM.</w:t>
      </w:r>
    </w:p>
    <w:p>
      <w:pPr>
        <w:pStyle w:val="ListBullet"/>
      </w:pPr>
      <w:r>
        <w:t>Validate the claim ID against the available claim records.</w:t>
      </w:r>
    </w:p>
    <w:p>
      <w:pPr>
        <w:pStyle w:val="ListBullet"/>
      </w:pPr>
      <w:r>
        <w:t>For an invalid ID, show: “Please check the claim ID again. Claim not found in the list.”</w:t>
      </w:r>
    </w:p>
    <w:p>
      <w:pPr>
        <w:pStyle w:val="ListBullet"/>
      </w:pPr>
      <w:r>
        <w:t>For a valid claim, assemble claim details, risk indicators, triggered rules, and deterministic explanation fields.</w:t>
      </w:r>
    </w:p>
    <w:p>
      <w:pPr>
        <w:pStyle w:val="ListBullet"/>
      </w:pPr>
      <w:r>
        <w:t>Retrieve relevant policy or procedure passages from ChromaDB.</w:t>
      </w:r>
    </w:p>
    <w:p>
      <w:pPr>
        <w:pStyle w:val="ListBullet"/>
      </w:pPr>
      <w:r>
        <w:t>Generate a dynamic narrative grounded in claim evidence and retrieved material.</w:t>
      </w:r>
    </w:p>
    <w:p>
      <w:pPr>
        <w:pStyle w:val="ListBullet"/>
      </w:pPr>
      <w:r>
        <w:t>Display the answer and available claim or document references.</w:t>
      </w:r>
    </w:p>
    <w:p>
      <w:r>
        <w:t>This is decision support. A human investigator should review the generated narrative; it is not a final fraud determination.</w:t>
      </w:r>
    </w:p>
    <w:p>
      <w:pPr>
        <w:pStyle w:val="Heading1"/>
      </w:pPr>
      <w:r>
        <w:t>14. Streamlit Dashboard</w:t>
      </w:r>
    </w:p>
    <w:p>
      <w:r>
        <w:t>The Streamlit interface provides overview metrics, risk-distribution charts, flagged-versus-unflagged counts, investigation queue filters, individual claim lookup, dynamic AI explanations, and model evaluation results.</w:t>
      </w:r>
    </w:p>
    <w:p>
      <w:r>
        <w:t>Launch from the project root with: python -m streamlit run app.py</w:t>
      </w:r>
    </w:p>
    <w:p>
      <w:pPr>
        <w:pStyle w:val="Heading1"/>
      </w:pPr>
      <w:r>
        <w:t>15. Key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5"/>
              </w:rPr>
              <w:t>Output file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claim_fraud_scores.csv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Claim-level scores, rules, and model indicators.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fraud_investigation_queue.csv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Claims selected for review.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fraud_detection_summary.csv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Aggregate scoring and risk summary.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fraud_model_metrics.csv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Model evaluation metrics.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fraud_scenario_evaluation.csv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Scenario-level detection results.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claim_level_evaluation.csv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Claim-level evaluation results.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claim_fraud_explanations.csv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Structured deterministic explanations.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document_chunks.csv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Text chunks prepared for retrieval.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document_tables.csv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Extracted document tables.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document_figures.csv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Figure extraction metadata.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document_inventory.csv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Inventory of processed documents.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document_references.csv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Extracted reference metadata.</w:t>
            </w:r>
          </w:p>
        </w:tc>
      </w:tr>
    </w:tbl>
    <w:p/>
    <w:p>
      <w:r>
        <w:t>The dashboard and investigation service consume these outputs. Re-run upstream steps when input data, rules, model settings, or reference documents change.</w:t>
      </w:r>
    </w:p>
    <w:p>
      <w:pPr>
        <w:pStyle w:val="Heading1"/>
      </w:pPr>
      <w:r>
        <w:t>16. End-to-End Execution Sequence</w:t>
      </w:r>
    </w:p>
    <w:p>
      <w:pPr>
        <w:pStyle w:val="ListNumber"/>
      </w:pPr>
      <w:r>
        <w:t>1. Confirm required CSV inputs and PDF reference documents are present.</w:t>
      </w:r>
    </w:p>
    <w:p>
      <w:pPr>
        <w:pStyle w:val="ListNumber"/>
      </w:pPr>
      <w:r>
        <w:t>2. Run the fraud engine to generate claim scores, flags, and the investigation queue.</w:t>
      </w:r>
    </w:p>
    <w:p>
      <w:pPr>
        <w:pStyle w:val="ListNumber"/>
      </w:pPr>
      <w:r>
        <w:t>3. Run evaluation to generate metrics and scenario-level results.</w:t>
      </w:r>
    </w:p>
    <w:p>
      <w:pPr>
        <w:pStyle w:val="ListNumber"/>
      </w:pPr>
      <w:r>
        <w:t>4. Run the deterministic explanation generator.</w:t>
      </w:r>
    </w:p>
    <w:p>
      <w:pPr>
        <w:pStyle w:val="ListNumber"/>
      </w:pPr>
      <w:r>
        <w:t>5. Run PDF ingestion when source documents change.</w:t>
      </w:r>
    </w:p>
    <w:p>
      <w:pPr>
        <w:pStyle w:val="ListNumber"/>
      </w:pPr>
      <w:r>
        <w:t>6. Build or refresh the ChromaDB vector index.</w:t>
      </w:r>
    </w:p>
    <w:p>
      <w:pPr>
        <w:pStyle w:val="ListNumber"/>
      </w:pPr>
      <w:r>
        <w:t>7. Test semantic or hybrid retrieval with representative questions.</w:t>
      </w:r>
    </w:p>
    <w:p>
      <w:pPr>
        <w:pStyle w:val="ListNumber"/>
      </w:pPr>
      <w:r>
        <w:t>8. Verify NVIDIA configuration and test LLM inference.</w:t>
      </w:r>
    </w:p>
    <w:p>
      <w:pPr>
        <w:pStyle w:val="ListNumber"/>
      </w:pPr>
      <w:r>
        <w:t>9. Launch Streamlit and test overview metrics, filters, valid/invalid claim IDs, and AI explanations.</w:t>
      </w:r>
    </w:p>
    <w:p>
      <w:r>
        <w:t>Use the actual script names and command sequence in the local project README or source tree if they differ from these notes.</w:t>
      </w:r>
    </w:p>
    <w:p>
      <w:pPr>
        <w:pStyle w:val="Heading1"/>
      </w:pPr>
      <w:r>
        <w:t>17. Architecture Summary</w:t>
      </w:r>
    </w:p>
    <w:p>
      <w:r>
        <w:t>Data layer: CSV claim and reference data. Detection layer: feature preparation, business rules, Isolation Forest, risk scoring, evaluation, and investigation queue. Knowledge and AI layer: PDF ingestion, chunking, embeddings, ChromaDB retrieval, NVIDIA LLM, and narrative generation. Presentation layer: Streamlit dashboard.</w:t>
      </w:r>
    </w:p>
    <w:p>
      <w:r>
        <w:t>End-to-end flow: CSV inputs → validation and features → rules + anomaly detection → scores and queue → deterministic explanations. Separately, PDF references → extraction and chunking → embeddings and ChromaDB. Claim evidence plus retrieved passages → NVIDIA LLM → dynamic explanation in Streamlit.</w:t>
      </w:r>
    </w:p>
    <w:p>
      <w:pPr>
        <w:pStyle w:val="Heading1"/>
      </w:pPr>
      <w:r>
        <w:t>18. Limitations, Controls, and Next Steps</w:t>
      </w:r>
    </w:p>
    <w:p>
      <w:pPr>
        <w:pStyle w:val="ListBullet"/>
      </w:pPr>
      <w:r>
        <w:t>A flagged claim is a lead for investigation, not proof of fraud.</w:t>
      </w:r>
    </w:p>
    <w:p>
      <w:pPr>
        <w:pStyle w:val="ListBullet"/>
      </w:pPr>
      <w:r>
        <w:t>Evaluation depends on the quality and definition of reference labels.</w:t>
      </w:r>
    </w:p>
    <w:p>
      <w:pPr>
        <w:pStyle w:val="ListBullet"/>
      </w:pPr>
      <w:r>
        <w:t>Validate rules and thresholds with domain experts and document changes.</w:t>
      </w:r>
    </w:p>
    <w:p>
      <w:pPr>
        <w:pStyle w:val="ListBullet"/>
      </w:pPr>
      <w:r>
        <w:t>Track code versions, model settings, input versions, and evaluation results.</w:t>
      </w:r>
    </w:p>
    <w:p>
      <w:pPr>
        <w:pStyle w:val="ListBullet"/>
      </w:pPr>
      <w:r>
        <w:t>Monitor data quality, feature drift, risk-score distribution, alert rates, and model performance.</w:t>
      </w:r>
    </w:p>
    <w:p>
      <w:pPr>
        <w:pStyle w:val="ListBullet"/>
      </w:pPr>
      <w:r>
        <w:t>Keep claim evidence and document references visible alongside generated text.</w:t>
      </w:r>
    </w:p>
    <w:p>
      <w:pPr>
        <w:pStyle w:val="ListBullet"/>
      </w:pPr>
      <w:r>
        <w:t>Protect member/provider information, restrict access, and avoid exposing keys in logs.</w:t>
      </w:r>
    </w:p>
    <w:p>
      <w:pPr>
        <w:pStyle w:val="ListBullet"/>
      </w:pPr>
      <w:r>
        <w:t>Before production use, complete security, privacy, governance, validation, access-control, and human-review requirements.</w:t>
      </w:r>
    </w:p>
    <w:p>
      <w:pPr>
        <w:pStyle w:val="Heading1"/>
      </w:pPr>
      <w:r>
        <w:t>19. Conclusion</w:t>
      </w:r>
    </w:p>
    <w:p>
      <w:r>
        <w:t>The project combines traditional fraud analytics and generative AI. Rules and anomaly detection prioritize claims; evaluation measures detection behavior; deterministic explanations expose risk evidence; document retrieval provides policy context; and the NVIDIA-powered LLM generates a readable investigation narrative in Streamlit.</w:t>
      </w:r>
    </w:p>
    <w:p>
      <w:r>
        <w:t>The key design principle is to keep detection evidence, retrieved documentation, and generated narrative distinguishable. A model score or generated explanation should support, not replace, an investigator’s final assessment.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