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SPARKS AI Search — AI Cost Model (Option 1 &amp; Option 2)</w:t>
      </w:r>
    </w:p>
    <w:p>
      <w:r>
        <w:rPr>
          <w:b/>
        </w:rPr>
        <w:t xml:space="preserve">SB-6562 companion — measured, defensible cost estimate for Claude on Amazon Bedrock</w:t>
      </w:r>
    </w:p>
    <w:p>
      <w:pPr>
        <w:ind w:left="360"/>
      </w:pPr>
      <w:r>
        <w:rPr>
          <w:i/>
          <w:color w:val="555555"/>
        </w:rPr>
        <w:t xml:space="preserve">**Scope of this cost model:** the **actual SPARKS AI Search workload** — natural-language / semantic search over the text documents SPARKS already produces (the `open_search_json` content). It is **not** an image/PDF OCR workload. Cost = (1) a **one-time embedding** to build the vector index + (2) **per-question model inference** for Option 1 (RAG) and Option 2 (Agentic), + (3) a small fixed monthly AWS infrastructure band.</w:t>
      </w:r>
    </w:p>
    <w:p>
      <w:pPr>
        <w:ind w:left="360"/>
      </w:pPr>
      <w:r>
        <w:rPr>
          <w:i/>
          <w:color w:val="555555"/>
        </w:rPr>
        <w:t xml:space="preserve">**Confidence:** This is a **planning estimate targeted at ~70–90% accuracy** for monthly and annual spend. The remaining variance comes from final question volume, average context size per question, and live Bedrock rates — all pinned down in the Dev pilot (§6). It is a reproducible **method**, not a quote.</w:t>
      </w:r>
    </w:p>
    <w:p>
      <w:pPr>
        <w:ind w:left="360"/>
      </w:pPr>
      <w:r>
        <w:rPr>
          <w:i/>
          <w:color w:val="555555"/>
        </w:rPr>
        <w:t xml:space="preserve">**Closed, managed, governed — no open systems.** Per DOT requirements this uses **only managed AWS services and vendor-hosted foundation models via Amazon Bedrock (Anthropic Claude).** No self-hosted / open-weight / open-source models, no community model servers, nothing outside the approved AWS account. Cost is a predictable, auditable **pay-per-token** line item with an AWS Budgets hard cap.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0. The three cost components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When it is incurred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Relative size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Embedding (build vector index)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One-time</w:t>
            </w:r>
            <w:r>
              <w:t xml:space="preserve"> at setup + incremental on changed documents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Tiny</w:t>
            </w:r>
            <w:r>
              <w:t xml:space="preserve"> (one-time)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Per-question model inference</w:t>
            </w:r>
          </w:p>
        </w:tc>
        <w:tc>
          <w:tcPr>
            <w:tcW w:w="0" w:type="auto"/>
          </w:tcPr>
          <w:p>
            <w:r>
              <w:t xml:space="preserve">Every user question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Main ongoing driver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Fixed AWS infrastructure</w:t>
            </w:r>
          </w:p>
        </w:tc>
        <w:tc>
          <w:tcPr>
            <w:tcW w:w="0" w:type="auto"/>
          </w:tcPr>
          <w:p>
            <w:r>
              <w:t xml:space="preserve">Monthly (vector store min capacity, Lambda, S3, logs)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Small, flat band</w:t>
            </w:r>
          </w:p>
        </w:tc>
      </w:tr>
    </w:tbl>
    <w:p>
      <w:r>
        <w:t/>
      </w:r>
    </w:p>
    <w:p>
      <w:r>
        <w:t xml:space="preserve">Option 1 and Option 2 </w:t>
      </w:r>
      <w:r>
        <w:rPr>
          <w:b/>
        </w:rPr>
        <w:t xml:space="preserve">share</w:t>
      </w:r>
      <w:r>
        <w:t xml:space="preserve"> components 1 and 3. They differ only in component 2 (Option 2 makes several model calls per question).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1. The formula</w:t>
      </w:r>
    </w:p>
    <w:p>
      <w:r>
        <w:rPr>
          <w:rFonts w:ascii="Consolas" w:hAnsi="Consolas"/>
          <w:color w:val="A6261D"/>
        </w:rPr>
        <w:t xml:space="preserve">`</w:t>
      </w:r>
    </w:p>
    <w:p>
      <w:r>
        <w:t xml:space="preserve">Model Cost ($) = [ N × (I × Pi + O × Po) ] / 1,000,000</w:t>
      </w:r>
    </w:p>
    <w:p>
      <w:r>
        <w:rPr>
          <w:rFonts w:ascii="Consolas" w:hAnsi="Consolas"/>
          <w:color w:val="A6261D"/>
        </w:rPr>
        <w:t xml:space="preserve">`</w:t>
      </w:r>
    </w:p>
    <w:p>
      <w:r>
        <w:rPr>
          <w:rFonts w:ascii="Consolas" w:hAnsi="Consolas"/>
          <w:color w:val="A6261D"/>
        </w:rPr>
        <w:t xml:space="preserve">N</w:t>
      </w:r>
      <w:r>
        <w:t xml:space="preserve"> = number of calls · </w:t>
      </w:r>
      <w:r>
        <w:rPr>
          <w:rFonts w:ascii="Consolas" w:hAnsi="Consolas"/>
          <w:color w:val="A6261D"/>
        </w:rPr>
        <w:t xml:space="preserve">I</w:t>
      </w:r>
      <w:r>
        <w:t xml:space="preserve"> = input tokens/call · </w:t>
      </w:r>
      <w:r>
        <w:rPr>
          <w:rFonts w:ascii="Consolas" w:hAnsi="Consolas"/>
          <w:color w:val="A6261D"/>
        </w:rPr>
        <w:t xml:space="preserve">O</w:t>
      </w:r>
      <w:r>
        <w:t xml:space="preserve"> = output tokens/call · </w:t>
      </w:r>
      <w:r>
        <w:rPr>
          <w:rFonts w:ascii="Consolas" w:hAnsi="Consolas"/>
          <w:color w:val="A6261D"/>
        </w:rPr>
        <w:t xml:space="preserve">Pi</w:t>
      </w:r>
      <w:r>
        <w:t xml:space="preserve">/</w:t>
      </w:r>
      <w:r>
        <w:rPr>
          <w:rFonts w:ascii="Consolas" w:hAnsi="Consolas"/>
          <w:color w:val="A6261D"/>
        </w:rPr>
        <w:t xml:space="preserve">Po</w:t>
      </w:r>
      <w:r>
        <w:t xml:space="preserve"> = price per </w:t>
      </w:r>
      <w:r>
        <w:rPr>
          <w:b/>
        </w:rPr>
        <w:t xml:space="preserve">million</w:t>
      </w:r>
      <w:r>
        <w:t xml:space="preserve"> input/output tokens.</w:t>
      </w:r>
    </w:p>
    <w:p>
      <w:r>
        <w:rPr>
          <w:b/>
        </w:rPr>
        <w:t xml:space="preserve">Illustrative Bedrock rates used below (confirm live at approval):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Input $/1M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Output $/1M</w:t>
            </w:r>
          </w:p>
        </w:tc>
      </w:tr>
      <w:tr>
        <w:tc>
          <w:tcPr>
            <w:tcW w:w="0" w:type="auto"/>
          </w:tcPr>
          <w:p>
            <w:r>
              <w:t xml:space="preserve">Amazon </w:t>
            </w:r>
            <w:r>
              <w:rPr>
                <w:b/>
              </w:rPr>
              <w:t xml:space="preserve">Titan Text Embeddings v2</w:t>
            </w:r>
          </w:p>
        </w:tc>
        <w:tc>
          <w:tcPr>
            <w:tcW w:w="0" w:type="auto"/>
          </w:tcPr>
          <w:p>
            <w:r>
              <w:t xml:space="preserve">$0.02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Claude </w:t>
            </w:r>
            <w:r>
              <w:rPr>
                <w:b/>
              </w:rPr>
              <w:t xml:space="preserve">Haiku</w:t>
            </w:r>
          </w:p>
        </w:tc>
        <w:tc>
          <w:tcPr>
            <w:tcW w:w="0" w:type="auto"/>
          </w:tcPr>
          <w:p>
            <w:r>
              <w:t xml:space="preserve">$0.80</w:t>
            </w:r>
          </w:p>
        </w:tc>
        <w:tc>
          <w:tcPr>
            <w:tcW w:w="0" w:type="auto"/>
          </w:tcPr>
          <w:p>
            <w:r>
              <w:t xml:space="preserve">$4.00</w:t>
            </w:r>
          </w:p>
        </w:tc>
      </w:tr>
      <w:tr>
        <w:tc>
          <w:tcPr>
            <w:tcW w:w="0" w:type="auto"/>
          </w:tcPr>
          <w:p>
            <w:r>
              <w:t xml:space="preserve">Claude </w:t>
            </w:r>
            <w:r>
              <w:rPr>
                <w:b/>
              </w:rPr>
              <w:t xml:space="preserve">Sonnet</w:t>
            </w:r>
            <w:r>
              <w:t xml:space="preserve"> (baseline)</w:t>
            </w:r>
          </w:p>
        </w:tc>
        <w:tc>
          <w:tcPr>
            <w:tcW w:w="0" w:type="auto"/>
          </w:tcPr>
          <w:p>
            <w:r>
              <w:t xml:space="preserve">$3.00</w:t>
            </w:r>
          </w:p>
        </w:tc>
        <w:tc>
          <w:tcPr>
            <w:tcW w:w="0" w:type="auto"/>
          </w:tcPr>
          <w:p>
            <w:r>
              <w:t xml:space="preserve">$15.00</w:t>
            </w:r>
          </w:p>
        </w:tc>
      </w:tr>
      <w:tr>
        <w:tc>
          <w:tcPr>
            <w:tcW w:w="0" w:type="auto"/>
          </w:tcPr>
          <w:p>
            <w:r>
              <w:t xml:space="preserve">Claude </w:t>
            </w:r>
            <w:r>
              <w:rPr>
                <w:b/>
              </w:rPr>
              <w:t xml:space="preserve">Opus</w:t>
            </w:r>
            <w:r>
              <w:t xml:space="preserve"> (hard cases only)</w:t>
            </w:r>
          </w:p>
        </w:tc>
        <w:tc>
          <w:tcPr>
            <w:tcW w:w="0" w:type="auto"/>
          </w:tcPr>
          <w:p>
            <w:r>
              <w:t xml:space="preserve">~2× Sonnet</w:t>
            </w:r>
          </w:p>
        </w:tc>
        <w:tc>
          <w:tcPr>
            <w:tcW w:w="0" w:type="auto"/>
          </w:tcPr>
          <w:p>
            <w:r>
              <w:t xml:space="preserve">~2× Sonnet</w:t>
            </w:r>
          </w:p>
        </w:tc>
      </w:tr>
    </w:tbl>
    <w:p>
      <w:r>
        <w:t/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2. Component 1 — one-time embedding (both options)</w:t>
      </w:r>
    </w:p>
    <w:p>
      <w:r>
        <w:t xml:space="preserve">Turn each SPARKS document into a vector once; re-embed only changed documents afterward.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Documents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Avg tokens/doc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Total tokens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One-time embedding cost</w:t>
            </w:r>
          </w:p>
        </w:tc>
      </w:tr>
      <w:tr>
        <w:tc>
          <w:tcPr>
            <w:tcW w:w="0" w:type="auto"/>
          </w:tcPr>
          <w:p>
            <w:r>
              <w:t xml:space="preserve">50,000</w:t>
            </w:r>
          </w:p>
        </w:tc>
        <w:tc>
          <w:tcPr>
            <w:tcW w:w="0" w:type="auto"/>
          </w:tcPr>
          <w:p>
            <w:r>
              <w:t xml:space="preserve">500</w:t>
            </w:r>
          </w:p>
        </w:tc>
        <w:tc>
          <w:tcPr>
            <w:tcW w:w="0" w:type="auto"/>
          </w:tcPr>
          <w:p>
            <w:r>
              <w:t xml:space="preserve">25 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~$0.50</w:t>
            </w:r>
          </w:p>
        </w:tc>
      </w:tr>
      <w:tr>
        <w:tc>
          <w:tcPr>
            <w:tcW w:w="0" w:type="auto"/>
          </w:tcPr>
          <w:p>
            <w:r>
              <w:t xml:space="preserve">100,000</w:t>
            </w:r>
          </w:p>
        </w:tc>
        <w:tc>
          <w:tcPr>
            <w:tcW w:w="0" w:type="auto"/>
          </w:tcPr>
          <w:p>
            <w:r>
              <w:t xml:space="preserve">500</w:t>
            </w:r>
          </w:p>
        </w:tc>
        <w:tc>
          <w:tcPr>
            <w:tcW w:w="0" w:type="auto"/>
          </w:tcPr>
          <w:p>
            <w:r>
              <w:t xml:space="preserve">50 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~$1.00</w:t>
            </w:r>
          </w:p>
        </w:tc>
      </w:tr>
      <w:tr>
        <w:tc>
          <w:tcPr>
            <w:tcW w:w="0" w:type="auto"/>
          </w:tcPr>
          <w:p>
            <w:r>
              <w:t xml:space="preserve">200,000</w:t>
            </w:r>
          </w:p>
        </w:tc>
        <w:tc>
          <w:tcPr>
            <w:tcW w:w="0" w:type="auto"/>
          </w:tcPr>
          <w:p>
            <w:r>
              <w:t xml:space="preserve">600</w:t>
            </w:r>
          </w:p>
        </w:tc>
        <w:tc>
          <w:tcPr>
            <w:tcW w:w="0" w:type="auto"/>
          </w:tcPr>
          <w:p>
            <w:r>
              <w:t xml:space="preserve">120 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~$2.40</w:t>
            </w:r>
          </w:p>
        </w:tc>
      </w:tr>
    </w:tbl>
    <w:p>
      <w:r>
        <w:t/>
      </w:r>
    </w:p>
    <w:p>
      <w:r>
        <w:t xml:space="preserve">→ </w:t>
      </w:r>
      <w:r>
        <w:rPr>
          <w:b/>
        </w:rPr>
        <w:t xml:space="preserve">Embedding is effectively free at these volumes (a few dollars, once).</w:t>
      </w:r>
      <w:r>
        <w:t xml:space="preserve"> This corrects the earlier "tens of dollars" wording. The real one-time work is engineering effort, not token cost.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3. Component 2 — per-question inference (Option 1 vs Option 2)</w:t>
      </w:r>
    </w:p>
    <w:p>
      <w:r>
        <w:t xml:space="preserve">Assumptions per question: </w:t>
      </w:r>
      <w:r>
        <w:rPr>
          <w:b/>
        </w:rPr>
        <w:t xml:space="preserve">~4,000 input tokens</w:t>
      </w:r>
      <w:r>
        <w:t xml:space="preserve"> (retrieved context + question + instructions) and </w:t>
      </w:r>
      <w:r>
        <w:rPr>
          <w:b/>
        </w:rPr>
        <w:t xml:space="preserve">~400–500 output tokens</w:t>
      </w:r>
      <w:r>
        <w:t xml:space="preserve"> (grounded answer). Option 2 runs </w:t>
      </w:r>
      <w:r>
        <w:rPr>
          <w:b/>
        </w:rPr>
        <w:t xml:space="preserve">~3 model turns</w:t>
      </w:r>
      <w:r>
        <w:t xml:space="preserve"> (plan → tool use → answer).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/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Calls/question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Cost/question (Sonnet)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Cost/question (Haiku)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1 — RAG</w:t>
            </w:r>
          </w:p>
        </w:tc>
        <w:tc>
          <w:tcPr>
            <w:tcW w:w="0" w:type="auto"/>
          </w:tcPr>
          <w:p>
            <w:r>
              <w:t xml:space="preserve">Claude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~$0.020 (≈2¢)</w:t>
            </w:r>
          </w:p>
        </w:tc>
        <w:tc>
          <w:tcPr>
            <w:tcW w:w="0" w:type="auto"/>
          </w:tcPr>
          <w:p>
            <w:r>
              <w:t xml:space="preserve">~$0.005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2 — Agentic</w:t>
            </w:r>
          </w:p>
        </w:tc>
        <w:tc>
          <w:tcPr>
            <w:tcW w:w="0" w:type="auto"/>
          </w:tcPr>
          <w:p>
            <w:r>
              <w:t xml:space="preserve">Claude</w:t>
            </w:r>
          </w:p>
        </w:tc>
        <w:tc>
          <w:tcPr>
            <w:tcW w:w="0" w:type="auto"/>
          </w:tcPr>
          <w:p>
            <w:r>
              <w:t xml:space="preserve">~3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~$0.054 (≈5¢)</w:t>
            </w:r>
          </w:p>
        </w:tc>
        <w:tc>
          <w:tcPr>
            <w:tcW w:w="0" w:type="auto"/>
          </w:tcPr>
          <w:p>
            <w:r>
              <w:t xml:space="preserve">~$0.014</w:t>
            </w:r>
          </w:p>
        </w:tc>
      </w:tr>
    </w:tbl>
    <w:p>
      <w:r>
        <w:t/>
      </w:r>
    </w:p>
    <w:p>
      <w:r>
        <w:t xml:space="preserve">→ </w:t>
      </w:r>
      <w:r>
        <w:rPr>
          <w:b/>
        </w:rPr>
        <w:t xml:space="preserve">Option 2 ≈ 2.5–3× Option 1 per question</w:t>
      </w:r>
      <w:r>
        <w:t xml:space="preserve"> (more LLM turns). Query-embedding cost per question is negligible (fractions of a cent).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4. Monthly estimate (Dev-pilot volumes, Sonnet)</w:t>
      </w:r>
    </w:p>
    <w:p>
      <w:r>
        <w:t xml:space="preserve">Model inference only; add the fixed infra band from §5. 22 business days/month.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Volume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Option 1 — RAG /mo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Option 2 — Agentic /mo</w:t>
            </w:r>
          </w:p>
        </w:tc>
      </w:tr>
      <w:tr>
        <w:tc>
          <w:tcPr>
            <w:tcW w:w="0" w:type="auto"/>
          </w:tcPr>
          <w:p>
            <w:r>
              <w:t xml:space="preserve">100 questions/day (2,200/mo)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~$43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~$119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200 questions/day (4,400/mo) — baseline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~$86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~$238</w:t>
            </w:r>
          </w:p>
        </w:tc>
      </w:tr>
      <w:tr>
        <w:tc>
          <w:tcPr>
            <w:tcW w:w="0" w:type="auto"/>
          </w:tcPr>
          <w:p>
            <w:r>
              <w:t xml:space="preserve">500 questions/day (11,000/mo)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~$214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~$594</w:t>
            </w:r>
          </w:p>
        </w:tc>
      </w:tr>
    </w:tbl>
    <w:p>
      <w:r>
        <w:t/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5. Fixed AWS infrastructure (monthly band)</w:t>
      </w:r>
    </w:p>
    <w:p>
      <w:r>
        <w:t xml:space="preserve">Managed services that run regardless of question volume (kept minimal in Dev):</w:t>
      </w:r>
    </w:p>
    <w:p>
      <w:pPr>
        <w:numPr>
          <w:ilvl w:val="0"/>
          <w:numId w:val="1"/>
        </w:numPr>
      </w:pPr>
      <w:r>
        <w:rPr>
          <w:b/>
        </w:rPr>
        <w:t xml:space="preserve">OpenSearch Serverless</w:t>
      </w:r>
      <w:r>
        <w:t xml:space="preserve"> vector collection — minimum OCU capacity (the main fixed item)</w:t>
      </w:r>
    </w:p>
    <w:p>
      <w:pPr>
        <w:numPr>
          <w:ilvl w:val="0"/>
          <w:numId w:val="1"/>
        </w:numPr>
      </w:pPr>
      <w:r>
        <w:t xml:space="preserve">S3 (search content), Lambda (extractor + Ask API), API Gateway, CloudWatch, KMS</w:t>
      </w:r>
    </w:p>
    <w:p>
      <w:r>
        <w:rPr>
          <w:b/>
        </w:rPr>
        <w:t xml:space="preserve">Estimated band: ~$150–$400/month in Dev</w:t>
      </w:r>
      <w:r>
        <w:t xml:space="preserve"> (dominated by the vector store's minimum capacity; scales with load). Confirm against your account's AOSS minimums.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6. All-in monthly &amp; annual (200 q/day baseline)</w:t>
      </w:r>
    </w:p>
    <w:p>
      <w:r>
        <w:t xml:space="preserve">Model inference </w:t>
      </w:r>
      <w:r>
        <w:rPr>
          <w:b/>
        </w:rPr>
        <w:t xml:space="preserve">+</w:t>
      </w:r>
      <w:r>
        <w:t xml:space="preserve"> fixed infra band. This is the number to quote, with the accuracy caveat.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Option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Model/mo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+ Infra/mo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**All-in / month**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**All-in / year**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1 — RAG</w:t>
            </w:r>
          </w:p>
        </w:tc>
        <w:tc>
          <w:tcPr>
            <w:tcW w:w="0" w:type="auto"/>
          </w:tcPr>
          <w:p>
            <w:r>
              <w:t xml:space="preserve">~$86</w:t>
            </w:r>
          </w:p>
        </w:tc>
        <w:tc>
          <w:tcPr>
            <w:tcW w:w="0" w:type="auto"/>
          </w:tcPr>
          <w:p>
            <w:r>
              <w:t xml:space="preserve">$150–$400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~$240–$490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~$2,800–$5,800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2 — Agentic</w:t>
            </w:r>
          </w:p>
        </w:tc>
        <w:tc>
          <w:tcPr>
            <w:tcW w:w="0" w:type="auto"/>
          </w:tcPr>
          <w:p>
            <w:r>
              <w:t xml:space="preserve">~$238</w:t>
            </w:r>
          </w:p>
        </w:tc>
        <w:tc>
          <w:tcPr>
            <w:tcW w:w="0" w:type="auto"/>
          </w:tcPr>
          <w:p>
            <w:r>
              <w:t xml:space="preserve">$150–$400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~$390–$640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~$4,700–$7,700</w:t>
            </w:r>
          </w:p>
        </w:tc>
      </w:tr>
    </w:tbl>
    <w:p>
      <w:r>
        <w:t/>
      </w:r>
    </w:p>
    <w:p>
      <w:r>
        <w:rPr>
          <w:b/>
        </w:rPr>
        <w:t xml:space="preserve">One-line summary:</w:t>
      </w:r>
    </w:p>
    <w:p>
      <w:pPr>
        <w:ind w:left="360"/>
      </w:pPr>
      <w:r>
        <w:rPr>
          <w:i/>
          <w:color w:val="555555"/>
        </w:rPr>
        <w:t xml:space="preserve">*"At a 200-question/day Dev pilot: **Option 1 ≈ $240–$490/month (~$3–6K/year)**; **Option 2 ≈ $390–$640/month (~$5–8K/year)**; plus a one-time embedding of a few dollars. $0 today — spend starts only after FED approval, under an AWS Budgets hard cap. Estimate targeted at 70–90% accuracy, confirmed by the pilot."*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7. Why this is ~70–90% accurate (and what moves it)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Driver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Effect on cost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How we pin it down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Questions per day</w:t>
            </w:r>
          </w:p>
        </w:tc>
        <w:tc>
          <w:tcPr>
            <w:tcW w:w="0" w:type="auto"/>
          </w:tcPr>
          <w:p>
            <w:r>
              <w:t xml:space="preserve">Linear — the biggest swing</w:t>
            </w:r>
          </w:p>
        </w:tc>
        <w:tc>
          <w:tcPr>
            <w:tcW w:w="0" w:type="auto"/>
          </w:tcPr>
          <w:p>
            <w:r>
              <w:t xml:space="preserve">Measure actual pilot usage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Context tokens per question</w:t>
            </w:r>
            <w:r>
              <w:t xml:space="preserve"> (how many chunks retrieved)</w:t>
            </w:r>
          </w:p>
        </w:tc>
        <w:tc>
          <w:tcPr>
            <w:tcW w:w="0" w:type="auto"/>
          </w:tcPr>
          <w:p>
            <w:r>
              <w:t xml:space="preserve">Linear on input cost</w:t>
            </w:r>
          </w:p>
        </w:tc>
        <w:tc>
          <w:tcPr>
            <w:tcW w:w="0" w:type="auto"/>
          </w:tcPr>
          <w:p>
            <w:r>
              <w:t xml:space="preserve">Cap </w:t>
            </w:r>
            <w:r>
              <w:rPr>
                <w:rFonts w:ascii="Consolas" w:hAnsi="Consolas"/>
                <w:color w:val="A6261D"/>
              </w:rPr>
              <w:t xml:space="preserve">top_k</w:t>
            </w:r>
            <w:r>
              <w:t xml:space="preserve"> + context length; measure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Answer length</w:t>
            </w:r>
            <w:r>
              <w:t xml:space="preserve"> (output tokens)</w:t>
            </w:r>
          </w:p>
        </w:tc>
        <w:tc>
          <w:tcPr>
            <w:tcW w:w="0" w:type="auto"/>
          </w:tcPr>
          <w:p>
            <w:r>
              <w:t xml:space="preserve">Output priced higher</w:t>
            </w:r>
          </w:p>
        </w:tc>
        <w:tc>
          <w:tcPr>
            <w:tcW w:w="0" w:type="auto"/>
          </w:tcPr>
          <w:p>
            <w:r>
              <w:t xml:space="preserve">Constrain response format; measure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2 turns per question</w:t>
            </w:r>
          </w:p>
        </w:tc>
        <w:tc>
          <w:tcPr>
            <w:tcW w:w="0" w:type="auto"/>
          </w:tcPr>
          <w:p>
            <w:r>
              <w:t xml:space="preserve">~2–4× multiplier</w:t>
            </w:r>
          </w:p>
        </w:tc>
        <w:tc>
          <w:tcPr>
            <w:tcW w:w="0" w:type="auto"/>
          </w:tcPr>
          <w:p>
            <w:r>
              <w:t xml:space="preserve">Loop cap on the agent; measure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Live Bedrock rates / region</w:t>
            </w:r>
          </w:p>
        </w:tc>
        <w:tc>
          <w:tcPr>
            <w:tcW w:w="0" w:type="auto"/>
          </w:tcPr>
          <w:p>
            <w:r>
              <w:t xml:space="preserve">Direct</w:t>
            </w:r>
          </w:p>
        </w:tc>
        <w:tc>
          <w:tcPr>
            <w:tcW w:w="0" w:type="auto"/>
          </w:tcPr>
          <w:p>
            <w:r>
              <w:t xml:space="preserve">Confirm at approval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Vector store min capacity</w:t>
            </w:r>
          </w:p>
        </w:tc>
        <w:tc>
          <w:tcPr>
            <w:tcW w:w="0" w:type="auto"/>
          </w:tcPr>
          <w:p>
            <w:r>
              <w:t xml:space="preserve">Fixed band</w:t>
            </w:r>
          </w:p>
        </w:tc>
        <w:tc>
          <w:tcPr>
            <w:tcW w:w="0" w:type="auto"/>
          </w:tcPr>
          <w:p>
            <w:r>
              <w:t xml:space="preserve">Confirm AOSS minimums for the region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Model mix (Haiku vs Sonnet)</w:t>
            </w:r>
          </w:p>
        </w:tc>
        <w:tc>
          <w:tcPr>
            <w:tcW w:w="0" w:type="auto"/>
          </w:tcPr>
          <w:p>
            <w:r>
              <w:t xml:space="preserve">Haiku ~¼ of Sonnet</w:t>
            </w:r>
          </w:p>
        </w:tc>
        <w:tc>
          <w:tcPr>
            <w:tcW w:w="0" w:type="auto"/>
          </w:tcPr>
          <w:p>
            <w:r>
              <w:t xml:space="preserve">Tiered routing decided by accuracy</w:t>
            </w:r>
          </w:p>
        </w:tc>
      </w:tr>
    </w:tbl>
    <w:p>
      <w:r>
        <w:t/>
      </w:r>
    </w:p>
    <w:p>
      <w:r>
        <w:t xml:space="preserve">The ±band above already reflects these; the pilot replaces the band with measured values.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8. Cost-control levers (designed in)</w:t>
      </w:r>
    </w:p>
    <w:p>
      <w:pPr>
        <w:numPr>
          <w:ilvl w:val="0"/>
          <w:numId w:val="1"/>
        </w:numPr>
      </w:pPr>
      <w:r>
        <w:rPr>
          <w:b/>
        </w:rPr>
        <w:t xml:space="preserve">AWS Budgets hard cap</w:t>
      </w:r>
      <w:r>
        <w:t xml:space="preserve"> — spend physically cannot exceed the agreed ceiling.</w:t>
      </w:r>
    </w:p>
    <w:p>
      <w:pPr>
        <w:numPr>
          <w:ilvl w:val="0"/>
          <w:numId w:val="1"/>
        </w:numPr>
      </w:pPr>
      <w:r>
        <w:rPr>
          <w:b/>
        </w:rPr>
        <w:t xml:space="preserve">Tiered models</w:t>
      </w:r>
      <w:r>
        <w:t xml:space="preserve"> — Haiku for simple/classify steps, </w:t>
      </w:r>
      <w:r>
        <w:rPr>
          <w:b/>
        </w:rPr>
        <w:t xml:space="preserve">Sonnet baseline</w:t>
      </w:r>
      <w:r>
        <w:t xml:space="preserve">, Opus only for hard cases (Opus ≈ 2× Sonnet; justify with accuracy data).</w:t>
      </w:r>
    </w:p>
    <w:p>
      <w:pPr>
        <w:numPr>
          <w:ilvl w:val="0"/>
          <w:numId w:val="1"/>
        </w:numPr>
      </w:pPr>
      <w:r>
        <w:rPr>
          <w:b/>
        </w:rPr>
        <w:t xml:space="preserve">Cap `top_k` and context length</w:t>
      </w:r>
      <w:r>
        <w:t xml:space="preserve"> per question (biggest per-question lever).</w:t>
      </w:r>
    </w:p>
    <w:p>
      <w:pPr>
        <w:numPr>
          <w:ilvl w:val="0"/>
          <w:numId w:val="1"/>
        </w:numPr>
      </w:pPr>
      <w:r>
        <w:rPr>
          <w:b/>
        </w:rPr>
        <w:t xml:space="preserve">Return only required fields / concise answers</w:t>
      </w:r>
      <w:r>
        <w:t xml:space="preserve"> (output tokens are priced higher).</w:t>
      </w:r>
    </w:p>
    <w:p>
      <w:pPr>
        <w:numPr>
          <w:ilvl w:val="0"/>
          <w:numId w:val="1"/>
        </w:numPr>
      </w:pPr>
      <w:r>
        <w:rPr>
          <w:b/>
        </w:rPr>
        <w:t xml:space="preserve">Re-embed only changed documents</w:t>
      </w:r>
      <w:r>
        <w:t xml:space="preserve"> (keeps embedding at pennies).</w:t>
      </w:r>
    </w:p>
    <w:p>
      <w:pPr>
        <w:numPr>
          <w:ilvl w:val="0"/>
          <w:numId w:val="1"/>
        </w:numPr>
      </w:pPr>
      <w:r>
        <w:rPr>
          <w:b/>
        </w:rPr>
        <w:t xml:space="preserve">Option 1 first</w:t>
      </w:r>
      <w:r>
        <w:t xml:space="preserve"> — fewer LLM turns than Option 2; adopt Option 2 only where multi-step value is proven.</w:t>
      </w:r>
    </w:p>
    <w:p>
      <w:pPr>
        <w:numPr>
          <w:ilvl w:val="0"/>
          <w:numId w:val="1"/>
        </w:numPr>
      </w:pPr>
      <w:r>
        <w:rPr>
          <w:b/>
        </w:rPr>
        <w:t xml:space="preserve">Prompt caching</w:t>
      </w:r>
      <w:r>
        <w:t xml:space="preserve"> (Bedrock, eligible models) if large identical prompt content is reused — evaluate against measured usage; may not help short prompts.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9. Measure-before-quote (the DOT ask)</w:t>
      </w:r>
    </w:p>
    <w:p>
      <w:r>
        <w:t xml:space="preserve">Replace every illustrative number with Bedrock-measured values in the Dev pilot:</w:t>
      </w:r>
    </w:p>
    <w:p>
      <w:pPr>
        <w:numPr>
          <w:ilvl w:val="0"/>
          <w:numId w:val="2"/>
        </w:numPr>
      </w:pPr>
      <w:r>
        <w:t xml:space="preserve">Run a representative question set for </w:t>
      </w:r>
      <w:r>
        <w:rPr>
          <w:b/>
        </w:rPr>
        <w:t xml:space="preserve">Option 1</w:t>
      </w:r>
      <w:r>
        <w:t xml:space="preserve"> (and later Option 2) over a realistic Dev search-content set.</w:t>
      </w:r>
    </w:p>
    <w:p>
      <w:pPr>
        <w:numPr>
          <w:ilvl w:val="0"/>
          <w:numId w:val="2"/>
        </w:numPr>
      </w:pPr>
      <w:r>
        <w:t xml:space="preserve">Capture Bedrock Converse usage per call to CloudWatch (no PII):</w:t>
      </w:r>
    </w:p>
    <w:p>
      <w:r>
        <w:t xml:space="preserve">```python</w:t>
      </w:r>
    </w:p>
    <w:p>
      <w:r>
        <w:t xml:space="preserve">usage = response["usage"]</w:t>
      </w:r>
    </w:p>
    <w:p>
      <w:r>
        <w:t xml:space="preserve">print("Input tokens:",  usage["inputTokens"])</w:t>
      </w:r>
    </w:p>
    <w:p>
      <w:r>
        <w:t xml:space="preserve">print("Output tokens:", usage["outputTokens"])</w:t>
      </w:r>
    </w:p>
    <w:p>
      <w:r>
        <w:t xml:space="preserve">print("Latency ms:",    response["metrics"]["latencyMs"])</w:t>
      </w:r>
    </w:p>
    <w:p>
      <w:r>
        <w:rPr>
          <w:rFonts w:ascii="Consolas" w:hAnsi="Consolas"/>
          <w:color w:val="A6261D"/>
        </w:rPr>
        <w:t xml:space="preserve">`</w:t>
      </w:r>
    </w:p>
    <w:p>
      <w:pPr>
        <w:numPr>
          <w:ilvl w:val="0"/>
          <w:numId w:val="2"/>
        </w:numPr>
      </w:pPr>
      <w:r>
        <w:t xml:space="preserve">Record per question: </w:t>
      </w:r>
      <w:r>
        <w:rPr>
          <w:rFonts w:ascii="Consolas" w:hAnsi="Consolas"/>
          <w:color w:val="A6261D"/>
        </w:rPr>
        <w:t xml:space="preserve">inputTokens</w:t>
      </w:r>
      <w:r>
        <w:t xml:space="preserve">, </w:t>
      </w:r>
      <w:r>
        <w:rPr>
          <w:rFonts w:ascii="Consolas" w:hAnsi="Consolas"/>
          <w:color w:val="A6261D"/>
        </w:rPr>
        <w:t xml:space="preserve">outputTokens</w:t>
      </w:r>
      <w:r>
        <w:t xml:space="preserve">, model id, number of LLM turns (Option 2), retries, latency.</w:t>
      </w:r>
    </w:p>
    <w:p>
      <w:pPr>
        <w:numPr>
          <w:ilvl w:val="0"/>
          <w:numId w:val="2"/>
        </w:numPr>
      </w:pPr>
      <w:r>
        <w:t xml:space="preserve">Compute </w:t>
      </w:r>
      <w:r>
        <w:rPr>
          <w:b/>
        </w:rPr>
        <w:t xml:space="preserve">cost per *answered* question</w:t>
      </w:r>
      <w:r>
        <w:t xml:space="preserve"> and extrapolate to monthly/annual at the agreed volume.</w:t>
      </w:r>
    </w:p>
    <w:p>
      <w:pPr>
        <w:numPr>
          <w:ilvl w:val="0"/>
          <w:numId w:val="2"/>
        </w:numPr>
      </w:pPr>
      <w:r>
        <w:t xml:space="preserve">Compare </w:t>
      </w:r>
      <w:r>
        <w:rPr>
          <w:b/>
        </w:rPr>
        <w:t xml:space="preserve">Sonnet vs Haiku</w:t>
      </w:r>
      <w:r>
        <w:t xml:space="preserve"> on answer quality + cost; set the tiered-routing policy.</w:t>
      </w:r>
    </w:p>
    <w:p>
      <w:r>
        <w:rPr>
          <w:b/>
        </w:rPr>
        <w:t xml:space="preserve">Metric that matters: cost per *good* answer</w:t>
      </w:r>
      <w:r>
        <w:t xml:space="preserve"> — a cheaper model that produces worse/ungrounded answers (more retries, lost trust) is not cheaper overall.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Appendix — document (image/PDF) extraction (only if a future enrichment needs it)</w:t>
      </w:r>
    </w:p>
    <w:p>
      <w:r>
        <w:t xml:space="preserve">The current SPARKS AI Search workload is </w:t>
      </w:r>
      <w:r>
        <w:rPr>
          <w:b/>
        </w:rPr>
        <w:t xml:space="preserve">text search</w:t>
      </w:r>
      <w:r>
        <w:t xml:space="preserve">, so OCR/vision extraction is </w:t>
      </w:r>
      <w:r>
        <w:rPr>
          <w:b/>
        </w:rPr>
        <w:t xml:space="preserve">out of scope</w:t>
      </w:r>
      <w:r>
        <w:t xml:space="preserve"> for Option 1/2 costing. *If* a future enrichment adds extracting fields from scanned documents/images into the search content, the same formula applies with these notes:</w:t>
      </w:r>
    </w:p>
    <w:p>
      <w:pPr>
        <w:numPr>
          <w:ilvl w:val="0"/>
          <w:numId w:val="1"/>
        </w:numPr>
      </w:pPr>
      <w:r>
        <w:t xml:space="preserve">Cost is dominated by </w:t>
      </w:r>
      <w:r>
        <w:rPr>
          <w:b/>
        </w:rPr>
        <w:t xml:space="preserve">document size</w:t>
      </w:r>
      <w:r>
        <w:t xml:space="preserve"> (a 20-page PDF ≫ one image), then output JSON size, then prompt length.</w:t>
      </w:r>
    </w:p>
    <w:p>
      <w:pPr>
        <w:numPr>
          <w:ilvl w:val="0"/>
          <w:numId w:val="1"/>
        </w:numPr>
      </w:pPr>
      <w:r>
        <w:t xml:space="preserve">Use </w:t>
      </w:r>
      <w:r>
        <w:rPr>
          <w:b/>
        </w:rPr>
        <w:t xml:space="preserve">managed Claude on Bedrock</w:t>
      </w:r>
      <w:r>
        <w:t xml:space="preserve"> (no open/self-hosted OCR); extract embedded text first, send only relevant pages.</w:t>
      </w:r>
    </w:p>
    <w:p>
      <w:pPr>
        <w:numPr>
          <w:ilvl w:val="0"/>
          <w:numId w:val="1"/>
        </w:numPr>
      </w:pPr>
      <w:r>
        <w:t xml:space="preserve">Measure </w:t>
      </w:r>
      <w:r>
        <w:rPr>
          <w:rFonts w:ascii="Consolas" w:hAnsi="Consolas"/>
          <w:color w:val="A6261D"/>
        </w:rPr>
        <w:t xml:space="preserve">inputTokens</w:t>
      </w:r>
      <w:r>
        <w:t xml:space="preserve">/</w:t>
      </w:r>
      <w:r>
        <w:rPr>
          <w:rFonts w:ascii="Consolas" w:hAnsi="Consolas"/>
          <w:color w:val="A6261D"/>
        </w:rPr>
        <w:t xml:space="preserve">outputTokens</w:t>
      </w:r>
      <w:r>
        <w:t xml:space="preserve"> per document and track </w:t>
      </w:r>
      <w:r>
        <w:rPr>
          <w:b/>
        </w:rPr>
        <w:t xml:space="preserve">cost per successfully extracted document</w:t>
      </w:r>
      <w:r>
        <w:t xml:space="preserve">.</w:t>
      </w:r>
    </w:p>
    <w:p>
      <w:r>
        <w:t xml:space="preserve">This is noted for completeness only; it is </w:t>
      </w:r>
      <w:r>
        <w:rPr>
          <w:b/>
        </w:rPr>
        <w:t xml:space="preserve">not</w:t>
      </w:r>
      <w:r>
        <w:t xml:space="preserve"> part of the Option 1/2 baseline cost above.</w:t>
      </w:r>
    </w:p>
    <w:sectPr>
      <w:pgSz w:w="12240" w:h="15840"/>
      <w:pgMar w:top="1152" w:right="864" w:bottom="1152" w:left="86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  <w:pBdr>
        <w:bottom w:val="single" w:sz="6" w:space="2" w:color="2E74B5"/>
      </w:pBdr>
      <w:outlineLvl w:val="1"/>
    </w:pPr>
    <w:rPr>
      <w:b/>
      <w:color w:val="2E74B5"/>
      <w:sz w:val="30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color w:val="2E74B5"/>
      <w:sz w:val="25"/>
    </w:rPr>
  </w:style>
  <w:style w:type="table" w:styleId="TableGrid">
    <w:name w:val="Table Grid"/>
    <w:basedOn w:val="TableNormal"/>
    <w:tblPr>
      <w:tblBorders>
        <w:top w:val="single" w:sz="4" w:color="CCCCCC"/>
        <w:left w:val="single" w:sz="4" w:color="CCCCCC"/>
        <w:bottom w:val="single" w:sz="4" w:color="CCCCCC"/>
        <w:right w:val="single" w:sz="4" w:color="CCCCCC"/>
        <w:insideH w:val="single" w:sz="4" w:color="CCCCCC"/>
        <w:insideV w:val="single" w:sz="4" w:color="CCCCCC"/>
      </w:tblBorders>
    </w:tbl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