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field, but the date criteria as removed from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08AF184" w14:textId="389DC6A5" w:rsidR="008D57F9" w:rsidRPr="001D28A7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65C3076" w14:textId="7F024C69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41EE6EB9" w14:textId="77777777" w:rsidR="001D28A7" w:rsidRDefault="001D28A7" w:rsidP="003A0FBC">
            <w:pPr>
              <w:rPr>
                <w:sz w:val="18"/>
                <w:szCs w:val="18"/>
              </w:rPr>
            </w:pPr>
          </w:p>
          <w:p w14:paraId="195FDF0D" w14:textId="17D6F76A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7B1E1CE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1E5CB2FF" w:rsidR="00844CFF" w:rsidRPr="00844CFF" w:rsidRDefault="00844CFF" w:rsidP="002C0A7C">
            <w:pPr>
              <w:rPr>
                <w:i/>
                <w:sz w:val="18"/>
                <w:szCs w:val="18"/>
              </w:rPr>
            </w:pPr>
            <w:r w:rsidRPr="00844CFF">
              <w:rPr>
                <w:i/>
                <w:sz w:val="18"/>
                <w:szCs w:val="18"/>
              </w:rPr>
              <w:t>John created the view V_UNIFIED_SECCHI</w:t>
            </w:r>
          </w:p>
        </w:tc>
        <w:tc>
          <w:tcPr>
            <w:tcW w:w="1193" w:type="dxa"/>
            <w:shd w:val="clear" w:color="auto" w:fill="auto"/>
          </w:tcPr>
          <w:p w14:paraId="66DEBE7C" w14:textId="3E7AFA32" w:rsidR="0005794D" w:rsidRDefault="00844CF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1903" w:type="dxa"/>
            <w:shd w:val="clear" w:color="auto" w:fill="auto"/>
          </w:tcPr>
          <w:p w14:paraId="0A3E8F30" w14:textId="2B2C97BA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bookmarkStart w:id="1" w:name="_GoBack"/>
            <w:bookmarkEnd w:id="1"/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where TIFF 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12F4F915" w:rsidR="008B203E" w:rsidRDefault="00794A6D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16312ED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77DEB536" w14:textId="6B2F0416" w:rsidR="006F430C" w:rsidRDefault="006F430C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shape be saved in the DB, so could be rendered in the map at any point?</w:t>
            </w:r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2A067C46" w:rsidR="008B203E" w:rsidRPr="00F464C5" w:rsidRDefault="00A2362F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F85A084" w:rsidR="00177798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  <w:tr w:rsidR="00844CFF" w:rsidRPr="003E6DC7" w14:paraId="3B90B7D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BC0E93F" w14:textId="3305C663" w:rsidR="00844CFF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0E386271" w14:textId="77777777" w:rsidR="00844CFF" w:rsidRDefault="00844CFF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Could we have sample SERD files that contain water colour data?</w:t>
            </w:r>
          </w:p>
          <w:p w14:paraId="42C1041B" w14:textId="25948700" w:rsidR="004D1FBE" w:rsidRDefault="004D1FBE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Useful to test import, export and the unified </w:t>
            </w:r>
            <w:proofErr w:type="spellStart"/>
            <w:r>
              <w:rPr>
                <w:bCs/>
                <w:sz w:val="18"/>
                <w:szCs w:val="18"/>
              </w:rPr>
              <w:t>secchi</w:t>
            </w:r>
            <w:proofErr w:type="spellEnd"/>
            <w:r>
              <w:rPr>
                <w:bCs/>
                <w:sz w:val="18"/>
                <w:szCs w:val="18"/>
              </w:rPr>
              <w:t xml:space="preserve"> view.</w:t>
            </w:r>
          </w:p>
        </w:tc>
        <w:tc>
          <w:tcPr>
            <w:tcW w:w="1003" w:type="dxa"/>
            <w:shd w:val="clear" w:color="auto" w:fill="auto"/>
          </w:tcPr>
          <w:p w14:paraId="01C76112" w14:textId="5B6D9BF8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58E39A2C" w14:textId="1A82BA8F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3580" w:type="dxa"/>
            <w:shd w:val="clear" w:color="auto" w:fill="auto"/>
          </w:tcPr>
          <w:p w14:paraId="2E9E7164" w14:textId="1AEC4C6C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</w:p>
        </w:tc>
        <w:tc>
          <w:tcPr>
            <w:tcW w:w="1193" w:type="dxa"/>
            <w:shd w:val="clear" w:color="auto" w:fill="auto"/>
          </w:tcPr>
          <w:p w14:paraId="0F70C6EC" w14:textId="491D5AF1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2024/06/26</w:t>
            </w:r>
          </w:p>
        </w:tc>
        <w:tc>
          <w:tcPr>
            <w:tcW w:w="1903" w:type="dxa"/>
            <w:shd w:val="clear" w:color="auto" w:fill="auto"/>
          </w:tcPr>
          <w:p w14:paraId="748C0B0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1B03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1FBE"/>
    <w:rsid w:val="004D5019"/>
    <w:rsid w:val="004F22D4"/>
    <w:rsid w:val="004F38F9"/>
    <w:rsid w:val="00506F44"/>
    <w:rsid w:val="0051064D"/>
    <w:rsid w:val="00511BBB"/>
    <w:rsid w:val="0051339D"/>
    <w:rsid w:val="00516573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430C"/>
    <w:rsid w:val="006F502E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4A6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44CFF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B08BE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362F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15C7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590F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42d8e6db-7b1e-4a51-8fbb-e5e83cc76820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d161086-4829-409f-9f75-5bde88dcb151"/>
  </ds:schemaRefs>
</ds:datastoreItem>
</file>

<file path=customXml/itemProps4.xml><?xml version="1.0" encoding="utf-8"?>
<ds:datastoreItem xmlns:ds="http://schemas.openxmlformats.org/officeDocument/2006/customXml" ds:itemID="{1F7CCD37-BAB1-4872-A10D-CA740D41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7302</TotalTime>
  <Pages>17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382</cp:revision>
  <dcterms:created xsi:type="dcterms:W3CDTF">2024-04-09T14:12:00Z</dcterms:created>
  <dcterms:modified xsi:type="dcterms:W3CDTF">2024-06-27T10:39:00Z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