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D5C" w:rsidRDefault="007F5FFE" w:rsidP="007F5FFE">
      <w:pPr>
        <w:pStyle w:val="Heading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7F5FFE" w:rsidRDefault="007F5FFE" w:rsidP="00EE0EE6">
      <w:pPr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nợ</w:t>
      </w:r>
      <w:proofErr w:type="spellEnd"/>
      <w:r>
        <w:t>.</w:t>
      </w:r>
    </w:p>
    <w:p w:rsidR="007F5FFE" w:rsidRDefault="00B52C2B" w:rsidP="00B52C2B">
      <w:pPr>
        <w:pStyle w:val="Heading2"/>
        <w:ind w:right="96"/>
      </w:pP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</w:p>
    <w:p w:rsidR="00B52C2B" w:rsidRPr="00B52C2B" w:rsidRDefault="00B52C2B" w:rsidP="00B52C2B"/>
    <w:p w:rsidR="00B52C2B" w:rsidRPr="00B52C2B" w:rsidRDefault="00B52C2B" w:rsidP="00B52C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Current Ratio=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ShortTerm Asset</m:t>
              </m:r>
            </m:num>
            <m:den>
              <m:r>
                <w:rPr>
                  <w:rFonts w:ascii="Cambria Math" w:hAnsi="Cambria Math"/>
                </w:rPr>
                <m:t>ShortTerm Liabilities</m:t>
              </m:r>
            </m:den>
          </m:f>
        </m:oMath>
      </m:oMathPara>
    </w:p>
    <w:p w:rsidR="00B52C2B" w:rsidRPr="00B52C2B" w:rsidRDefault="00B52C2B" w:rsidP="00B52C2B">
      <w:pPr>
        <w:rPr>
          <w:rFonts w:eastAsiaTheme="minorEastAsia"/>
        </w:rPr>
      </w:pPr>
    </w:p>
    <w:p w:rsidR="00B52C2B" w:rsidRPr="00B52C2B" w:rsidRDefault="00B52C2B" w:rsidP="00B52C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Quick </m:t>
          </m:r>
          <m:r>
            <w:rPr>
              <w:rFonts w:ascii="Cambria Math" w:hAnsi="Cambria Math"/>
            </w:rPr>
            <m:t>Ratio=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Short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erm Asset</m:t>
              </m:r>
              <m:r>
                <w:rPr>
                  <w:rFonts w:ascii="Cambria Math" w:hAnsi="Cambria Math"/>
                </w:rPr>
                <m:t>- Inventory</m:t>
              </m:r>
            </m:num>
            <m:den>
              <m:r>
                <w:rPr>
                  <w:rFonts w:ascii="Cambria Math" w:hAnsi="Cambria Math"/>
                </w:rPr>
                <m:t>Short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erm Liabilities</m:t>
              </m:r>
            </m:den>
          </m:f>
        </m:oMath>
      </m:oMathPara>
    </w:p>
    <w:p w:rsidR="00B52C2B" w:rsidRDefault="00B52C2B" w:rsidP="00B52C2B">
      <w:pPr>
        <w:jc w:val="center"/>
      </w:pPr>
    </w:p>
    <w:p w:rsidR="00B52C2B" w:rsidRDefault="00B52C2B" w:rsidP="00B52C2B"/>
    <w:tbl>
      <w:tblPr>
        <w:tblW w:w="6981" w:type="dxa"/>
        <w:jc w:val="center"/>
        <w:tblLook w:val="04A0" w:firstRow="1" w:lastRow="0" w:firstColumn="1" w:lastColumn="0" w:noHBand="0" w:noVBand="1"/>
      </w:tblPr>
      <w:tblGrid>
        <w:gridCol w:w="1641"/>
        <w:gridCol w:w="1526"/>
        <w:gridCol w:w="2034"/>
        <w:gridCol w:w="1780"/>
      </w:tblGrid>
      <w:tr w:rsidR="00B52C2B" w:rsidRPr="00B52C2B" w:rsidTr="00476A62">
        <w:trPr>
          <w:trHeight w:val="390"/>
          <w:jc w:val="center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C2B" w:rsidRPr="00B52C2B" w:rsidRDefault="00476A62" w:rsidP="00B52C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76A6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Y</w:t>
            </w:r>
            <w:r w:rsidR="00B52C2B" w:rsidRPr="00B52C2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ear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C2B" w:rsidRPr="00B52C2B" w:rsidRDefault="00B52C2B" w:rsidP="00B52C2B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B52C2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C2B" w:rsidRPr="00B52C2B" w:rsidRDefault="00B52C2B" w:rsidP="00B52C2B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B52C2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C2B" w:rsidRPr="00B52C2B" w:rsidRDefault="00B52C2B" w:rsidP="00B52C2B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B52C2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2021</w:t>
            </w:r>
          </w:p>
        </w:tc>
      </w:tr>
      <w:tr w:rsidR="00B52C2B" w:rsidRPr="00B52C2B" w:rsidTr="00476A62">
        <w:trPr>
          <w:trHeight w:val="390"/>
          <w:jc w:val="center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C2B" w:rsidRPr="00B52C2B" w:rsidRDefault="00B52C2B" w:rsidP="00B52C2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52C2B">
              <w:rPr>
                <w:rFonts w:eastAsia="Times New Roman" w:cs="Times New Roman"/>
                <w:color w:val="000000"/>
                <w:sz w:val="24"/>
                <w:szCs w:val="24"/>
              </w:rPr>
              <w:t>Current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C2B" w:rsidRPr="00B52C2B" w:rsidRDefault="00B52C2B" w:rsidP="00B52C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52C2B">
              <w:rPr>
                <w:rFonts w:eastAsia="Times New Roman" w:cs="Times New Roman"/>
                <w:color w:val="000000"/>
                <w:sz w:val="24"/>
                <w:szCs w:val="24"/>
              </w:rPr>
              <w:t>2.722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C2B" w:rsidRPr="00B52C2B" w:rsidRDefault="00B52C2B" w:rsidP="00B52C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52C2B">
              <w:rPr>
                <w:rFonts w:eastAsia="Times New Roman" w:cs="Times New Roman"/>
                <w:color w:val="000000"/>
                <w:sz w:val="24"/>
                <w:szCs w:val="24"/>
              </w:rPr>
              <w:t>1.092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C2B" w:rsidRPr="00B52C2B" w:rsidRDefault="00B52C2B" w:rsidP="00B52C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52C2B">
              <w:rPr>
                <w:rFonts w:eastAsia="Times New Roman" w:cs="Times New Roman"/>
                <w:color w:val="000000"/>
                <w:sz w:val="24"/>
                <w:szCs w:val="24"/>
              </w:rPr>
              <w:t>1.282</w:t>
            </w:r>
          </w:p>
        </w:tc>
      </w:tr>
      <w:tr w:rsidR="00B52C2B" w:rsidRPr="00B52C2B" w:rsidTr="00476A62">
        <w:trPr>
          <w:trHeight w:val="390"/>
          <w:jc w:val="center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C2B" w:rsidRPr="00B52C2B" w:rsidRDefault="00B52C2B" w:rsidP="00B52C2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52C2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Quick 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C2B" w:rsidRPr="00B52C2B" w:rsidRDefault="00B52C2B" w:rsidP="00B52C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52C2B">
              <w:rPr>
                <w:rFonts w:eastAsia="Times New Roman" w:cs="Times New Roman"/>
                <w:color w:val="000000"/>
                <w:sz w:val="24"/>
                <w:szCs w:val="24"/>
              </w:rPr>
              <w:t>2.003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C2B" w:rsidRPr="00B52C2B" w:rsidRDefault="00B52C2B" w:rsidP="00B52C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52C2B">
              <w:rPr>
                <w:rFonts w:eastAsia="Times New Roman" w:cs="Times New Roman"/>
                <w:color w:val="000000"/>
                <w:sz w:val="24"/>
                <w:szCs w:val="24"/>
              </w:rPr>
              <w:t>0.586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C2B" w:rsidRPr="00B52C2B" w:rsidRDefault="00B52C2B" w:rsidP="00B52C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52C2B">
              <w:rPr>
                <w:rFonts w:eastAsia="Times New Roman" w:cs="Times New Roman"/>
                <w:color w:val="000000"/>
                <w:sz w:val="24"/>
                <w:szCs w:val="24"/>
              </w:rPr>
              <w:t>0.708</w:t>
            </w:r>
          </w:p>
        </w:tc>
      </w:tr>
      <w:tr w:rsidR="00B52C2B" w:rsidRPr="00B52C2B" w:rsidTr="00476A62">
        <w:trPr>
          <w:trHeight w:val="390"/>
          <w:jc w:val="center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C2B" w:rsidRPr="00B52C2B" w:rsidRDefault="00B52C2B" w:rsidP="00B52C2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52C2B">
              <w:rPr>
                <w:rFonts w:eastAsia="Times New Roman" w:cs="Times New Roman"/>
                <w:color w:val="000000"/>
                <w:sz w:val="24"/>
                <w:szCs w:val="24"/>
              </w:rPr>
              <w:t>Cash payment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C2B" w:rsidRPr="00B52C2B" w:rsidRDefault="00B52C2B" w:rsidP="00B52C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52C2B">
              <w:rPr>
                <w:rFonts w:eastAsia="Times New Roman" w:cs="Times New Roman"/>
                <w:color w:val="000000"/>
                <w:sz w:val="24"/>
                <w:szCs w:val="24"/>
              </w:rPr>
              <w:t>0.168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C2B" w:rsidRPr="00B52C2B" w:rsidRDefault="00B52C2B" w:rsidP="00B52C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52C2B">
              <w:rPr>
                <w:rFonts w:eastAsia="Times New Roman" w:cs="Times New Roman"/>
                <w:color w:val="000000"/>
                <w:sz w:val="24"/>
                <w:szCs w:val="24"/>
              </w:rPr>
              <w:t>0.264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C2B" w:rsidRPr="00B52C2B" w:rsidRDefault="00B52C2B" w:rsidP="00B52C2B">
            <w:pPr>
              <w:keepNext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52C2B">
              <w:rPr>
                <w:rFonts w:eastAsia="Times New Roman" w:cs="Times New Roman"/>
                <w:color w:val="000000"/>
                <w:sz w:val="24"/>
                <w:szCs w:val="24"/>
              </w:rPr>
              <w:t>0.306</w:t>
            </w:r>
          </w:p>
        </w:tc>
      </w:tr>
    </w:tbl>
    <w:p w:rsidR="00B52C2B" w:rsidRDefault="00B52C2B" w:rsidP="00B52C2B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2019-2021</w:t>
      </w:r>
    </w:p>
    <w:p w:rsidR="00B52C2B" w:rsidRDefault="00B52C2B" w:rsidP="00B52C2B"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2021 </w:t>
      </w:r>
      <w:proofErr w:type="spellStart"/>
      <w:r>
        <w:t>là</w:t>
      </w:r>
      <w:proofErr w:type="spellEnd"/>
      <w:r>
        <w:t xml:space="preserve"> 1.282,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1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1.282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2021 </w:t>
      </w:r>
      <w:proofErr w:type="spellStart"/>
      <w:r>
        <w:t>là</w:t>
      </w:r>
      <w:proofErr w:type="spellEnd"/>
      <w:r>
        <w:t xml:space="preserve"> 0.708.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1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0.708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 w:rsidR="00181DFE">
        <w:t>.</w:t>
      </w:r>
    </w:p>
    <w:p w:rsidR="00476A62" w:rsidRDefault="0028471A" w:rsidP="00B52C2B"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2019,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bookmarkStart w:id="0" w:name="_GoBack"/>
      <w:bookmarkEnd w:id="0"/>
    </w:p>
    <w:p w:rsidR="00181DFE" w:rsidRDefault="00181DFE" w:rsidP="00B52C2B"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 w:rsidR="00476A62">
        <w:t>tham</w:t>
      </w:r>
      <w:proofErr w:type="spellEnd"/>
      <w:r w:rsidR="00476A62">
        <w:t xml:space="preserve"> </w:t>
      </w:r>
      <w:proofErr w:type="spellStart"/>
      <w:r w:rsidR="00476A62">
        <w:t>chiếu</w:t>
      </w:r>
      <w:proofErr w:type="spellEnd"/>
      <w:r>
        <w:t xml:space="preserve">, 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thép</w:t>
      </w:r>
      <w:proofErr w:type="spellEnd"/>
      <w:r>
        <w:t xml:space="preserve"> ở </w:t>
      </w:r>
      <w:proofErr w:type="spellStart"/>
      <w:r>
        <w:t>Việt</w:t>
      </w:r>
      <w:proofErr w:type="spellEnd"/>
      <w:r>
        <w:t xml:space="preserve"> Nam.</w:t>
      </w:r>
    </w:p>
    <w:p w:rsidR="00181DFE" w:rsidRDefault="00181DFE" w:rsidP="00B52C2B"/>
    <w:p w:rsidR="00B52C2B" w:rsidRPr="00B52C2B" w:rsidRDefault="00B52C2B" w:rsidP="00B52C2B"/>
    <w:sectPr w:rsidR="00B52C2B" w:rsidRPr="00B52C2B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FE"/>
    <w:rsid w:val="00181DFE"/>
    <w:rsid w:val="0028471A"/>
    <w:rsid w:val="00476A62"/>
    <w:rsid w:val="00792D5C"/>
    <w:rsid w:val="007F5FFE"/>
    <w:rsid w:val="00B52C2B"/>
    <w:rsid w:val="00C22EE2"/>
    <w:rsid w:val="00EE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3D87"/>
  <w15:chartTrackingRefBased/>
  <w15:docId w15:val="{B38D077D-74DD-48D0-87C5-41394C31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EE6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EE6"/>
    <w:pPr>
      <w:keepNext/>
      <w:keepLines/>
      <w:spacing w:before="40" w:after="0"/>
      <w:outlineLvl w:val="1"/>
    </w:pPr>
    <w:rPr>
      <w:rFonts w:eastAsiaTheme="majorEastAsia" w:cstheme="majorBidi"/>
      <w:i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EE6"/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0EE6"/>
    <w:rPr>
      <w:rFonts w:eastAsiaTheme="majorEastAsia" w:cstheme="majorBidi"/>
      <w:i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52C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427F0-80EB-4396-84B1-963EBBB1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2022-06-19T03:10:00Z</dcterms:created>
  <dcterms:modified xsi:type="dcterms:W3CDTF">2022-06-19T05:50:00Z</dcterms:modified>
</cp:coreProperties>
</file>