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4D99" w14:textId="07345F2B" w:rsidR="005828BC" w:rsidRPr="00066DF3" w:rsidRDefault="00FD378E" w:rsidP="00A94D9F">
      <w:pPr>
        <w:jc w:val="both"/>
        <w:rPr>
          <w:rFonts w:ascii="Times New Roman" w:hAnsi="Times New Roman" w:cs="Times New Roman"/>
          <w:b/>
          <w:bCs/>
          <w:lang w:val="vi-VN"/>
        </w:rPr>
      </w:pPr>
      <w:r w:rsidRPr="00066DF3">
        <w:rPr>
          <w:rFonts w:ascii="Times New Roman" w:hAnsi="Times New Roman" w:cs="Times New Roman"/>
          <w:b/>
          <w:bCs/>
          <w:sz w:val="28"/>
          <w:szCs w:val="28"/>
          <w:lang w:val="vi-VN"/>
        </w:rPr>
        <w:t>Phân tích Báo cáo Kết quả Hoạt động Kinh doanh:</w:t>
      </w:r>
    </w:p>
    <w:p w14:paraId="75F98030" w14:textId="77777777" w:rsidR="00066DF3" w:rsidRPr="00A94D9F" w:rsidRDefault="00066DF3" w:rsidP="00A94D9F">
      <w:pPr>
        <w:jc w:val="both"/>
        <w:rPr>
          <w:rFonts w:ascii="Times New Roman" w:hAnsi="Times New Roman" w:cs="Times New Roman"/>
          <w:lang w:val="vi-VN"/>
        </w:rPr>
      </w:pPr>
    </w:p>
    <w:p w14:paraId="689E944E" w14:textId="7F33B74E" w:rsidR="00DE120F" w:rsidRPr="007D4194" w:rsidRDefault="00066DF3" w:rsidP="00A94D9F">
      <w:pPr>
        <w:jc w:val="both"/>
        <w:rPr>
          <w:rFonts w:ascii="Times New Roman" w:hAnsi="Times New Roman" w:cs="Times New Roman"/>
          <w:sz w:val="28"/>
          <w:szCs w:val="28"/>
          <w:lang w:val="vi-VN"/>
        </w:rPr>
      </w:pPr>
      <w:r w:rsidRPr="007D4194">
        <w:rPr>
          <w:rFonts w:ascii="Times New Roman" w:hAnsi="Times New Roman" w:cs="Times New Roman"/>
          <w:sz w:val="28"/>
          <w:szCs w:val="28"/>
          <w:lang w:val="vi-VN"/>
        </w:rPr>
        <w:t>*</w:t>
      </w:r>
      <w:r w:rsidR="00ED5317" w:rsidRPr="007D4194">
        <w:rPr>
          <w:rFonts w:ascii="Times New Roman" w:hAnsi="Times New Roman" w:cs="Times New Roman"/>
          <w:sz w:val="28"/>
          <w:szCs w:val="28"/>
          <w:lang w:val="vi-VN"/>
        </w:rPr>
        <w:t>Sự biến động Kết quả Hoạt động Kinh doanh từ năm 2019 đến năm 2021.</w:t>
      </w:r>
    </w:p>
    <w:p w14:paraId="7636DA05" w14:textId="3156E43C" w:rsidR="00ED5317" w:rsidRDefault="00ED5317" w:rsidP="00A94D9F">
      <w:pPr>
        <w:jc w:val="both"/>
        <w:rPr>
          <w:rFonts w:ascii="Times New Roman" w:hAnsi="Times New Roman" w:cs="Times New Roman"/>
          <w:lang w:val="vi-VN"/>
        </w:rPr>
      </w:pPr>
    </w:p>
    <w:tbl>
      <w:tblPr>
        <w:tblW w:w="11658" w:type="dxa"/>
        <w:tblInd w:w="-1144" w:type="dxa"/>
        <w:tblCellMar>
          <w:left w:w="0" w:type="dxa"/>
          <w:right w:w="0" w:type="dxa"/>
        </w:tblCellMar>
        <w:tblLook w:val="0600" w:firstRow="0" w:lastRow="0" w:firstColumn="0" w:lastColumn="0" w:noHBand="1" w:noVBand="1"/>
      </w:tblPr>
      <w:tblGrid>
        <w:gridCol w:w="510"/>
        <w:gridCol w:w="1758"/>
        <w:gridCol w:w="1134"/>
        <w:gridCol w:w="1156"/>
        <w:gridCol w:w="1099"/>
        <w:gridCol w:w="1134"/>
        <w:gridCol w:w="964"/>
        <w:gridCol w:w="1034"/>
        <w:gridCol w:w="935"/>
        <w:gridCol w:w="889"/>
        <w:gridCol w:w="1045"/>
      </w:tblGrid>
      <w:tr w:rsidR="007D4194" w:rsidRPr="00ED5317" w14:paraId="09781666" w14:textId="77777777" w:rsidTr="007D4194">
        <w:trPr>
          <w:trHeight w:val="562"/>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ED51B1E"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STT</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07E43C4" w14:textId="5DCEFA57" w:rsidR="00ED5317" w:rsidRPr="00ED5317" w:rsidRDefault="00ED5317" w:rsidP="00066DF3">
            <w:pPr>
              <w:jc w:val="center"/>
              <w:rPr>
                <w:rFonts w:ascii="Times New Roman" w:hAnsi="Times New Roman" w:cs="Times New Roman"/>
                <w:sz w:val="22"/>
                <w:szCs w:val="22"/>
              </w:rPr>
            </w:pPr>
          </w:p>
        </w:tc>
        <w:tc>
          <w:tcPr>
            <w:tcW w:w="1134"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6FA5F0B" w14:textId="48EF5534"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2021</w:t>
            </w:r>
            <w:r w:rsidRPr="00ED5317">
              <w:rPr>
                <w:rFonts w:ascii="Times New Roman" w:hAnsi="Times New Roman" w:cs="Times New Roman"/>
                <w:b/>
                <w:bCs/>
                <w:sz w:val="22"/>
                <w:szCs w:val="22"/>
                <w:lang w:val="en-US"/>
              </w:rPr>
              <w:br/>
              <w:t>Tỷ VND</w:t>
            </w:r>
          </w:p>
        </w:tc>
        <w:tc>
          <w:tcPr>
            <w:tcW w:w="1156"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E1CDC3F" w14:textId="646B946E"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2020</w:t>
            </w:r>
            <w:r w:rsidRPr="00ED5317">
              <w:rPr>
                <w:rFonts w:ascii="Times New Roman" w:hAnsi="Times New Roman" w:cs="Times New Roman"/>
                <w:b/>
                <w:bCs/>
                <w:sz w:val="22"/>
                <w:szCs w:val="22"/>
                <w:lang w:val="en-US"/>
              </w:rPr>
              <w:br/>
              <w:t>Tỷ VND</w:t>
            </w:r>
          </w:p>
        </w:tc>
        <w:tc>
          <w:tcPr>
            <w:tcW w:w="1099"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43A4B85" w14:textId="017FCFE3"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2019</w:t>
            </w:r>
            <w:r w:rsidRPr="00ED5317">
              <w:rPr>
                <w:rFonts w:ascii="Times New Roman" w:hAnsi="Times New Roman" w:cs="Times New Roman"/>
                <w:b/>
                <w:bCs/>
                <w:sz w:val="22"/>
                <w:szCs w:val="22"/>
                <w:lang w:val="en-US"/>
              </w:rPr>
              <w:br/>
              <w:t>Tỷ VND</w:t>
            </w:r>
          </w:p>
        </w:tc>
        <w:tc>
          <w:tcPr>
            <w:tcW w:w="1134"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B6FFB65"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CL 21-20</w:t>
            </w:r>
          </w:p>
        </w:tc>
        <w:tc>
          <w:tcPr>
            <w:tcW w:w="964"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20C0F81"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 CL</w:t>
            </w:r>
          </w:p>
        </w:tc>
        <w:tc>
          <w:tcPr>
            <w:tcW w:w="1034"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3BBC273"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CL 20-19</w:t>
            </w:r>
          </w:p>
        </w:tc>
        <w:tc>
          <w:tcPr>
            <w:tcW w:w="935"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51F6F8C"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%CL</w:t>
            </w:r>
          </w:p>
        </w:tc>
        <w:tc>
          <w:tcPr>
            <w:tcW w:w="889" w:type="dxa"/>
            <w:tcBorders>
              <w:top w:val="single" w:sz="8" w:space="0" w:color="FFFFFF"/>
              <w:left w:val="single" w:sz="8" w:space="0" w:color="FFFFFF"/>
              <w:bottom w:val="single" w:sz="8" w:space="0" w:color="FFFFFF"/>
              <w:right w:val="single" w:sz="8" w:space="0" w:color="FFFFFF"/>
            </w:tcBorders>
            <w:shd w:val="clear" w:color="auto" w:fill="A9D18E"/>
            <w:tcMar>
              <w:top w:w="15" w:type="dxa"/>
              <w:left w:w="15" w:type="dxa"/>
              <w:bottom w:w="0" w:type="dxa"/>
              <w:right w:w="15" w:type="dxa"/>
            </w:tcMar>
            <w:vAlign w:val="center"/>
            <w:hideMark/>
          </w:tcPr>
          <w:p w14:paraId="3207296C" w14:textId="1F56F6EE"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TĐTT</w:t>
            </w:r>
          </w:p>
          <w:p w14:paraId="57CCECB9"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21-20</w:t>
            </w:r>
          </w:p>
        </w:tc>
        <w:tc>
          <w:tcPr>
            <w:tcW w:w="1045" w:type="dxa"/>
            <w:tcBorders>
              <w:top w:val="single" w:sz="8" w:space="0" w:color="FFFFFF"/>
              <w:left w:val="single" w:sz="8" w:space="0" w:color="FFFFFF"/>
              <w:bottom w:val="single" w:sz="8" w:space="0" w:color="FFFFFF"/>
              <w:right w:val="single" w:sz="8" w:space="0" w:color="FFFFFF"/>
            </w:tcBorders>
            <w:shd w:val="clear" w:color="auto" w:fill="A9D18E"/>
            <w:tcMar>
              <w:top w:w="15" w:type="dxa"/>
              <w:left w:w="15" w:type="dxa"/>
              <w:bottom w:w="0" w:type="dxa"/>
              <w:right w:w="15" w:type="dxa"/>
            </w:tcMar>
            <w:vAlign w:val="center"/>
            <w:hideMark/>
          </w:tcPr>
          <w:p w14:paraId="6BA262E6" w14:textId="664BDC88"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TĐTT</w:t>
            </w:r>
          </w:p>
          <w:p w14:paraId="4FB90EC2" w14:textId="77777777" w:rsidR="00ED5317" w:rsidRPr="00ED5317" w:rsidRDefault="00ED5317" w:rsidP="00066DF3">
            <w:pPr>
              <w:jc w:val="center"/>
              <w:rPr>
                <w:rFonts w:ascii="Times New Roman" w:hAnsi="Times New Roman" w:cs="Times New Roman"/>
                <w:sz w:val="22"/>
                <w:szCs w:val="22"/>
              </w:rPr>
            </w:pPr>
            <w:r w:rsidRPr="00ED5317">
              <w:rPr>
                <w:rFonts w:ascii="Times New Roman" w:hAnsi="Times New Roman" w:cs="Times New Roman"/>
                <w:b/>
                <w:bCs/>
                <w:sz w:val="22"/>
                <w:szCs w:val="22"/>
                <w:lang w:val="en-US"/>
              </w:rPr>
              <w:t>21-19</w:t>
            </w:r>
          </w:p>
        </w:tc>
      </w:tr>
      <w:tr w:rsidR="007D4194" w:rsidRPr="00ED5317" w14:paraId="1AE9B880" w14:textId="77777777" w:rsidTr="007D4194">
        <w:trPr>
          <w:trHeight w:val="498"/>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F000C70"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FEA062C"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Doanh thu bán hàng và cung cấp dịch vụ</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FFB858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150.865</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F3E40B8"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91.279</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3245A0FF"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64.677</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43E1B6C"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59.586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DAECE55"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65,28%</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62E736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26.602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F0D7501"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41,13%</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24E919D"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65,28%</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B34FD63"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133,26%</w:t>
            </w:r>
          </w:p>
        </w:tc>
      </w:tr>
      <w:tr w:rsidR="007D4194" w:rsidRPr="00ED5317" w14:paraId="0DE953A1" w14:textId="77777777" w:rsidTr="007D4194">
        <w:trPr>
          <w:trHeight w:val="429"/>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357D1CE"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2</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B18945E"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Các khoản giảm trừ doanh thu</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900AD6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1.185</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A08CDF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1.160</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ED2412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1.019</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319D5B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25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12802C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6FF627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141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E71355D"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13,81%</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8190B39"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23D06CC4"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16,26%</w:t>
            </w:r>
          </w:p>
        </w:tc>
      </w:tr>
      <w:tr w:rsidR="007D4194" w:rsidRPr="00ED5317" w14:paraId="3F02B690" w14:textId="77777777" w:rsidTr="007D4194">
        <w:trPr>
          <w:trHeight w:val="457"/>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B39F259"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3</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9131647"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 xml:space="preserve">Doanh thu thuần về bán hàng và cung cấp dịch vụ </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3C4A626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149.679</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CAD131C"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90.118</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6C2D3EA"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63.658</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B48A16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59.561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C65E89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66,09%</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C994E8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26.460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065C703"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41,57%</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3B90AC9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66,09%</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383AB371"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135,13%</w:t>
            </w:r>
          </w:p>
        </w:tc>
      </w:tr>
      <w:tr w:rsidR="007D4194" w:rsidRPr="00ED5317" w14:paraId="5C424FAE" w14:textId="77777777" w:rsidTr="007D4194">
        <w:trPr>
          <w:trHeight w:val="314"/>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6229B36"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4</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8A94BD8"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Giá vốn hàng bán và dịch vụ cung cấp</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1CF868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108.571</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168691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71.214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D9584C7"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52.472</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C13C12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37.357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CE6B0FE"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52,46%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920CB5A"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18.742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A2615A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35,72%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21ABA2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52,46%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6656E3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106,91%</w:t>
            </w:r>
          </w:p>
        </w:tc>
      </w:tr>
      <w:tr w:rsidR="007D4194" w:rsidRPr="00ED5317" w14:paraId="04E08293"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76F7B148"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5</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75906A7"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Lợi nhuận gộp</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D60F2EF"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41.108</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B54927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18.904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684B32F"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11.185</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BDAC98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22.204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371DD0B"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117,46%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239ADD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7.719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9CFB9F9"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69,01%</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11E524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117,46%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3468EC9"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267,52%</w:t>
            </w:r>
          </w:p>
        </w:tc>
      </w:tr>
      <w:tr w:rsidR="007D4194" w:rsidRPr="00ED5317" w14:paraId="0AA2498E"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33FDF4CE"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6</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30A54D8A"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Doanh thu hoạt động tài chính</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09C84A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3.071</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F997BC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1.004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E2EEA0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471</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8D4A26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2.067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0670211"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205,68%</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AC705F1"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533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03BB82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113,31%</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7E13B20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205,68%</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4A2F51D"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552,04%</w:t>
            </w:r>
          </w:p>
        </w:tc>
      </w:tr>
      <w:tr w:rsidR="007D4194" w:rsidRPr="00ED5317" w14:paraId="404384E0"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0EEC9545"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7</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52732E3"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Chi phí tài chính</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BD7F87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3.731</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764E54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2.837</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4BD614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1.181</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0491A37"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894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F7F5F6A"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31,51%</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47C182A"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1.656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7B7BD0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140,12%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EDAD927"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31,51%</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CC9AECB"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215,78%</w:t>
            </w:r>
          </w:p>
        </w:tc>
      </w:tr>
      <w:tr w:rsidR="007D4194" w:rsidRPr="00ED5317" w14:paraId="466639F5"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794D6B20" w14:textId="1C4E1C40" w:rsidR="00ED5317" w:rsidRPr="00ED5317" w:rsidRDefault="00ED5317" w:rsidP="00ED5317">
            <w:pPr>
              <w:jc w:val="center"/>
              <w:rPr>
                <w:rFonts w:ascii="Times New Roman" w:hAnsi="Times New Roman" w:cs="Times New Roman"/>
                <w:sz w:val="22"/>
                <w:szCs w:val="22"/>
              </w:rPr>
            </w:pP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A139E17"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Trong đó: Chi phí đi vay</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DA4AEBF"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2.525</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1D0BFC9"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2.191</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05A592A"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936</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51B5D4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334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5D5348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15,25%</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F4DADF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1.255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2186F31"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133,98%</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E6E922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15,25%</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2E8C1F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169,65%</w:t>
            </w:r>
          </w:p>
        </w:tc>
      </w:tr>
      <w:tr w:rsidR="007D4194" w:rsidRPr="00ED5317" w14:paraId="2361B67F"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ACA574D"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8</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F840303"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Phần lãi trong công ty liên kết</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6743BF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4</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42E581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0F5410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BCC232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16E3E54"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127,28%</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D59F33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ED41829" w14:textId="267F6FB2" w:rsidR="00ED5317" w:rsidRPr="00ED5317" w:rsidRDefault="00066DF3" w:rsidP="00066DF3">
            <w:pPr>
              <w:jc w:val="right"/>
              <w:rPr>
                <w:rFonts w:ascii="Times New Roman" w:hAnsi="Times New Roman" w:cs="Times New Roman"/>
                <w:sz w:val="22"/>
                <w:szCs w:val="22"/>
              </w:rPr>
            </w:pPr>
            <w:r>
              <w:rPr>
                <w:rFonts w:ascii="Times New Roman" w:hAnsi="Times New Roman" w:cs="Times New Roman"/>
                <w:sz w:val="22"/>
                <w:szCs w:val="22"/>
                <w:lang w:val="vi-VN"/>
              </w:rPr>
              <w:t>-</w:t>
            </w:r>
            <w:r w:rsidR="00ED5317" w:rsidRPr="00ED5317">
              <w:rPr>
                <w:rFonts w:ascii="Times New Roman" w:hAnsi="Times New Roman" w:cs="Times New Roman"/>
                <w:sz w:val="22"/>
                <w:szCs w:val="22"/>
              </w:rPr>
              <w:t>237,26%</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39AFC9EA"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127,28%</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27E1FADD" w14:textId="1D782DBD" w:rsidR="00ED5317" w:rsidRPr="00ED5317" w:rsidRDefault="00066DF3" w:rsidP="00066DF3">
            <w:pPr>
              <w:jc w:val="right"/>
              <w:rPr>
                <w:rFonts w:ascii="Times New Roman" w:hAnsi="Times New Roman" w:cs="Times New Roman"/>
                <w:sz w:val="22"/>
                <w:szCs w:val="22"/>
              </w:rPr>
            </w:pPr>
            <w:r>
              <w:rPr>
                <w:rFonts w:ascii="Times New Roman" w:hAnsi="Times New Roman" w:cs="Times New Roman"/>
                <w:sz w:val="22"/>
                <w:szCs w:val="22"/>
                <w:lang w:val="vi-VN"/>
              </w:rPr>
              <w:t>-</w:t>
            </w:r>
            <w:r w:rsidR="00ED5317" w:rsidRPr="00ED5317">
              <w:rPr>
                <w:rFonts w:ascii="Times New Roman" w:hAnsi="Times New Roman" w:cs="Times New Roman"/>
                <w:sz w:val="22"/>
                <w:szCs w:val="22"/>
              </w:rPr>
              <w:t>411,97%</w:t>
            </w:r>
          </w:p>
        </w:tc>
      </w:tr>
      <w:tr w:rsidR="007D4194" w:rsidRPr="00ED5317" w14:paraId="32013F90"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76A2E12D"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9</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1A580A5"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Chi phi bán hàng</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545192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2.120</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6E3A80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1.090</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6B18508"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873</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3496D1C"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1.030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2EB7F8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94,36%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F88F66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217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46281E6"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24,90%</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21E2747"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94,36%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19D596A7"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142,76%</w:t>
            </w:r>
          </w:p>
        </w:tc>
      </w:tr>
      <w:tr w:rsidR="007D4194" w:rsidRPr="00ED5317" w14:paraId="6027079F"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74F0484F"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10</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112E61A"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Chi phí quản lý doanh nghiệp</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D12406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1.324</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03D517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690</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B69FB0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569</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BCEE32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634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AED12D4"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91,84%</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3F829A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121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263C9CE"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21,32%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7941DC9E"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91,84%</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EB9921B"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132,73%</w:t>
            </w:r>
          </w:p>
        </w:tc>
      </w:tr>
      <w:tr w:rsidR="007D4194" w:rsidRPr="00ED5317" w14:paraId="201EAAD7" w14:textId="77777777" w:rsidTr="007D4194">
        <w:trPr>
          <w:trHeight w:val="430"/>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45C5BAB"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11</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76358117"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 xml:space="preserve">Lợi nhuận thuần từ hoạt động kinh doanh </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DA6449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37.008</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EA3459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15.292</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8B1131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9.030</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C350DA1"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21.716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A58918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142,01%</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2D4098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6.262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B7DD12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69,33%</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24CD10C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142,01%</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A0A16EE"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309,79%</w:t>
            </w:r>
          </w:p>
        </w:tc>
      </w:tr>
      <w:tr w:rsidR="007D4194" w:rsidRPr="00ED5317" w14:paraId="2F1F8A34" w14:textId="77777777" w:rsidTr="007D4194">
        <w:trPr>
          <w:trHeight w:val="368"/>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38CAFAE"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12</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73C7B2E"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Thu nhập khác</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64E6CC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796</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9B0CD3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654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EBC86A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657</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187655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142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247102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21,80%</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B424F79"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9EFC979"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-0,55%</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3F1102B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21,80%</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0AA3206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21,13%</w:t>
            </w:r>
          </w:p>
        </w:tc>
      </w:tr>
      <w:tr w:rsidR="007D4194" w:rsidRPr="00ED5317" w14:paraId="13E3BF43" w14:textId="77777777" w:rsidTr="007D4194">
        <w:trPr>
          <w:trHeight w:val="340"/>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805C4DB"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13</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05DE8D7"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Chi phí khác</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DBA4D6E"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748</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F39603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589</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72BC23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591</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4C69B5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159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24206B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26,96%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A075C9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778C23B"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-0,44%</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EC05169"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26,96%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3000C46"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26,41%</w:t>
            </w:r>
          </w:p>
        </w:tc>
      </w:tr>
      <w:tr w:rsidR="007D4194" w:rsidRPr="00ED5317" w14:paraId="219D2310" w14:textId="77777777" w:rsidTr="007D4194">
        <w:trPr>
          <w:trHeight w:val="443"/>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32D1B0C"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14</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4736D8F"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 xml:space="preserve">Lợi nhuận từ hoạt động khác </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B3EC46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48</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201081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C9F68E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65</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A88B2B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(16)</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93C40C3"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-25,25%</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78D5A78"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4D4A17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-1,55%</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C41F244"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-25,25%</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38F81DD4"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-26,41%</w:t>
            </w:r>
          </w:p>
        </w:tc>
      </w:tr>
      <w:tr w:rsidR="007D4194" w:rsidRPr="00ED5317" w14:paraId="666E962D" w14:textId="77777777" w:rsidTr="007D4194">
        <w:trPr>
          <w:trHeight w:val="419"/>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456D682"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15</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32700DD2"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vi-VN"/>
              </w:rPr>
              <w:t>Lợi nhuận kế toán trước thuế</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FCF0DE7"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37.056</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15551DE1"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15.356</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D67F4BC"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9.096</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824D2C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21.700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7B5CC5E"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141,30%</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46E09F6"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6.260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C811E13"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68,82%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06B948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141,30%</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7A2E89E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307,37%</w:t>
            </w:r>
          </w:p>
        </w:tc>
      </w:tr>
      <w:tr w:rsidR="007D4194" w:rsidRPr="00ED5317" w14:paraId="7EB6DF08" w14:textId="77777777" w:rsidTr="007D4194">
        <w:trPr>
          <w:trHeight w:val="397"/>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3B841C08"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16</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56343705"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Chi phí thuế TNDN hiện hành</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C2FAC09"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2.855</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3BE79A5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1.784</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3F195AA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1.603</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AB8222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1.071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502BEF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60,00%</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5657F59"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181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41D33CD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11,31%</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FD1F73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60,00%</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15051302"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78,09%</w:t>
            </w:r>
          </w:p>
        </w:tc>
      </w:tr>
      <w:tr w:rsidR="007D4194" w:rsidRPr="00ED5317" w14:paraId="07BE3AB5" w14:textId="77777777" w:rsidTr="007D4194">
        <w:trPr>
          <w:trHeight w:val="362"/>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489735A9"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t>17</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BF262B1"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(Lợi ích)/chi phí thuế TNDN hoãn lại</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CC1196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(319)</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26F7B2D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66</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794038D"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(84)</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458E2DB"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(385)</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103D2F5"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-582,35%</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AC0F45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150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769B63F"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-178,02%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D815B2A"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-582,35%</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769330A6"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276,33%</w:t>
            </w:r>
          </w:p>
        </w:tc>
      </w:tr>
      <w:tr w:rsidR="007D4194" w:rsidRPr="00ED5317" w14:paraId="33A046D1" w14:textId="77777777" w:rsidTr="007D4194">
        <w:trPr>
          <w:trHeight w:val="387"/>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7DEE289" w14:textId="77777777" w:rsidR="00ED5317" w:rsidRPr="00ED5317" w:rsidRDefault="00ED5317" w:rsidP="00ED5317">
            <w:pPr>
              <w:jc w:val="center"/>
              <w:rPr>
                <w:rFonts w:ascii="Times New Roman" w:hAnsi="Times New Roman" w:cs="Times New Roman"/>
                <w:sz w:val="22"/>
                <w:szCs w:val="22"/>
              </w:rPr>
            </w:pPr>
            <w:r w:rsidRPr="00ED5317">
              <w:rPr>
                <w:rFonts w:ascii="Times New Roman" w:hAnsi="Times New Roman" w:cs="Times New Roman"/>
                <w:b/>
                <w:bCs/>
                <w:sz w:val="22"/>
                <w:szCs w:val="22"/>
              </w:rPr>
              <w:lastRenderedPageBreak/>
              <w:t>18</w:t>
            </w: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CA55EC3"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 xml:space="preserve">Lợi nhuận sau thuế TNDN  </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5F31332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34.520</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D838673"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13.506</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39C9E795"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7.578</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11C6181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21.014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796355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155,59%</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588848E7"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5.928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F61B615"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78,22%</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6293409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155,59%</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4622799D"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355,53%</w:t>
            </w:r>
          </w:p>
        </w:tc>
      </w:tr>
      <w:tr w:rsidR="007D4194" w:rsidRPr="00ED5317" w14:paraId="4B6478F0"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26C97E0B" w14:textId="7B9E845C" w:rsidR="00ED5317" w:rsidRPr="00ED5317" w:rsidRDefault="00ED5317" w:rsidP="00ED5317">
            <w:pPr>
              <w:jc w:val="center"/>
              <w:rPr>
                <w:rFonts w:ascii="Times New Roman" w:hAnsi="Times New Roman" w:cs="Times New Roman"/>
                <w:sz w:val="22"/>
                <w:szCs w:val="22"/>
              </w:rPr>
            </w:pP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AF535BA"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Phân bổ cho:</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C1AF038"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07E7168"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4DD16D2F"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6568C1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7148933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 </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8455904"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6774977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 </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7EE28B3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 </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4047E0C"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 </w:t>
            </w:r>
          </w:p>
        </w:tc>
      </w:tr>
      <w:tr w:rsidR="007D4194" w:rsidRPr="00ED5317" w14:paraId="2C894804"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68805C36" w14:textId="0B48B7B5" w:rsidR="00ED5317" w:rsidRPr="00ED5317" w:rsidRDefault="00ED5317" w:rsidP="00ED5317">
            <w:pPr>
              <w:jc w:val="center"/>
              <w:rPr>
                <w:rFonts w:ascii="Times New Roman" w:hAnsi="Times New Roman" w:cs="Times New Roman"/>
                <w:sz w:val="22"/>
                <w:szCs w:val="22"/>
              </w:rPr>
            </w:pP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hideMark/>
          </w:tcPr>
          <w:p w14:paraId="1F5E7955" w14:textId="77777777" w:rsidR="00ED5317" w:rsidRPr="00ED5317" w:rsidRDefault="00ED5317" w:rsidP="00066DF3">
            <w:pPr>
              <w:ind w:left="48" w:right="124"/>
              <w:jc w:val="both"/>
              <w:rPr>
                <w:rFonts w:ascii="Times New Roman" w:hAnsi="Times New Roman" w:cs="Times New Roman"/>
                <w:sz w:val="22"/>
                <w:szCs w:val="22"/>
              </w:rPr>
            </w:pPr>
            <w:r w:rsidRPr="00ED5317">
              <w:rPr>
                <w:rFonts w:ascii="Times New Roman" w:hAnsi="Times New Roman" w:cs="Times New Roman"/>
                <w:b/>
                <w:bCs/>
                <w:sz w:val="22"/>
                <w:szCs w:val="22"/>
                <w:lang w:val="en-US"/>
              </w:rPr>
              <w:t>Cổ đông của công ty mẹ</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06617312"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34.478</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63882E1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13.450</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hideMark/>
          </w:tcPr>
          <w:p w14:paraId="7A5C0250"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7.527</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36D1A37C"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21.028 </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23799F98"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156,34%</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BEC5201" w14:textId="77777777"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5.923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hideMark/>
          </w:tcPr>
          <w:p w14:paraId="0412A44B"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78,68%</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A358000"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156,34%</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hideMark/>
          </w:tcPr>
          <w:p w14:paraId="517C6707" w14:textId="77777777"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358,03%</w:t>
            </w:r>
          </w:p>
        </w:tc>
      </w:tr>
      <w:tr w:rsidR="007D4194" w:rsidRPr="00ED5317" w14:paraId="54F2D9D5" w14:textId="77777777" w:rsidTr="007D4194">
        <w:trPr>
          <w:trHeight w:val="286"/>
        </w:trPr>
        <w:tc>
          <w:tcPr>
            <w:tcW w:w="510"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tcPr>
          <w:p w14:paraId="209AEDBD" w14:textId="77777777" w:rsidR="00ED5317" w:rsidRPr="00ED5317" w:rsidRDefault="00ED5317" w:rsidP="00ED5317">
            <w:pPr>
              <w:jc w:val="center"/>
              <w:rPr>
                <w:rFonts w:ascii="Times New Roman" w:hAnsi="Times New Roman" w:cs="Times New Roman"/>
                <w:sz w:val="22"/>
                <w:szCs w:val="22"/>
              </w:rPr>
            </w:pPr>
          </w:p>
        </w:tc>
        <w:tc>
          <w:tcPr>
            <w:tcW w:w="1758" w:type="dxa"/>
            <w:tcBorders>
              <w:top w:val="single" w:sz="8" w:space="0" w:color="FFFFFF"/>
              <w:left w:val="single" w:sz="8" w:space="0" w:color="FFFFFF"/>
              <w:bottom w:val="single" w:sz="8" w:space="0" w:color="FFFFFF"/>
              <w:right w:val="single" w:sz="8" w:space="0" w:color="FFFFFF"/>
            </w:tcBorders>
            <w:shd w:val="clear" w:color="auto" w:fill="A9D18E"/>
            <w:tcMar>
              <w:top w:w="9" w:type="dxa"/>
              <w:left w:w="9" w:type="dxa"/>
              <w:bottom w:w="0" w:type="dxa"/>
              <w:right w:w="9" w:type="dxa"/>
            </w:tcMar>
            <w:vAlign w:val="center"/>
          </w:tcPr>
          <w:p w14:paraId="729F38B0" w14:textId="2138D7E9" w:rsidR="00ED5317" w:rsidRPr="00ED5317" w:rsidRDefault="00ED5317" w:rsidP="00066DF3">
            <w:pPr>
              <w:ind w:left="48" w:right="124"/>
              <w:jc w:val="both"/>
              <w:rPr>
                <w:rFonts w:ascii="Times New Roman" w:hAnsi="Times New Roman" w:cs="Times New Roman"/>
                <w:b/>
                <w:bCs/>
                <w:sz w:val="22"/>
                <w:szCs w:val="22"/>
                <w:lang w:val="en-US"/>
              </w:rPr>
            </w:pPr>
            <w:r w:rsidRPr="00ED5317">
              <w:rPr>
                <w:rFonts w:ascii="Times New Roman" w:hAnsi="Times New Roman" w:cs="Times New Roman"/>
                <w:b/>
                <w:bCs/>
                <w:sz w:val="22"/>
                <w:szCs w:val="22"/>
                <w:lang w:val="en-US"/>
              </w:rPr>
              <w:t>Cổ đông không kiểm soát</w:t>
            </w:r>
          </w:p>
        </w:tc>
        <w:tc>
          <w:tcPr>
            <w:tcW w:w="1134"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tcPr>
          <w:p w14:paraId="614E9E4A" w14:textId="1CBFD12D"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42</w:t>
            </w:r>
          </w:p>
        </w:tc>
        <w:tc>
          <w:tcPr>
            <w:tcW w:w="1156"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tcPr>
          <w:p w14:paraId="201B5B85" w14:textId="05C8626D"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55</w:t>
            </w:r>
          </w:p>
        </w:tc>
        <w:tc>
          <w:tcPr>
            <w:tcW w:w="1099" w:type="dxa"/>
            <w:tcBorders>
              <w:top w:val="single" w:sz="8" w:space="0" w:color="FFFFFF"/>
              <w:left w:val="single" w:sz="8" w:space="0" w:color="FFFFFF"/>
              <w:bottom w:val="single" w:sz="8" w:space="0" w:color="FFFFFF"/>
              <w:right w:val="single" w:sz="8" w:space="0" w:color="FFFFFF"/>
            </w:tcBorders>
            <w:shd w:val="clear" w:color="auto" w:fill="E9EBF5"/>
            <w:tcMar>
              <w:top w:w="9" w:type="dxa"/>
              <w:left w:w="9" w:type="dxa"/>
              <w:bottom w:w="0" w:type="dxa"/>
              <w:right w:w="9" w:type="dxa"/>
            </w:tcMar>
            <w:vAlign w:val="center"/>
          </w:tcPr>
          <w:p w14:paraId="5492C09A" w14:textId="7374901D"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50</w:t>
            </w:r>
          </w:p>
        </w:tc>
        <w:tc>
          <w:tcPr>
            <w:tcW w:w="11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tcPr>
          <w:p w14:paraId="1CF3B222" w14:textId="59C9A24B"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(13)</w:t>
            </w:r>
          </w:p>
        </w:tc>
        <w:tc>
          <w:tcPr>
            <w:tcW w:w="96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tcPr>
          <w:p w14:paraId="4C058231" w14:textId="2763F788"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-23,36%</w:t>
            </w:r>
          </w:p>
        </w:tc>
        <w:tc>
          <w:tcPr>
            <w:tcW w:w="1034"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tcPr>
          <w:p w14:paraId="0A60625A" w14:textId="411BDF8B" w:rsidR="00ED5317" w:rsidRPr="00ED5317" w:rsidRDefault="00ED5317" w:rsidP="00ED5317">
            <w:pPr>
              <w:jc w:val="both"/>
              <w:rPr>
                <w:rFonts w:ascii="Times New Roman" w:hAnsi="Times New Roman" w:cs="Times New Roman"/>
                <w:sz w:val="22"/>
                <w:szCs w:val="22"/>
              </w:rPr>
            </w:pPr>
            <w:r w:rsidRPr="00ED5317">
              <w:rPr>
                <w:rFonts w:ascii="Times New Roman" w:hAnsi="Times New Roman" w:cs="Times New Roman"/>
                <w:sz w:val="22"/>
                <w:szCs w:val="22"/>
              </w:rPr>
              <w:t xml:space="preserve"> $               5 </w:t>
            </w:r>
          </w:p>
        </w:tc>
        <w:tc>
          <w:tcPr>
            <w:tcW w:w="935" w:type="dxa"/>
            <w:tcBorders>
              <w:top w:val="single" w:sz="8" w:space="0" w:color="FFFFFF"/>
              <w:left w:val="single" w:sz="8" w:space="0" w:color="FFFFFF"/>
              <w:bottom w:val="single" w:sz="8" w:space="0" w:color="FFFFFF"/>
              <w:right w:val="single" w:sz="8" w:space="0" w:color="FFFFFF"/>
            </w:tcBorders>
            <w:shd w:val="clear" w:color="auto" w:fill="F8CBAD"/>
            <w:tcMar>
              <w:top w:w="9" w:type="dxa"/>
              <w:left w:w="9" w:type="dxa"/>
              <w:bottom w:w="0" w:type="dxa"/>
              <w:right w:w="9" w:type="dxa"/>
            </w:tcMar>
            <w:vAlign w:val="center"/>
          </w:tcPr>
          <w:p w14:paraId="2EA9D44A" w14:textId="655BA7BE"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9,96%</w:t>
            </w:r>
          </w:p>
        </w:tc>
        <w:tc>
          <w:tcPr>
            <w:tcW w:w="889"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tcPr>
          <w:p w14:paraId="4441DA33" w14:textId="083F1279"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-23,36%</w:t>
            </w:r>
          </w:p>
        </w:tc>
        <w:tc>
          <w:tcPr>
            <w:tcW w:w="1045" w:type="dxa"/>
            <w:tcBorders>
              <w:top w:val="single" w:sz="8" w:space="0" w:color="FFFFFF"/>
              <w:left w:val="single" w:sz="8" w:space="0" w:color="FFFFFF"/>
              <w:bottom w:val="single" w:sz="8" w:space="0" w:color="FFFFFF"/>
              <w:right w:val="single" w:sz="8" w:space="0" w:color="FFFFFF"/>
            </w:tcBorders>
            <w:shd w:val="clear" w:color="auto" w:fill="FFE699"/>
            <w:tcMar>
              <w:top w:w="15" w:type="dxa"/>
              <w:left w:w="15" w:type="dxa"/>
              <w:bottom w:w="0" w:type="dxa"/>
              <w:right w:w="15" w:type="dxa"/>
            </w:tcMar>
            <w:vAlign w:val="center"/>
          </w:tcPr>
          <w:p w14:paraId="2D5C9CA9" w14:textId="76B45564" w:rsidR="00ED5317" w:rsidRPr="00ED5317" w:rsidRDefault="00ED5317" w:rsidP="00066DF3">
            <w:pPr>
              <w:jc w:val="right"/>
              <w:rPr>
                <w:rFonts w:ascii="Times New Roman" w:hAnsi="Times New Roman" w:cs="Times New Roman"/>
                <w:sz w:val="22"/>
                <w:szCs w:val="22"/>
              </w:rPr>
            </w:pPr>
            <w:r w:rsidRPr="00ED5317">
              <w:rPr>
                <w:rFonts w:ascii="Times New Roman" w:hAnsi="Times New Roman" w:cs="Times New Roman"/>
                <w:sz w:val="22"/>
                <w:szCs w:val="22"/>
              </w:rPr>
              <w:t>-15,73%</w:t>
            </w:r>
          </w:p>
        </w:tc>
      </w:tr>
    </w:tbl>
    <w:p w14:paraId="6D7E935B" w14:textId="77777777" w:rsidR="00ED5317" w:rsidRPr="00A94D9F" w:rsidRDefault="00ED5317" w:rsidP="00A94D9F">
      <w:pPr>
        <w:jc w:val="both"/>
        <w:rPr>
          <w:rFonts w:ascii="Times New Roman" w:hAnsi="Times New Roman" w:cs="Times New Roman"/>
          <w:lang w:val="vi-VN"/>
        </w:rPr>
      </w:pPr>
    </w:p>
    <w:p w14:paraId="106B7941" w14:textId="22C6A3EF" w:rsidR="00561692" w:rsidRPr="00A94D9F" w:rsidRDefault="00561692" w:rsidP="00A94D9F">
      <w:pPr>
        <w:pStyle w:val="ListParagraph"/>
        <w:numPr>
          <w:ilvl w:val="0"/>
          <w:numId w:val="12"/>
        </w:numPr>
        <w:jc w:val="both"/>
        <w:rPr>
          <w:rFonts w:ascii="Times New Roman" w:hAnsi="Times New Roman" w:cs="Times New Roman"/>
          <w:lang w:val="vi-VN"/>
        </w:rPr>
      </w:pPr>
      <w:r w:rsidRPr="00A94D9F">
        <w:rPr>
          <w:rFonts w:ascii="Times New Roman" w:hAnsi="Times New Roman" w:cs="Times New Roman"/>
          <w:lang w:val="vi-VN"/>
        </w:rPr>
        <w:t>Sự biến động của doanh thu.</w:t>
      </w:r>
    </w:p>
    <w:p w14:paraId="3F05BA91" w14:textId="17022EC7" w:rsidR="00DE120F" w:rsidRPr="00A94D9F" w:rsidRDefault="00DE120F" w:rsidP="00A94D9F">
      <w:pPr>
        <w:jc w:val="both"/>
        <w:rPr>
          <w:rFonts w:ascii="Times New Roman" w:hAnsi="Times New Roman" w:cs="Times New Roman"/>
          <w:lang w:val="vi-VN"/>
        </w:rPr>
      </w:pPr>
      <w:r w:rsidRPr="00A94D9F">
        <w:rPr>
          <w:rFonts w:ascii="Times New Roman" w:hAnsi="Times New Roman" w:cs="Times New Roman"/>
          <w:lang w:val="vi-VN"/>
        </w:rPr>
        <w:t>Dựa vào bảng số liệu ta thấy được từ năm</w:t>
      </w:r>
      <w:r w:rsidR="00396D64" w:rsidRPr="00A94D9F">
        <w:rPr>
          <w:rFonts w:ascii="Times New Roman" w:hAnsi="Times New Roman" w:cs="Times New Roman"/>
          <w:lang w:val="vi-VN"/>
        </w:rPr>
        <w:t xml:space="preserve"> 2019 đến năm 2021, doanh thu tăng lên nhanh chóng:</w:t>
      </w:r>
    </w:p>
    <w:p w14:paraId="08B6F2C6" w14:textId="140AC9EB" w:rsidR="00A440BE" w:rsidRPr="00A94D9F" w:rsidRDefault="00A440BE" w:rsidP="00A94D9F">
      <w:pPr>
        <w:ind w:firstLine="720"/>
        <w:jc w:val="both"/>
        <w:rPr>
          <w:rFonts w:ascii="Times New Roman" w:hAnsi="Times New Roman" w:cs="Times New Roman"/>
          <w:lang w:val="vi-VN"/>
        </w:rPr>
      </w:pPr>
    </w:p>
    <w:p w14:paraId="71F6FD87" w14:textId="21B9DB87" w:rsidR="000A076C" w:rsidRDefault="00A440BE" w:rsidP="00C76369">
      <w:pPr>
        <w:ind w:firstLine="720"/>
        <w:jc w:val="both"/>
        <w:rPr>
          <w:rFonts w:ascii="Times New Roman" w:eastAsia="Times New Roman" w:hAnsi="Times New Roman" w:cs="Times New Roman"/>
          <w:color w:val="333333"/>
          <w:shd w:val="clear" w:color="auto" w:fill="FFFFFF"/>
        </w:rPr>
      </w:pPr>
      <w:r w:rsidRPr="00A94D9F">
        <w:rPr>
          <w:rFonts w:ascii="Times New Roman" w:eastAsia="Times New Roman" w:hAnsi="Times New Roman" w:cs="Times New Roman"/>
          <w:color w:val="333333"/>
          <w:shd w:val="clear" w:color="auto" w:fill="FFFFFF"/>
        </w:rPr>
        <w:t>Năm</w:t>
      </w:r>
      <w:r w:rsidRPr="00A94D9F">
        <w:rPr>
          <w:rFonts w:ascii="Times New Roman" w:eastAsia="Times New Roman" w:hAnsi="Times New Roman" w:cs="Times New Roman"/>
          <w:color w:val="333333"/>
          <w:shd w:val="clear" w:color="auto" w:fill="FFFFFF"/>
          <w:lang w:val="vi-VN"/>
        </w:rPr>
        <w:t xml:space="preserve"> 2019, </w:t>
      </w:r>
      <w:r w:rsidRPr="00A440BE">
        <w:rPr>
          <w:rFonts w:ascii="Times New Roman" w:eastAsia="Times New Roman" w:hAnsi="Times New Roman" w:cs="Times New Roman"/>
          <w:color w:val="333333"/>
          <w:shd w:val="clear" w:color="auto" w:fill="FFFFFF"/>
        </w:rPr>
        <w:t>Tập đoàn ghi nhận mức doanh thu</w:t>
      </w:r>
      <w:r w:rsidRPr="00A94D9F">
        <w:rPr>
          <w:rFonts w:ascii="Times New Roman" w:eastAsia="Times New Roman" w:hAnsi="Times New Roman" w:cs="Times New Roman"/>
          <w:color w:val="333333"/>
          <w:shd w:val="clear" w:color="auto" w:fill="FFFFFF"/>
          <w:lang w:val="vi-VN"/>
        </w:rPr>
        <w:t xml:space="preserve"> thuần là</w:t>
      </w:r>
      <w:r w:rsidRPr="00A440BE">
        <w:rPr>
          <w:rFonts w:ascii="Times New Roman" w:eastAsia="Times New Roman" w:hAnsi="Times New Roman" w:cs="Times New Roman"/>
          <w:color w:val="333333"/>
          <w:shd w:val="clear" w:color="auto" w:fill="FFFFFF"/>
        </w:rPr>
        <w:t xml:space="preserve"> </w:t>
      </w:r>
      <w:r w:rsidRPr="00A94D9F">
        <w:rPr>
          <w:rFonts w:ascii="Times New Roman" w:eastAsia="Times New Roman" w:hAnsi="Times New Roman" w:cs="Times New Roman"/>
          <w:color w:val="333333"/>
          <w:shd w:val="clear" w:color="auto" w:fill="FFFFFF"/>
          <w:lang w:val="vi-VN"/>
        </w:rPr>
        <w:t>63.658</w:t>
      </w:r>
      <w:r w:rsidRPr="00A440BE">
        <w:rPr>
          <w:rFonts w:ascii="Times New Roman" w:eastAsia="Times New Roman" w:hAnsi="Times New Roman" w:cs="Times New Roman"/>
          <w:color w:val="333333"/>
          <w:shd w:val="clear" w:color="auto" w:fill="FFFFFF"/>
        </w:rPr>
        <w:t xml:space="preserve"> tỷ đồng và lợi nhuận sau thuế là </w:t>
      </w:r>
      <w:r w:rsidRPr="00A94D9F">
        <w:rPr>
          <w:rFonts w:ascii="Times New Roman" w:eastAsia="Times New Roman" w:hAnsi="Times New Roman" w:cs="Times New Roman"/>
          <w:color w:val="333333"/>
          <w:shd w:val="clear" w:color="auto" w:fill="FFFFFF"/>
          <w:lang w:val="vi-VN"/>
        </w:rPr>
        <w:t>7.578</w:t>
      </w:r>
      <w:r w:rsidRPr="00A440BE">
        <w:rPr>
          <w:rFonts w:ascii="Times New Roman" w:eastAsia="Times New Roman" w:hAnsi="Times New Roman" w:cs="Times New Roman"/>
          <w:color w:val="333333"/>
          <w:shd w:val="clear" w:color="auto" w:fill="FFFFFF"/>
        </w:rPr>
        <w:t xml:space="preserve"> tỷ</w:t>
      </w:r>
      <w:r w:rsidRPr="00A94D9F">
        <w:rPr>
          <w:rFonts w:ascii="Times New Roman" w:eastAsia="Times New Roman" w:hAnsi="Times New Roman" w:cs="Times New Roman"/>
          <w:color w:val="333333"/>
          <w:shd w:val="clear" w:color="auto" w:fill="FFFFFF"/>
          <w:lang w:val="vi-VN"/>
        </w:rPr>
        <w:t xml:space="preserve"> đồng. </w:t>
      </w:r>
      <w:r w:rsidRPr="00A440BE">
        <w:rPr>
          <w:rFonts w:ascii="Times New Roman" w:eastAsia="Times New Roman" w:hAnsi="Times New Roman" w:cs="Times New Roman"/>
          <w:color w:val="333333"/>
          <w:shd w:val="clear" w:color="auto" w:fill="FFFFFF"/>
        </w:rPr>
        <w:t>Kết quả này có được chủ yếu nhờ sản lượng thép xây dựng, ống thép đạt kỷ lục cao nhất. Trong đó,</w:t>
      </w:r>
      <w:r w:rsidRPr="00A94D9F">
        <w:rPr>
          <w:rFonts w:ascii="Times New Roman" w:eastAsia="Times New Roman" w:hAnsi="Times New Roman" w:cs="Times New Roman"/>
          <w:color w:val="333333"/>
          <w:shd w:val="clear" w:color="auto" w:fill="FFFFFF"/>
          <w:lang w:val="vi-VN"/>
        </w:rPr>
        <w:t xml:space="preserve"> cùng</w:t>
      </w:r>
      <w:r w:rsidRPr="00A440BE">
        <w:rPr>
          <w:rFonts w:ascii="Times New Roman" w:eastAsia="Times New Roman" w:hAnsi="Times New Roman" w:cs="Times New Roman"/>
          <w:color w:val="333333"/>
          <w:shd w:val="clear" w:color="auto" w:fill="FFFFFF"/>
        </w:rPr>
        <w:t xml:space="preserve"> với sự tăng trưởng mạnh mẽ, lĩnh vực nông nghiệp</w:t>
      </w:r>
      <w:r w:rsidR="005164B7" w:rsidRPr="00A94D9F">
        <w:rPr>
          <w:rFonts w:ascii="Times New Roman" w:eastAsia="Times New Roman" w:hAnsi="Times New Roman" w:cs="Times New Roman"/>
          <w:color w:val="333333"/>
          <w:shd w:val="clear" w:color="auto" w:fill="FFFFFF"/>
          <w:lang w:val="vi-VN"/>
        </w:rPr>
        <w:t xml:space="preserve"> của Tập đoàn </w:t>
      </w:r>
      <w:r w:rsidRPr="00A440BE">
        <w:rPr>
          <w:rFonts w:ascii="Times New Roman" w:eastAsia="Times New Roman" w:hAnsi="Times New Roman" w:cs="Times New Roman"/>
          <w:color w:val="333333"/>
          <w:shd w:val="clear" w:color="auto" w:fill="FFFFFF"/>
        </w:rPr>
        <w:t>đóng góp lớn thứ 2 trong cơ cấu doanh thu và lợi nhuận cho Hòa Phát</w:t>
      </w:r>
      <w:r w:rsidR="00F23D4A">
        <w:rPr>
          <w:rFonts w:ascii="Times New Roman" w:eastAsia="Times New Roman" w:hAnsi="Times New Roman" w:cs="Times New Roman"/>
          <w:color w:val="333333"/>
          <w:shd w:val="clear" w:color="auto" w:fill="FFFFFF"/>
          <w:lang w:val="vi-VN"/>
        </w:rPr>
        <w:t xml:space="preserve"> trong năm này</w:t>
      </w:r>
      <w:r w:rsidRPr="00A440BE">
        <w:rPr>
          <w:rFonts w:ascii="Times New Roman" w:eastAsia="Times New Roman" w:hAnsi="Times New Roman" w:cs="Times New Roman"/>
          <w:color w:val="333333"/>
          <w:shd w:val="clear" w:color="auto" w:fill="FFFFFF"/>
        </w:rPr>
        <w:t>.</w:t>
      </w:r>
    </w:p>
    <w:p w14:paraId="72279DE3" w14:textId="77777777" w:rsidR="007D4194" w:rsidRPr="00A94D9F" w:rsidRDefault="007D4194" w:rsidP="00C76369">
      <w:pPr>
        <w:ind w:firstLine="720"/>
        <w:jc w:val="both"/>
        <w:rPr>
          <w:rFonts w:ascii="Times New Roman" w:eastAsia="Times New Roman" w:hAnsi="Times New Roman" w:cs="Times New Roman"/>
          <w:color w:val="333333"/>
          <w:shd w:val="clear" w:color="auto" w:fill="FFFFFF"/>
        </w:rPr>
      </w:pPr>
    </w:p>
    <w:p w14:paraId="7279DB1E" w14:textId="063D77A7" w:rsidR="005164B7" w:rsidRDefault="00CB5F57" w:rsidP="007D4194">
      <w:pPr>
        <w:ind w:firstLine="720"/>
        <w:jc w:val="both"/>
        <w:rPr>
          <w:rFonts w:ascii="Times New Roman" w:eastAsia="Times New Roman" w:hAnsi="Times New Roman" w:cs="Times New Roman"/>
          <w:color w:val="333333"/>
          <w:shd w:val="clear" w:color="auto" w:fill="FFFFFF"/>
        </w:rPr>
      </w:pPr>
      <w:r w:rsidRPr="00A94D9F">
        <w:rPr>
          <w:rFonts w:ascii="Times New Roman" w:eastAsia="Times New Roman" w:hAnsi="Times New Roman" w:cs="Times New Roman"/>
          <w:color w:val="333333"/>
          <w:shd w:val="clear" w:color="auto" w:fill="FFFFFF"/>
        </w:rPr>
        <w:t>Trong</w:t>
      </w:r>
      <w:r w:rsidRPr="00A94D9F">
        <w:rPr>
          <w:rFonts w:ascii="Times New Roman" w:eastAsia="Times New Roman" w:hAnsi="Times New Roman" w:cs="Times New Roman"/>
          <w:color w:val="333333"/>
          <w:shd w:val="clear" w:color="auto" w:fill="FFFFFF"/>
          <w:lang w:val="vi-VN"/>
        </w:rPr>
        <w:t xml:space="preserve"> năm 2019, </w:t>
      </w:r>
      <w:r w:rsidR="005164B7" w:rsidRPr="00A440BE">
        <w:rPr>
          <w:rFonts w:ascii="Times New Roman" w:eastAsia="Times New Roman" w:hAnsi="Times New Roman" w:cs="Times New Roman"/>
          <w:color w:val="333333"/>
          <w:shd w:val="clear" w:color="auto" w:fill="FFFFFF"/>
        </w:rPr>
        <w:t>các Khu công nghiệp của Công ty XD&amp;PTĐT Hòa Phát liên tiếp “đón sóng” nhiều doanh nghiệp lớn trong và ngoài nước thuê đất làm nhà xưởng, đưa mảng bất động sản nhà ở, khu đô thị và kinh doanh hạ tầng KCN của Công ty có nhiều khởi sắc, tăng trưởng vượt bậ</w:t>
      </w:r>
      <w:r w:rsidRPr="00A94D9F">
        <w:rPr>
          <w:rFonts w:ascii="Times New Roman" w:eastAsia="Times New Roman" w:hAnsi="Times New Roman" w:cs="Times New Roman"/>
          <w:color w:val="333333"/>
          <w:shd w:val="clear" w:color="auto" w:fill="FFFFFF"/>
        </w:rPr>
        <w:t>c</w:t>
      </w:r>
      <w:r w:rsidR="005164B7" w:rsidRPr="00A440BE">
        <w:rPr>
          <w:rFonts w:ascii="Times New Roman" w:eastAsia="Times New Roman" w:hAnsi="Times New Roman" w:cs="Times New Roman"/>
          <w:color w:val="333333"/>
          <w:shd w:val="clear" w:color="auto" w:fill="FFFFFF"/>
        </w:rPr>
        <w:t>.</w:t>
      </w:r>
    </w:p>
    <w:p w14:paraId="7F23F6A4" w14:textId="77777777" w:rsidR="007D4194" w:rsidRPr="00A440BE" w:rsidRDefault="007D4194" w:rsidP="007D4194">
      <w:pPr>
        <w:ind w:firstLine="720"/>
        <w:jc w:val="both"/>
        <w:rPr>
          <w:rFonts w:ascii="Times New Roman" w:eastAsia="Times New Roman" w:hAnsi="Times New Roman" w:cs="Times New Roman"/>
        </w:rPr>
      </w:pPr>
    </w:p>
    <w:p w14:paraId="617B70FF" w14:textId="082F336A" w:rsidR="005164B7" w:rsidRDefault="005164B7" w:rsidP="007D4194">
      <w:pPr>
        <w:ind w:firstLine="720"/>
        <w:jc w:val="both"/>
        <w:rPr>
          <w:rFonts w:ascii="Times New Roman" w:hAnsi="Times New Roman" w:cs="Times New Roman"/>
          <w:lang w:val="vi-VN"/>
        </w:rPr>
      </w:pPr>
      <w:r w:rsidRPr="00A94D9F">
        <w:rPr>
          <w:rFonts w:ascii="Times New Roman" w:hAnsi="Times New Roman" w:cs="Times New Roman"/>
          <w:lang w:val="vi-VN"/>
        </w:rPr>
        <w:t>Năm 2020</w:t>
      </w:r>
      <w:r w:rsidR="00DB5635" w:rsidRPr="00A94D9F">
        <w:rPr>
          <w:rFonts w:ascii="Times New Roman" w:hAnsi="Times New Roman" w:cs="Times New Roman"/>
          <w:lang w:val="vi-VN"/>
        </w:rPr>
        <w:t>, doanh thu thuần đạt 90.118 tỷ đồng và lợi nhuận sau thuế đạt 13.506 tỷ đồng. Mặc dù trong năm này, nền kinh tế Việt Nam và thế giới gặp nhiều khó khăn do</w:t>
      </w:r>
      <w:r w:rsidR="00CB5F57" w:rsidRPr="00A94D9F">
        <w:rPr>
          <w:rFonts w:ascii="Times New Roman" w:hAnsi="Times New Roman" w:cs="Times New Roman"/>
          <w:lang w:val="vi-VN"/>
        </w:rPr>
        <w:t xml:space="preserve"> ảnh hưởng của</w:t>
      </w:r>
      <w:r w:rsidR="00DB5635" w:rsidRPr="00A94D9F">
        <w:rPr>
          <w:rFonts w:ascii="Times New Roman" w:hAnsi="Times New Roman" w:cs="Times New Roman"/>
          <w:lang w:val="vi-VN"/>
        </w:rPr>
        <w:t xml:space="preserve"> đại dịch Covid-19</w:t>
      </w:r>
      <w:r w:rsidR="00CB5F57" w:rsidRPr="00A94D9F">
        <w:rPr>
          <w:rFonts w:ascii="Times New Roman" w:hAnsi="Times New Roman" w:cs="Times New Roman"/>
          <w:lang w:val="vi-VN"/>
        </w:rPr>
        <w:t xml:space="preserve"> khiến cho</w:t>
      </w:r>
      <w:r w:rsidR="00DB5635" w:rsidRPr="00A94D9F">
        <w:rPr>
          <w:rFonts w:ascii="Times New Roman" w:hAnsi="Times New Roman" w:cs="Times New Roman"/>
          <w:lang w:val="vi-VN"/>
        </w:rPr>
        <w:t xml:space="preserve"> tổng cầu suy giảm</w:t>
      </w:r>
      <w:r w:rsidR="00CB5F57" w:rsidRPr="00A94D9F">
        <w:rPr>
          <w:rFonts w:ascii="Times New Roman" w:hAnsi="Times New Roman" w:cs="Times New Roman"/>
          <w:lang w:val="vi-VN"/>
        </w:rPr>
        <w:t>,</w:t>
      </w:r>
      <w:r w:rsidR="00DB5635" w:rsidRPr="00A94D9F">
        <w:rPr>
          <w:rFonts w:ascii="Times New Roman" w:hAnsi="Times New Roman" w:cs="Times New Roman"/>
          <w:lang w:val="vi-VN"/>
        </w:rPr>
        <w:t xml:space="preserve"> nh</w:t>
      </w:r>
      <w:r w:rsidR="00CB5F57" w:rsidRPr="00A94D9F">
        <w:rPr>
          <w:rFonts w:ascii="Times New Roman" w:hAnsi="Times New Roman" w:cs="Times New Roman"/>
          <w:lang w:val="vi-VN"/>
        </w:rPr>
        <w:t>ưng</w:t>
      </w:r>
      <w:r w:rsidR="00DB5635" w:rsidRPr="00A94D9F">
        <w:rPr>
          <w:rFonts w:ascii="Times New Roman" w:hAnsi="Times New Roman" w:cs="Times New Roman"/>
          <w:lang w:val="vi-VN"/>
        </w:rPr>
        <w:t xml:space="preserve"> </w:t>
      </w:r>
      <w:r w:rsidR="00CB5F57" w:rsidRPr="00A94D9F">
        <w:rPr>
          <w:rFonts w:ascii="Times New Roman" w:hAnsi="Times New Roman" w:cs="Times New Roman"/>
          <w:lang w:val="vi-VN"/>
        </w:rPr>
        <w:t>T</w:t>
      </w:r>
      <w:r w:rsidR="00DB5635" w:rsidRPr="00A94D9F">
        <w:rPr>
          <w:rFonts w:ascii="Times New Roman" w:hAnsi="Times New Roman" w:cs="Times New Roman"/>
          <w:lang w:val="vi-VN"/>
        </w:rPr>
        <w:t xml:space="preserve">ập đoàn Hòa Phát vẫn </w:t>
      </w:r>
      <w:r w:rsidR="00CB5F57" w:rsidRPr="00A94D9F">
        <w:rPr>
          <w:rFonts w:ascii="Times New Roman" w:hAnsi="Times New Roman" w:cs="Times New Roman"/>
          <w:lang w:val="vi-VN"/>
        </w:rPr>
        <w:t xml:space="preserve">“ngược dòng” </w:t>
      </w:r>
      <w:r w:rsidR="00DB5635" w:rsidRPr="00A94D9F">
        <w:rPr>
          <w:rFonts w:ascii="Times New Roman" w:hAnsi="Times New Roman" w:cs="Times New Roman"/>
          <w:lang w:val="vi-VN"/>
        </w:rPr>
        <w:t>đạt được những kết quả</w:t>
      </w:r>
      <w:r w:rsidR="00CB5F57" w:rsidRPr="00A94D9F">
        <w:rPr>
          <w:rFonts w:ascii="Times New Roman" w:hAnsi="Times New Roman" w:cs="Times New Roman"/>
          <w:lang w:val="vi-VN"/>
        </w:rPr>
        <w:t xml:space="preserve"> ấn tượng.</w:t>
      </w:r>
    </w:p>
    <w:p w14:paraId="15D42288" w14:textId="77777777" w:rsidR="007D4194" w:rsidRPr="00A94D9F" w:rsidRDefault="007D4194" w:rsidP="007D4194">
      <w:pPr>
        <w:ind w:firstLine="720"/>
        <w:jc w:val="both"/>
        <w:rPr>
          <w:rFonts w:ascii="Times New Roman" w:hAnsi="Times New Roman" w:cs="Times New Roman"/>
          <w:lang w:val="vi-VN"/>
        </w:rPr>
      </w:pPr>
    </w:p>
    <w:p w14:paraId="20294E74" w14:textId="730BC5A4" w:rsidR="00D724D4" w:rsidRPr="00A94D9F" w:rsidRDefault="00396D64" w:rsidP="00A94D9F">
      <w:pPr>
        <w:ind w:firstLine="720"/>
        <w:jc w:val="both"/>
        <w:rPr>
          <w:rFonts w:ascii="Times New Roman" w:hAnsi="Times New Roman" w:cs="Times New Roman"/>
          <w:lang w:val="vi-VN"/>
        </w:rPr>
      </w:pPr>
      <w:r w:rsidRPr="00A94D9F">
        <w:rPr>
          <w:rFonts w:ascii="Times New Roman" w:hAnsi="Times New Roman" w:cs="Times New Roman"/>
          <w:lang w:val="vi-VN"/>
        </w:rPr>
        <w:t>Năm 2021, doanh thu thuần về bán hàng và cung cấp dịch vụ đạt 149.679</w:t>
      </w:r>
      <w:r w:rsidR="00DB5635" w:rsidRPr="00A94D9F">
        <w:rPr>
          <w:rFonts w:ascii="Times New Roman" w:hAnsi="Times New Roman" w:cs="Times New Roman"/>
          <w:lang w:val="vi-VN"/>
        </w:rPr>
        <w:t xml:space="preserve"> t</w:t>
      </w:r>
      <w:r w:rsidR="00A440BE" w:rsidRPr="00A94D9F">
        <w:rPr>
          <w:rFonts w:ascii="Times New Roman" w:hAnsi="Times New Roman" w:cs="Times New Roman"/>
          <w:lang w:val="vi-VN"/>
        </w:rPr>
        <w:t>ỷ đồng</w:t>
      </w:r>
      <w:r w:rsidRPr="00A94D9F">
        <w:rPr>
          <w:rFonts w:ascii="Times New Roman" w:hAnsi="Times New Roman" w:cs="Times New Roman"/>
          <w:lang w:val="vi-VN"/>
        </w:rPr>
        <w:t>, mức tăng trưởng là 66,09% so với năm 2020 và 135,13% so với năm 2019</w:t>
      </w:r>
      <w:r w:rsidR="00C76369">
        <w:rPr>
          <w:rFonts w:ascii="Times New Roman" w:hAnsi="Times New Roman" w:cs="Times New Roman"/>
          <w:lang w:val="vi-VN"/>
        </w:rPr>
        <w:t>.</w:t>
      </w:r>
      <w:r w:rsidR="00DB5456" w:rsidRPr="00A94D9F">
        <w:rPr>
          <w:rFonts w:ascii="Times New Roman" w:hAnsi="Times New Roman" w:cs="Times New Roman"/>
          <w:lang w:val="vi-VN"/>
        </w:rPr>
        <w:t xml:space="preserve"> </w:t>
      </w:r>
      <w:r w:rsidR="00DB5635" w:rsidRPr="00A94D9F">
        <w:rPr>
          <w:rFonts w:ascii="Times New Roman" w:hAnsi="Times New Roman" w:cs="Times New Roman"/>
          <w:lang w:val="vi-VN"/>
        </w:rPr>
        <w:t>L</w:t>
      </w:r>
      <w:r w:rsidR="00DB5456" w:rsidRPr="00A94D9F">
        <w:rPr>
          <w:rFonts w:ascii="Times New Roman" w:hAnsi="Times New Roman" w:cs="Times New Roman"/>
          <w:lang w:val="vi-VN"/>
        </w:rPr>
        <w:t>ợi nhuận sau thuế Thu nhập doanh nghiệp đạt 34.520</w:t>
      </w:r>
      <w:r w:rsidR="00DB5635" w:rsidRPr="00A94D9F">
        <w:rPr>
          <w:rFonts w:ascii="Times New Roman" w:hAnsi="Times New Roman" w:cs="Times New Roman"/>
          <w:lang w:val="vi-VN"/>
        </w:rPr>
        <w:t xml:space="preserve"> tỷ đồng</w:t>
      </w:r>
      <w:r w:rsidR="0017759F" w:rsidRPr="00A94D9F">
        <w:rPr>
          <w:rFonts w:ascii="Times New Roman" w:hAnsi="Times New Roman" w:cs="Times New Roman"/>
          <w:lang w:val="vi-VN"/>
        </w:rPr>
        <w:t>, tăng trưởng lần lượt là 155,59% và 355,53% so với năm 2020 và năm 2019.</w:t>
      </w:r>
    </w:p>
    <w:p w14:paraId="14461154" w14:textId="7E972726" w:rsidR="000A076C" w:rsidRPr="000A076C" w:rsidRDefault="004127C7" w:rsidP="00A94D9F">
      <w:pPr>
        <w:pStyle w:val="ListParagraph"/>
        <w:numPr>
          <w:ilvl w:val="0"/>
          <w:numId w:val="11"/>
        </w:numPr>
        <w:jc w:val="both"/>
        <w:rPr>
          <w:rFonts w:ascii="Times New Roman" w:eastAsia="Times New Roman" w:hAnsi="Times New Roman" w:cs="Times New Roman"/>
          <w:lang w:val="vi-VN"/>
        </w:rPr>
      </w:pPr>
      <w:r w:rsidRPr="00A94D9F">
        <w:rPr>
          <w:rFonts w:ascii="Times New Roman" w:hAnsi="Times New Roman" w:cs="Times New Roman"/>
          <w:lang w:val="vi-VN"/>
        </w:rPr>
        <w:t>Lợi nhuận sau thuế TNDN tăng</w:t>
      </w:r>
      <w:r w:rsidR="009B0358" w:rsidRPr="00A94D9F">
        <w:rPr>
          <w:rFonts w:ascii="Times New Roman" w:hAnsi="Times New Roman" w:cs="Times New Roman"/>
          <w:lang w:val="vi-VN"/>
        </w:rPr>
        <w:t xml:space="preserve"> gấp 2,56 lần so với năm 2020</w:t>
      </w:r>
      <w:r w:rsidRPr="00A94D9F">
        <w:rPr>
          <w:rFonts w:ascii="Times New Roman" w:hAnsi="Times New Roman" w:cs="Times New Roman"/>
          <w:lang w:val="vi-VN"/>
        </w:rPr>
        <w:t xml:space="preserve"> như vậy là nhờ vào </w:t>
      </w:r>
      <w:r w:rsidRPr="00A94D9F">
        <w:rPr>
          <w:rFonts w:ascii="Times New Roman" w:hAnsi="Times New Roman" w:cs="Times New Roman"/>
          <w:color w:val="333333"/>
        </w:rPr>
        <w:t xml:space="preserve">cuối năm 2020, Hòa Phát bắt đầu cung cấp sản phẩm thép cuộn cán nóng (HRC) thương mại ra thị trường. Đến tháng 1/2021, lò cao số 4 của Khu liên hợp Dung Quất được đưa vào hoạt động nâng tổng </w:t>
      </w:r>
      <w:r w:rsidR="009B0358" w:rsidRPr="00A94D9F">
        <w:rPr>
          <w:rFonts w:ascii="Times New Roman" w:hAnsi="Times New Roman" w:cs="Times New Roman"/>
          <w:color w:val="333333"/>
        </w:rPr>
        <w:t>sản</w:t>
      </w:r>
      <w:r w:rsidR="009B0358" w:rsidRPr="00A94D9F">
        <w:rPr>
          <w:rFonts w:ascii="Times New Roman" w:hAnsi="Times New Roman" w:cs="Times New Roman"/>
          <w:color w:val="333333"/>
          <w:lang w:val="vi-VN"/>
        </w:rPr>
        <w:t xml:space="preserve"> lượng bán thép cuộn cán nóng từ 576 nghìn tấn (năm 2020) lên 2,57 triệu tấn. </w:t>
      </w:r>
    </w:p>
    <w:p w14:paraId="07C5D42B" w14:textId="30105EB5" w:rsidR="000A076C" w:rsidRPr="000A076C" w:rsidRDefault="000A076C" w:rsidP="000A076C">
      <w:pPr>
        <w:pStyle w:val="ListParagraph"/>
        <w:numPr>
          <w:ilvl w:val="0"/>
          <w:numId w:val="11"/>
        </w:numPr>
        <w:jc w:val="both"/>
        <w:rPr>
          <w:rFonts w:ascii="Times New Roman" w:eastAsia="Times New Roman" w:hAnsi="Times New Roman" w:cs="Times New Roman"/>
          <w:lang w:val="vi-VN"/>
        </w:rPr>
      </w:pPr>
      <w:r w:rsidRPr="00A94D9F">
        <w:rPr>
          <w:rFonts w:ascii="Times New Roman" w:hAnsi="Times New Roman" w:cs="Times New Roman"/>
          <w:color w:val="333333"/>
          <w:lang w:val="vi-VN"/>
        </w:rPr>
        <w:t>Ngành sản xuất kinh doanh thép đóng góp hơn 90% vào kết quả kinh doanh của Tập đoàn.</w:t>
      </w:r>
    </w:p>
    <w:p w14:paraId="1059FEE8" w14:textId="0626A9A0" w:rsidR="008E5DCC" w:rsidRPr="00A94D9F" w:rsidRDefault="009B0358" w:rsidP="00A94D9F">
      <w:pPr>
        <w:pStyle w:val="ListParagraph"/>
        <w:numPr>
          <w:ilvl w:val="0"/>
          <w:numId w:val="11"/>
        </w:numPr>
        <w:jc w:val="both"/>
        <w:rPr>
          <w:rFonts w:ascii="Times New Roman" w:eastAsia="Times New Roman" w:hAnsi="Times New Roman" w:cs="Times New Roman"/>
          <w:lang w:val="vi-VN"/>
        </w:rPr>
      </w:pPr>
      <w:r w:rsidRPr="00A94D9F">
        <w:rPr>
          <w:rFonts w:ascii="Times New Roman" w:eastAsia="Times New Roman" w:hAnsi="Times New Roman" w:cs="Times New Roman"/>
          <w:color w:val="333333"/>
          <w:shd w:val="clear" w:color="auto" w:fill="FFFFFF"/>
        </w:rPr>
        <w:t>Cùng với chính sách xuyên suốt, nhất quán và chất lượng sản phẩm vượt trội, ổn định,</w:t>
      </w:r>
      <w:r w:rsidRPr="00A94D9F">
        <w:rPr>
          <w:rFonts w:ascii="Times New Roman" w:eastAsia="Times New Roman" w:hAnsi="Times New Roman" w:cs="Times New Roman"/>
          <w:color w:val="333333"/>
          <w:shd w:val="clear" w:color="auto" w:fill="FFFFFF"/>
          <w:lang w:val="vi-VN"/>
        </w:rPr>
        <w:t xml:space="preserve"> giá vốn và giá bán tốt,</w:t>
      </w:r>
      <w:r w:rsidRPr="00A94D9F">
        <w:rPr>
          <w:rFonts w:ascii="Times New Roman" w:eastAsia="Times New Roman" w:hAnsi="Times New Roman" w:cs="Times New Roman"/>
          <w:color w:val="333333"/>
          <w:shd w:val="clear" w:color="auto" w:fill="FFFFFF"/>
        </w:rPr>
        <w:t xml:space="preserve"> cùng</w:t>
      </w:r>
      <w:r w:rsidRPr="00A94D9F">
        <w:rPr>
          <w:rFonts w:ascii="Times New Roman" w:eastAsia="Times New Roman" w:hAnsi="Times New Roman" w:cs="Times New Roman"/>
          <w:color w:val="333333"/>
          <w:shd w:val="clear" w:color="auto" w:fill="FFFFFF"/>
          <w:lang w:val="vi-VN"/>
        </w:rPr>
        <w:t xml:space="preserve"> với </w:t>
      </w:r>
      <w:r w:rsidRPr="00A94D9F">
        <w:rPr>
          <w:rFonts w:ascii="Times New Roman" w:eastAsia="Times New Roman" w:hAnsi="Times New Roman" w:cs="Times New Roman"/>
          <w:color w:val="333333"/>
          <w:shd w:val="clear" w:color="auto" w:fill="FFFFFF"/>
        </w:rPr>
        <w:t>mẫu mã đa dạng, sản phẩm củaHòa Phát được khách hàng, đối tác tin tưởng đón nhận tích cực giúp Hòa Phát lập kỷ lục về sản lượng bán hàng</w:t>
      </w:r>
      <w:r w:rsidR="004127C7" w:rsidRPr="00A94D9F">
        <w:rPr>
          <w:rFonts w:ascii="Times New Roman" w:hAnsi="Times New Roman" w:cs="Times New Roman"/>
          <w:color w:val="333333"/>
        </w:rPr>
        <w:t>.</w:t>
      </w:r>
      <w:r w:rsidRPr="00A94D9F">
        <w:rPr>
          <w:rFonts w:ascii="Times New Roman" w:hAnsi="Times New Roman" w:cs="Times New Roman"/>
          <w:color w:val="333333"/>
          <w:lang w:val="vi-VN"/>
        </w:rPr>
        <w:t xml:space="preserve"> </w:t>
      </w:r>
    </w:p>
    <w:p w14:paraId="1BAC3817" w14:textId="77777777" w:rsidR="00422910" w:rsidRPr="00A94D9F" w:rsidRDefault="00422910" w:rsidP="00A94D9F">
      <w:pPr>
        <w:pStyle w:val="ListParagraph"/>
        <w:jc w:val="both"/>
        <w:rPr>
          <w:rFonts w:ascii="Times New Roman" w:eastAsia="Times New Roman" w:hAnsi="Times New Roman" w:cs="Times New Roman"/>
          <w:lang w:val="vi-VN"/>
        </w:rPr>
      </w:pPr>
    </w:p>
    <w:p w14:paraId="422A54D1" w14:textId="5FE800E6" w:rsidR="00561692" w:rsidRPr="007D4194" w:rsidRDefault="000A076C" w:rsidP="007D4194">
      <w:pPr>
        <w:ind w:firstLine="709"/>
        <w:jc w:val="both"/>
        <w:rPr>
          <w:rFonts w:ascii="Times New Roman" w:hAnsi="Times New Roman" w:cs="Times New Roman"/>
          <w:color w:val="333333"/>
          <w:lang w:val="vi-VN"/>
        </w:rPr>
      </w:pPr>
      <w:r>
        <w:rPr>
          <w:rFonts w:ascii="Times New Roman" w:eastAsia="Times New Roman" w:hAnsi="Times New Roman" w:cs="Times New Roman"/>
          <w:lang w:val="vi-VN"/>
        </w:rPr>
        <w:t>Hoà Phát thận</w:t>
      </w:r>
      <w:r w:rsidR="0088453E" w:rsidRPr="00A94D9F">
        <w:rPr>
          <w:rFonts w:ascii="Times New Roman" w:eastAsia="Times New Roman" w:hAnsi="Times New Roman" w:cs="Times New Roman"/>
          <w:lang w:val="vi-VN"/>
        </w:rPr>
        <w:t xml:space="preserve"> trọng trước những biến động kinh tế vĩ mô, Tập đoàn </w:t>
      </w:r>
      <w:r w:rsidR="00422910" w:rsidRPr="00A94D9F">
        <w:rPr>
          <w:rFonts w:ascii="Times New Roman" w:eastAsia="Times New Roman" w:hAnsi="Times New Roman" w:cs="Times New Roman"/>
          <w:lang w:val="vi-VN"/>
        </w:rPr>
        <w:t xml:space="preserve">vẫn rất </w:t>
      </w:r>
      <w:r w:rsidR="0088453E" w:rsidRPr="00A94D9F">
        <w:rPr>
          <w:rFonts w:ascii="Times New Roman" w:eastAsia="Times New Roman" w:hAnsi="Times New Roman" w:cs="Times New Roman"/>
          <w:lang w:val="vi-VN"/>
        </w:rPr>
        <w:t>lạc quan trước tình hình phát triển củ</w:t>
      </w:r>
      <w:r w:rsidR="00422910" w:rsidRPr="00A94D9F">
        <w:rPr>
          <w:rFonts w:ascii="Times New Roman" w:eastAsia="Times New Roman" w:hAnsi="Times New Roman" w:cs="Times New Roman"/>
          <w:lang w:val="vi-VN"/>
        </w:rPr>
        <w:t xml:space="preserve">a công ty </w:t>
      </w:r>
      <w:r w:rsidR="0088453E" w:rsidRPr="00A94D9F">
        <w:rPr>
          <w:rFonts w:ascii="Times New Roman" w:eastAsia="Times New Roman" w:hAnsi="Times New Roman" w:cs="Times New Roman"/>
          <w:lang w:val="vi-VN"/>
        </w:rPr>
        <w:t xml:space="preserve">trong giai đoạn mới với nhiều dự án bắt đầu hoạt động ổn định, đóng góp vào doanh thu và lợi nhuận của Tập đoàn </w:t>
      </w:r>
      <w:r w:rsidR="00422910" w:rsidRPr="00A94D9F">
        <w:rPr>
          <w:rFonts w:ascii="Times New Roman" w:eastAsia="Times New Roman" w:hAnsi="Times New Roman" w:cs="Times New Roman"/>
          <w:lang w:val="vi-VN"/>
        </w:rPr>
        <w:t xml:space="preserve">như </w:t>
      </w:r>
      <w:r w:rsidR="0088453E" w:rsidRPr="00A94D9F">
        <w:rPr>
          <w:rFonts w:ascii="Times New Roman" w:eastAsia="Times New Roman" w:hAnsi="Times New Roman" w:cs="Times New Roman"/>
          <w:lang w:val="vi-VN"/>
        </w:rPr>
        <w:t>thu nhập từ hoạt động tài chính đạt 3.071 tỷ đồng (năm 2021) tăng mạnh qua các năm với tốc độ tăng trưởng 205,68% (năm 2020), 552,04% (năm 2019); thu nhập khác</w:t>
      </w:r>
      <w:r w:rsidR="00422910" w:rsidRPr="00A94D9F">
        <w:rPr>
          <w:rFonts w:ascii="Times New Roman" w:eastAsia="Times New Roman" w:hAnsi="Times New Roman" w:cs="Times New Roman"/>
          <w:lang w:val="vi-VN"/>
        </w:rPr>
        <w:t xml:space="preserve"> đạt 796 tỷ đồng (năm 2021) với tốc độ tăng trưởng hơn 20% so với năm 2020 và năm 2019.</w:t>
      </w:r>
    </w:p>
    <w:p w14:paraId="7EBD8ACB" w14:textId="6D04A3A0" w:rsidR="00561692" w:rsidRPr="00A94D9F" w:rsidRDefault="00561692" w:rsidP="00A94D9F">
      <w:pPr>
        <w:pStyle w:val="ListParagraph"/>
        <w:numPr>
          <w:ilvl w:val="0"/>
          <w:numId w:val="12"/>
        </w:numPr>
        <w:jc w:val="both"/>
        <w:rPr>
          <w:rFonts w:ascii="Times New Roman" w:eastAsia="Times New Roman" w:hAnsi="Times New Roman" w:cs="Times New Roman"/>
          <w:lang w:val="vi-VN"/>
        </w:rPr>
      </w:pPr>
      <w:r w:rsidRPr="00A94D9F">
        <w:rPr>
          <w:rFonts w:ascii="Times New Roman" w:eastAsia="Times New Roman" w:hAnsi="Times New Roman" w:cs="Times New Roman"/>
          <w:lang w:val="vi-VN"/>
        </w:rPr>
        <w:lastRenderedPageBreak/>
        <w:t>Sự biến động của chi phí</w:t>
      </w:r>
    </w:p>
    <w:p w14:paraId="660618D3" w14:textId="746E4F50" w:rsidR="00561692" w:rsidRPr="00A94D9F" w:rsidRDefault="00561692" w:rsidP="00A94D9F">
      <w:pPr>
        <w:pStyle w:val="ListParagraph"/>
        <w:ind w:left="0"/>
        <w:jc w:val="both"/>
        <w:rPr>
          <w:rFonts w:ascii="Times New Roman" w:eastAsia="Times New Roman" w:hAnsi="Times New Roman" w:cs="Times New Roman"/>
          <w:lang w:val="vi-VN"/>
        </w:rPr>
      </w:pPr>
      <w:r w:rsidRPr="00A94D9F">
        <w:rPr>
          <w:rFonts w:ascii="Times New Roman" w:eastAsia="Times New Roman" w:hAnsi="Times New Roman" w:cs="Times New Roman"/>
          <w:lang w:val="vi-VN"/>
        </w:rPr>
        <w:t>Tốc độ tăng trưởng giữa doanh thu và lợi nhuận sau thuế không đồng nhất là do các yếu tố bất thường của chi phí tăn</w:t>
      </w:r>
      <w:r w:rsidR="00FE696F">
        <w:rPr>
          <w:rFonts w:ascii="Times New Roman" w:eastAsia="Times New Roman" w:hAnsi="Times New Roman" w:cs="Times New Roman"/>
          <w:lang w:val="vi-VN"/>
        </w:rPr>
        <w:t>g</w:t>
      </w:r>
      <w:r w:rsidRPr="00A94D9F">
        <w:rPr>
          <w:rFonts w:ascii="Times New Roman" w:eastAsia="Times New Roman" w:hAnsi="Times New Roman" w:cs="Times New Roman"/>
          <w:lang w:val="vi-VN"/>
        </w:rPr>
        <w:t>, ảnh hưởng đến lợi nhuận của Tập đoàn.</w:t>
      </w:r>
    </w:p>
    <w:p w14:paraId="5C61B0E2" w14:textId="77777777" w:rsidR="00D6621D" w:rsidRPr="00A94D9F" w:rsidRDefault="00D6621D" w:rsidP="00A94D9F">
      <w:pPr>
        <w:pStyle w:val="NormalWeb"/>
        <w:spacing w:before="0" w:beforeAutospacing="0" w:after="0" w:afterAutospacing="0"/>
        <w:ind w:left="720"/>
        <w:jc w:val="both"/>
        <w:rPr>
          <w:color w:val="333333"/>
        </w:rPr>
      </w:pPr>
    </w:p>
    <w:p w14:paraId="5B932C6A" w14:textId="7F14B447" w:rsidR="006B454B" w:rsidRPr="00A94D9F" w:rsidRDefault="00D6621D" w:rsidP="00A94D9F">
      <w:pPr>
        <w:ind w:firstLine="720"/>
        <w:jc w:val="both"/>
        <w:rPr>
          <w:rFonts w:ascii="Times New Roman" w:eastAsia="Times New Roman" w:hAnsi="Times New Roman" w:cs="Times New Roman"/>
          <w:lang w:val="vi-VN"/>
        </w:rPr>
      </w:pPr>
      <w:r w:rsidRPr="00A94D9F">
        <w:rPr>
          <w:rFonts w:ascii="Times New Roman" w:eastAsia="Times New Roman" w:hAnsi="Times New Roman" w:cs="Times New Roman"/>
        </w:rPr>
        <w:t>Giá</w:t>
      </w:r>
      <w:r w:rsidRPr="00A94D9F">
        <w:rPr>
          <w:rFonts w:ascii="Times New Roman" w:eastAsia="Times New Roman" w:hAnsi="Times New Roman" w:cs="Times New Roman"/>
          <w:lang w:val="vi-VN"/>
        </w:rPr>
        <w:t xml:space="preserve"> </w:t>
      </w:r>
      <w:r w:rsidR="006B454B" w:rsidRPr="00A94D9F">
        <w:rPr>
          <w:rFonts w:ascii="Times New Roman" w:eastAsia="Times New Roman" w:hAnsi="Times New Roman" w:cs="Times New Roman"/>
          <w:lang w:val="vi-VN"/>
        </w:rPr>
        <w:t>vốn hàng bán</w:t>
      </w:r>
      <w:r w:rsidR="00887D5E" w:rsidRPr="00A94D9F">
        <w:rPr>
          <w:rFonts w:ascii="Times New Roman" w:eastAsia="Times New Roman" w:hAnsi="Times New Roman" w:cs="Times New Roman"/>
          <w:lang w:val="vi-VN"/>
        </w:rPr>
        <w:t xml:space="preserve"> tăng cao,</w:t>
      </w:r>
      <w:r w:rsidR="009948CB" w:rsidRPr="00A94D9F">
        <w:rPr>
          <w:rFonts w:ascii="Times New Roman" w:eastAsia="Times New Roman" w:hAnsi="Times New Roman" w:cs="Times New Roman"/>
          <w:lang w:val="vi-VN"/>
        </w:rPr>
        <w:t xml:space="preserve"> năm 2021</w:t>
      </w:r>
      <w:r w:rsidR="006B454B" w:rsidRPr="00A94D9F">
        <w:rPr>
          <w:rFonts w:ascii="Times New Roman" w:eastAsia="Times New Roman" w:hAnsi="Times New Roman" w:cs="Times New Roman"/>
          <w:lang w:val="vi-VN"/>
        </w:rPr>
        <w:t xml:space="preserve"> đạt 108.571</w:t>
      </w:r>
      <w:r w:rsidR="00431C2A" w:rsidRPr="00A94D9F">
        <w:rPr>
          <w:rFonts w:ascii="Times New Roman" w:eastAsia="Times New Roman" w:hAnsi="Times New Roman" w:cs="Times New Roman"/>
          <w:lang w:val="vi-VN"/>
        </w:rPr>
        <w:t xml:space="preserve"> tỷ đồng </w:t>
      </w:r>
      <w:r w:rsidR="006B454B" w:rsidRPr="00A94D9F">
        <w:rPr>
          <w:rFonts w:ascii="Times New Roman" w:eastAsia="Times New Roman" w:hAnsi="Times New Roman" w:cs="Times New Roman"/>
          <w:lang w:val="vi-VN"/>
        </w:rPr>
        <w:t>tăng lần lượt là 52,46% và 106,91% so với năm 2020 và năm 2019.</w:t>
      </w:r>
      <w:r w:rsidR="00887D5E" w:rsidRPr="00A94D9F">
        <w:rPr>
          <w:rFonts w:ascii="Times New Roman" w:eastAsia="Times New Roman" w:hAnsi="Times New Roman" w:cs="Times New Roman"/>
          <w:lang w:val="vi-VN"/>
        </w:rPr>
        <w:t xml:space="preserve"> Chi phí mua nguyên vật liệu đã tăng lên (do ảnh hưởng của các yếu tố trên thị trường</w:t>
      </w:r>
      <w:r w:rsidR="00496A5B" w:rsidRPr="00A94D9F">
        <w:rPr>
          <w:rFonts w:ascii="Times New Roman" w:eastAsia="Times New Roman" w:hAnsi="Times New Roman" w:cs="Times New Roman"/>
          <w:lang w:val="vi-VN"/>
        </w:rPr>
        <w:t>), ngoài ra giá vốn của bất động sản ( đầu tư cho thuê/ đã bán) tăng của là một trong những nguyên nhân khiến giá vốn hàng bán của Tập đoàn tăng mạnh.</w:t>
      </w:r>
    </w:p>
    <w:p w14:paraId="1C57A0F0" w14:textId="6AD4A68E" w:rsidR="002747AD" w:rsidRPr="00A94D9F" w:rsidRDefault="002747AD" w:rsidP="00A94D9F">
      <w:pPr>
        <w:jc w:val="both"/>
        <w:rPr>
          <w:rFonts w:ascii="Times New Roman" w:eastAsia="Times New Roman" w:hAnsi="Times New Roman" w:cs="Times New Roman"/>
          <w:lang w:val="vi-VN"/>
        </w:rPr>
      </w:pPr>
    </w:p>
    <w:p w14:paraId="0DFDE022" w14:textId="417D0198" w:rsidR="006850D3" w:rsidRPr="00A94D9F" w:rsidRDefault="00555106" w:rsidP="00A94D9F">
      <w:pPr>
        <w:ind w:firstLine="720"/>
        <w:jc w:val="both"/>
        <w:rPr>
          <w:rFonts w:ascii="Times New Roman" w:eastAsia="Times New Roman" w:hAnsi="Times New Roman" w:cs="Times New Roman"/>
          <w:lang w:val="vi-VN"/>
        </w:rPr>
      </w:pPr>
      <w:r w:rsidRPr="00A94D9F">
        <w:rPr>
          <w:rFonts w:ascii="Times New Roman" w:eastAsia="Times New Roman" w:hAnsi="Times New Roman" w:cs="Times New Roman"/>
        </w:rPr>
        <w:t>Chi</w:t>
      </w:r>
      <w:r w:rsidRPr="00A94D9F">
        <w:rPr>
          <w:rFonts w:ascii="Times New Roman" w:eastAsia="Times New Roman" w:hAnsi="Times New Roman" w:cs="Times New Roman"/>
          <w:lang w:val="vi-VN"/>
        </w:rPr>
        <w:t xml:space="preserve"> phí bán hàng tăng khá cao: năm 2021 đạt 2,120 tỷ đồng, tăng 94,36% so với năm 2020, và  142,76% so với năm 2019. Các chính sách bán hàng, chính sách hỗ trợ đại lý cũng được tăng trưởng, hệ thống đại lý của các </w:t>
      </w:r>
      <w:r w:rsidR="00C90968">
        <w:rPr>
          <w:rFonts w:ascii="Times New Roman" w:eastAsia="Times New Roman" w:hAnsi="Times New Roman" w:cs="Times New Roman"/>
          <w:lang w:val="vi-VN"/>
        </w:rPr>
        <w:t>ngành</w:t>
      </w:r>
      <w:r w:rsidRPr="00A94D9F">
        <w:rPr>
          <w:rFonts w:ascii="Times New Roman" w:eastAsia="Times New Roman" w:hAnsi="Times New Roman" w:cs="Times New Roman"/>
          <w:lang w:val="vi-VN"/>
        </w:rPr>
        <w:t xml:space="preserve"> hàng trong tập đoàn đều được phát triển theo hướng tập trung hóa. Hệ thống đại lý ổn định và gắn bó chính là nền tảng để xây dựng thị trường cho các ngành hàng mới của Hoà Phát. Việc</w:t>
      </w:r>
      <w:r w:rsidR="00944E0F" w:rsidRPr="00A94D9F">
        <w:rPr>
          <w:rFonts w:ascii="Times New Roman" w:eastAsia="Times New Roman" w:hAnsi="Times New Roman" w:cs="Times New Roman"/>
          <w:lang w:val="vi-VN"/>
        </w:rPr>
        <w:t xml:space="preserve"> đẩy mạnh</w:t>
      </w:r>
      <w:r w:rsidRPr="00A94D9F">
        <w:rPr>
          <w:rFonts w:ascii="Times New Roman" w:eastAsia="Times New Roman" w:hAnsi="Times New Roman" w:cs="Times New Roman"/>
          <w:lang w:val="vi-VN"/>
        </w:rPr>
        <w:t xml:space="preserve"> quảng bá</w:t>
      </w:r>
      <w:r w:rsidR="00944E0F" w:rsidRPr="00A94D9F">
        <w:rPr>
          <w:rFonts w:ascii="Times New Roman" w:eastAsia="Times New Roman" w:hAnsi="Times New Roman" w:cs="Times New Roman"/>
          <w:lang w:val="vi-VN"/>
        </w:rPr>
        <w:t xml:space="preserve"> các</w:t>
      </w:r>
      <w:r w:rsidRPr="00A94D9F">
        <w:rPr>
          <w:rFonts w:ascii="Times New Roman" w:eastAsia="Times New Roman" w:hAnsi="Times New Roman" w:cs="Times New Roman"/>
          <w:lang w:val="vi-VN"/>
        </w:rPr>
        <w:t xml:space="preserve"> sản phẩm mới và các dịch vụ chăm sóc khách hàng cũng làm cho chi phí bán hàng tăng nhưng điều này cũng giúp cho </w:t>
      </w:r>
      <w:r w:rsidR="00944E0F" w:rsidRPr="00A94D9F">
        <w:rPr>
          <w:rFonts w:ascii="Times New Roman" w:eastAsia="Times New Roman" w:hAnsi="Times New Roman" w:cs="Times New Roman"/>
          <w:lang w:val="vi-VN"/>
        </w:rPr>
        <w:t xml:space="preserve">Hoà Phát </w:t>
      </w:r>
      <w:r w:rsidRPr="00A94D9F">
        <w:rPr>
          <w:rFonts w:ascii="Times New Roman" w:eastAsia="Times New Roman" w:hAnsi="Times New Roman" w:cs="Times New Roman"/>
          <w:lang w:val="vi-VN"/>
        </w:rPr>
        <w:t>tăng thêm doanh thu và tìm năng kiếm được lượng khách hàng mới cho tập đoàn.</w:t>
      </w:r>
    </w:p>
    <w:p w14:paraId="3B38380C" w14:textId="76CAEE9C" w:rsidR="00944E0F" w:rsidRPr="00A94D9F" w:rsidRDefault="00944E0F" w:rsidP="00A94D9F">
      <w:pPr>
        <w:jc w:val="both"/>
        <w:rPr>
          <w:rFonts w:ascii="Times New Roman" w:eastAsia="Times New Roman" w:hAnsi="Times New Roman" w:cs="Times New Roman"/>
          <w:lang w:val="vi-VN"/>
        </w:rPr>
      </w:pPr>
    </w:p>
    <w:p w14:paraId="6230D719" w14:textId="3142514E" w:rsidR="00944E0F" w:rsidRDefault="00944E0F" w:rsidP="00A94D9F">
      <w:pPr>
        <w:ind w:firstLine="720"/>
        <w:jc w:val="both"/>
        <w:rPr>
          <w:rFonts w:ascii="Times New Roman" w:eastAsia="Times New Roman" w:hAnsi="Times New Roman" w:cs="Times New Roman"/>
          <w:lang w:val="vi-VN"/>
        </w:rPr>
      </w:pPr>
      <w:r w:rsidRPr="00A94D9F">
        <w:rPr>
          <w:rFonts w:ascii="Times New Roman" w:eastAsia="Times New Roman" w:hAnsi="Times New Roman" w:cs="Times New Roman"/>
          <w:lang w:val="vi-VN"/>
        </w:rPr>
        <w:t>Chi phí quản lý Doanh nghiệp tăng mạnh vào năm 2021, với 1.324 tỷ đồng. Tốc độ tăng trưởng đạt 91,84% so với năm 2020, và 132,73% s</w:t>
      </w:r>
      <w:r w:rsidR="00FA0A0F" w:rsidRPr="00A94D9F">
        <w:rPr>
          <w:rFonts w:ascii="Times New Roman" w:eastAsia="Times New Roman" w:hAnsi="Times New Roman" w:cs="Times New Roman"/>
          <w:lang w:val="vi-VN"/>
        </w:rPr>
        <w:t>o</w:t>
      </w:r>
      <w:r w:rsidRPr="00A94D9F">
        <w:rPr>
          <w:rFonts w:ascii="Times New Roman" w:eastAsia="Times New Roman" w:hAnsi="Times New Roman" w:cs="Times New Roman"/>
          <w:lang w:val="vi-VN"/>
        </w:rPr>
        <w:t xml:space="preserve"> với năm 2019. Chi phí này tăng mạnh là do </w:t>
      </w:r>
      <w:r w:rsidR="00FA0A0F" w:rsidRPr="00A94D9F">
        <w:rPr>
          <w:rFonts w:ascii="Times New Roman" w:eastAsia="Times New Roman" w:hAnsi="Times New Roman" w:cs="Times New Roman"/>
          <w:lang w:val="vi-VN"/>
        </w:rPr>
        <w:t>Tập đoàn đẩy mạnh quyên góp vào công tác phòng chống dịch</w:t>
      </w:r>
      <w:r w:rsidR="00066DF3">
        <w:rPr>
          <w:rFonts w:ascii="Times New Roman" w:eastAsia="Times New Roman" w:hAnsi="Times New Roman" w:cs="Times New Roman"/>
          <w:lang w:val="vi-VN"/>
        </w:rPr>
        <w:t>. Với mong muốn chung tay với Chính phủ và các Bộ ngành đối phó với đại dịch Covid-19 tại Việt Nam.</w:t>
      </w:r>
    </w:p>
    <w:p w14:paraId="09465FB3" w14:textId="77777777" w:rsidR="00E12CA8" w:rsidRDefault="00E12CA8" w:rsidP="00A94D9F">
      <w:pPr>
        <w:ind w:firstLine="720"/>
        <w:jc w:val="both"/>
        <w:rPr>
          <w:rFonts w:ascii="Times New Roman" w:eastAsia="Times New Roman" w:hAnsi="Times New Roman" w:cs="Times New Roman"/>
          <w:lang w:val="vi-VN"/>
        </w:rPr>
      </w:pPr>
    </w:p>
    <w:p w14:paraId="64950E5C" w14:textId="6E8B0582" w:rsidR="00C90968" w:rsidRPr="00C90968" w:rsidRDefault="00E12CA8" w:rsidP="00C90968">
      <w:pPr>
        <w:rPr>
          <w:rFonts w:ascii="Times New Roman" w:eastAsia="Times New Roman" w:hAnsi="Times New Roman" w:cs="Times New Roman"/>
        </w:rPr>
      </w:pPr>
      <w:r w:rsidRPr="00C90968">
        <w:rPr>
          <w:rFonts w:ascii="Times New Roman" w:eastAsia="Times New Roman" w:hAnsi="Times New Roman" w:cs="Times New Roman"/>
        </w:rPr>
        <w:fldChar w:fldCharType="begin"/>
      </w:r>
      <w:r w:rsidRPr="00C90968">
        <w:rPr>
          <w:rFonts w:ascii="Times New Roman" w:eastAsia="Times New Roman" w:hAnsi="Times New Roman" w:cs="Times New Roman"/>
        </w:rPr>
        <w:instrText xml:space="preserve"> INCLUDEPICTURE "/var/folders/g0/0zm18rcs0yn21jknzjpkccmm0000gp/T/com.microsoft.Word/WebArchiveCopyPasteTempFiles/emagazine-tap-doan-11.jpg" \* MERGEFORMATINET </w:instrText>
      </w:r>
      <w:r w:rsidRPr="00C90968">
        <w:rPr>
          <w:rFonts w:ascii="Times New Roman" w:eastAsia="Times New Roman" w:hAnsi="Times New Roman" w:cs="Times New Roman"/>
        </w:rPr>
        <w:fldChar w:fldCharType="separate"/>
      </w:r>
      <w:r w:rsidRPr="00C90968">
        <w:rPr>
          <w:rFonts w:ascii="Times New Roman" w:eastAsia="Times New Roman" w:hAnsi="Times New Roman" w:cs="Times New Roman"/>
          <w:noProof/>
        </w:rPr>
        <w:drawing>
          <wp:inline distT="0" distB="0" distL="0" distR="0" wp14:anchorId="665F2D68" wp14:editId="11FBE2B1">
            <wp:extent cx="5942859" cy="1747705"/>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517" b="12533"/>
                    <a:stretch/>
                  </pic:blipFill>
                  <pic:spPr bwMode="auto">
                    <a:xfrm>
                      <a:off x="0" y="0"/>
                      <a:ext cx="5943600" cy="1747923"/>
                    </a:xfrm>
                    <a:prstGeom prst="rect">
                      <a:avLst/>
                    </a:prstGeom>
                    <a:noFill/>
                    <a:ln>
                      <a:noFill/>
                    </a:ln>
                    <a:extLst>
                      <a:ext uri="{53640926-AAD7-44D8-BBD7-CCE9431645EC}">
                        <a14:shadowObscured xmlns:a14="http://schemas.microsoft.com/office/drawing/2010/main"/>
                      </a:ext>
                    </a:extLst>
                  </pic:spPr>
                </pic:pic>
              </a:graphicData>
            </a:graphic>
          </wp:inline>
        </w:drawing>
      </w:r>
      <w:r w:rsidRPr="00C90968">
        <w:rPr>
          <w:rFonts w:ascii="Times New Roman" w:eastAsia="Times New Roman" w:hAnsi="Times New Roman" w:cs="Times New Roman"/>
        </w:rPr>
        <w:fldChar w:fldCharType="end"/>
      </w:r>
    </w:p>
    <w:p w14:paraId="351413C2" w14:textId="77777777" w:rsidR="00C90968" w:rsidRPr="00A94D9F" w:rsidRDefault="00C90968" w:rsidP="00A94D9F">
      <w:pPr>
        <w:ind w:firstLine="720"/>
        <w:jc w:val="both"/>
        <w:rPr>
          <w:rFonts w:ascii="Times New Roman" w:eastAsia="Times New Roman" w:hAnsi="Times New Roman" w:cs="Times New Roman"/>
          <w:lang w:val="vi-VN"/>
        </w:rPr>
      </w:pPr>
    </w:p>
    <w:p w14:paraId="78122C5D" w14:textId="6C3CECE2" w:rsidR="00FA0A0F" w:rsidRPr="00A94D9F" w:rsidRDefault="00FA0A0F" w:rsidP="00A94D9F">
      <w:pPr>
        <w:jc w:val="both"/>
        <w:rPr>
          <w:rFonts w:ascii="Times New Roman" w:eastAsia="Times New Roman" w:hAnsi="Times New Roman" w:cs="Times New Roman"/>
          <w:lang w:val="vi-VN"/>
        </w:rPr>
      </w:pPr>
    </w:p>
    <w:p w14:paraId="7858991A" w14:textId="2C2FBBA8" w:rsidR="00FA0A0F" w:rsidRPr="00A94D9F" w:rsidRDefault="00FA0A0F" w:rsidP="00A94D9F">
      <w:pPr>
        <w:ind w:firstLine="720"/>
        <w:jc w:val="both"/>
        <w:rPr>
          <w:rFonts w:ascii="Times New Roman" w:eastAsia="Times New Roman" w:hAnsi="Times New Roman" w:cs="Times New Roman"/>
          <w:lang w:val="vi-VN"/>
        </w:rPr>
      </w:pPr>
      <w:r w:rsidRPr="00A94D9F">
        <w:rPr>
          <w:rFonts w:ascii="Times New Roman" w:eastAsia="Times New Roman" w:hAnsi="Times New Roman" w:cs="Times New Roman"/>
          <w:lang w:val="vi-VN"/>
        </w:rPr>
        <w:t xml:space="preserve">Chi phí </w:t>
      </w:r>
      <w:r w:rsidR="00CA72EF" w:rsidRPr="00A94D9F">
        <w:rPr>
          <w:rFonts w:ascii="Times New Roman" w:eastAsia="Times New Roman" w:hAnsi="Times New Roman" w:cs="Times New Roman"/>
          <w:lang w:val="vi-VN"/>
        </w:rPr>
        <w:t>tài chính</w:t>
      </w:r>
      <w:r w:rsidRPr="00A94D9F">
        <w:rPr>
          <w:rFonts w:ascii="Times New Roman" w:eastAsia="Times New Roman" w:hAnsi="Times New Roman" w:cs="Times New Roman"/>
          <w:lang w:val="vi-VN"/>
        </w:rPr>
        <w:t>:</w:t>
      </w:r>
      <w:r w:rsidR="004C33D4" w:rsidRPr="00A94D9F">
        <w:rPr>
          <w:rFonts w:ascii="Times New Roman" w:eastAsia="Times New Roman" w:hAnsi="Times New Roman" w:cs="Times New Roman"/>
          <w:lang w:val="vi-VN"/>
        </w:rPr>
        <w:t xml:space="preserve"> chi phí tăng</w:t>
      </w:r>
      <w:r w:rsidR="004A76A3">
        <w:rPr>
          <w:rFonts w:ascii="Times New Roman" w:eastAsia="Times New Roman" w:hAnsi="Times New Roman" w:cs="Times New Roman"/>
          <w:lang w:val="vi-VN"/>
        </w:rPr>
        <w:t xml:space="preserve"> khônh đều</w:t>
      </w:r>
      <w:r w:rsidR="004C33D4" w:rsidRPr="00A94D9F">
        <w:rPr>
          <w:rFonts w:ascii="Times New Roman" w:eastAsia="Times New Roman" w:hAnsi="Times New Roman" w:cs="Times New Roman"/>
          <w:lang w:val="vi-VN"/>
        </w:rPr>
        <w:t xml:space="preserve"> trong hoạt động đầu tư chứng tỏ hoạt động kinh doanh của Tập đoàn được đẩy mạnh. Trong đó, chi phí đi vay chiếm tỷ trọng lớn trong chi phí này</w:t>
      </w:r>
      <w:r w:rsidR="00BC39C5">
        <w:rPr>
          <w:rFonts w:ascii="Times New Roman" w:eastAsia="Times New Roman" w:hAnsi="Times New Roman" w:cs="Times New Roman"/>
          <w:lang w:val="vi-VN"/>
        </w:rPr>
        <w:t xml:space="preserve"> (67,68% năm 2021)</w:t>
      </w:r>
    </w:p>
    <w:p w14:paraId="5D1BC642" w14:textId="77777777" w:rsidR="00A94D9F" w:rsidRDefault="00A94D9F" w:rsidP="00A94D9F">
      <w:pPr>
        <w:jc w:val="both"/>
        <w:rPr>
          <w:rFonts w:ascii="Times New Roman" w:eastAsia="Times New Roman" w:hAnsi="Times New Roman" w:cs="Times New Roman"/>
          <w:lang w:val="vi-VN"/>
        </w:rPr>
      </w:pPr>
    </w:p>
    <w:p w14:paraId="31E780BA" w14:textId="23FE98BE" w:rsidR="00FA0A0F" w:rsidRPr="00A94D9F" w:rsidRDefault="00FA0A0F" w:rsidP="00A94D9F">
      <w:pPr>
        <w:ind w:firstLine="720"/>
        <w:jc w:val="both"/>
        <w:rPr>
          <w:rFonts w:ascii="Times New Roman" w:eastAsia="Times New Roman" w:hAnsi="Times New Roman" w:cs="Times New Roman"/>
          <w:lang w:val="vi-VN"/>
        </w:rPr>
      </w:pPr>
      <w:r w:rsidRPr="00A94D9F">
        <w:rPr>
          <w:rFonts w:ascii="Times New Roman" w:eastAsia="Times New Roman" w:hAnsi="Times New Roman" w:cs="Times New Roman"/>
          <w:lang w:val="vi-VN"/>
        </w:rPr>
        <w:t>Chi phí khác</w:t>
      </w:r>
      <w:r w:rsidR="004C33D4" w:rsidRPr="00A94D9F">
        <w:rPr>
          <w:rFonts w:ascii="Times New Roman" w:eastAsia="Times New Roman" w:hAnsi="Times New Roman" w:cs="Times New Roman"/>
          <w:lang w:val="vi-VN"/>
        </w:rPr>
        <w:t xml:space="preserve"> </w:t>
      </w:r>
      <w:r w:rsidR="00BC39C5">
        <w:rPr>
          <w:rFonts w:ascii="Times New Roman" w:eastAsia="Times New Roman" w:hAnsi="Times New Roman" w:cs="Times New Roman"/>
          <w:lang w:val="vi-VN"/>
        </w:rPr>
        <w:t>với mức tăng tương đối</w:t>
      </w:r>
      <w:r w:rsidR="00423226">
        <w:rPr>
          <w:rFonts w:ascii="Times New Roman" w:eastAsia="Times New Roman" w:hAnsi="Times New Roman" w:cs="Times New Roman"/>
          <w:lang w:val="vi-VN"/>
        </w:rPr>
        <w:t xml:space="preserve"> (trên 26% so với năm 2020 và 2019)</w:t>
      </w:r>
      <w:r w:rsidR="00BC39C5">
        <w:rPr>
          <w:rFonts w:ascii="Times New Roman" w:eastAsia="Times New Roman" w:hAnsi="Times New Roman" w:cs="Times New Roman"/>
          <w:lang w:val="vi-VN"/>
        </w:rPr>
        <w:t xml:space="preserve"> do tình hình lạm phát</w:t>
      </w:r>
      <w:r w:rsidR="00423226">
        <w:rPr>
          <w:rFonts w:ascii="Times New Roman" w:eastAsia="Times New Roman" w:hAnsi="Times New Roman" w:cs="Times New Roman"/>
          <w:lang w:val="vi-VN"/>
        </w:rPr>
        <w:t xml:space="preserve"> và chính sách thắt chặt tiền tệ của Chính phủ ảnh hưởng đến chi phí trong Tập đoàn.</w:t>
      </w:r>
    </w:p>
    <w:p w14:paraId="3D56396E" w14:textId="7E0C1E7F" w:rsidR="009B75BA" w:rsidRPr="00066DF3" w:rsidRDefault="009B75BA" w:rsidP="009B75BA">
      <w:pPr>
        <w:jc w:val="both"/>
        <w:rPr>
          <w:rFonts w:ascii="Times New Roman" w:hAnsi="Times New Roman" w:cs="Times New Roman"/>
          <w:b/>
          <w:bCs/>
          <w:u w:val="single"/>
          <w:lang w:val="vi-VN"/>
        </w:rPr>
      </w:pPr>
    </w:p>
    <w:p w14:paraId="3A26BC58" w14:textId="525E43B6" w:rsidR="007D4194" w:rsidRPr="007D4194" w:rsidRDefault="007D4194" w:rsidP="007D4194">
      <w:pPr>
        <w:jc w:val="both"/>
        <w:rPr>
          <w:rFonts w:ascii="Times New Roman" w:eastAsia="Times New Roman" w:hAnsi="Times New Roman" w:cs="Times New Roman"/>
          <w:b/>
          <w:bCs/>
          <w:u w:val="single"/>
          <w:lang w:val="vi-VN"/>
        </w:rPr>
      </w:pPr>
      <w:r w:rsidRPr="00066DF3">
        <w:rPr>
          <w:rFonts w:ascii="Times New Roman" w:eastAsia="Times New Roman" w:hAnsi="Times New Roman" w:cs="Times New Roman"/>
          <w:b/>
          <w:bCs/>
          <w:u w:val="single"/>
          <w:lang w:val="vi-VN"/>
        </w:rPr>
        <w:t>Nhận xét:</w:t>
      </w:r>
    </w:p>
    <w:p w14:paraId="2FE601E3" w14:textId="4938FC78" w:rsidR="009B75BA" w:rsidRPr="00A94D9F" w:rsidRDefault="007D4194" w:rsidP="009B75BA">
      <w:pPr>
        <w:ind w:firstLine="720"/>
        <w:jc w:val="both"/>
        <w:rPr>
          <w:rFonts w:ascii="Times New Roman" w:eastAsia="Times New Roman" w:hAnsi="Times New Roman" w:cs="Times New Roman"/>
          <w:lang w:val="vi-VN"/>
        </w:rPr>
      </w:pPr>
      <w:r>
        <w:rPr>
          <w:rFonts w:ascii="Times New Roman" w:eastAsia="Times New Roman" w:hAnsi="Times New Roman" w:cs="Times New Roman"/>
          <w:lang w:val="vi-VN"/>
        </w:rPr>
        <w:t>S</w:t>
      </w:r>
      <w:r w:rsidR="009B75BA" w:rsidRPr="00A94D9F">
        <w:rPr>
          <w:rFonts w:ascii="Times New Roman" w:eastAsia="Times New Roman" w:hAnsi="Times New Roman" w:cs="Times New Roman"/>
          <w:lang w:val="vi-VN"/>
        </w:rPr>
        <w:t xml:space="preserve">ự chủ động về với một liệu đầu vào về nguyên vật liệu đầu vào cũng như quy trình sản xuất khép kín luôn là lợi thế cạnh tranh đặc biệt của </w:t>
      </w:r>
      <w:r>
        <w:rPr>
          <w:rFonts w:ascii="Times New Roman" w:eastAsia="Times New Roman" w:hAnsi="Times New Roman" w:cs="Times New Roman"/>
          <w:lang w:val="vi-VN"/>
        </w:rPr>
        <w:t>T</w:t>
      </w:r>
      <w:r w:rsidR="009B75BA" w:rsidRPr="00A94D9F">
        <w:rPr>
          <w:rFonts w:ascii="Times New Roman" w:eastAsia="Times New Roman" w:hAnsi="Times New Roman" w:cs="Times New Roman"/>
          <w:lang w:val="vi-VN"/>
        </w:rPr>
        <w:t xml:space="preserve">ập đoàn. Bên cạnh đó, Hòa Phát vượt trội so với các doanh nghiệp cùng ngành ở khả năng kiểm soát chi phí và lợi thế về tỷ lệ cho vay trong cạnh tranh với doanh nghiệp sản xuất trong nước và ngoài nước. </w:t>
      </w:r>
    </w:p>
    <w:p w14:paraId="40D16D2D" w14:textId="77777777" w:rsidR="009B75BA" w:rsidRDefault="009B75BA" w:rsidP="00A94D9F">
      <w:pPr>
        <w:jc w:val="both"/>
        <w:rPr>
          <w:rFonts w:ascii="Times New Roman" w:hAnsi="Times New Roman" w:cs="Times New Roman"/>
          <w:lang w:val="vi-VN"/>
        </w:rPr>
      </w:pPr>
    </w:p>
    <w:p w14:paraId="09ECDD1F" w14:textId="5F25F92A" w:rsidR="00182225" w:rsidRDefault="002665AC" w:rsidP="00DC38F7">
      <w:pPr>
        <w:jc w:val="both"/>
        <w:rPr>
          <w:rFonts w:ascii="Times New Roman" w:hAnsi="Times New Roman" w:cs="Times New Roman"/>
          <w:lang w:val="vi-VN"/>
        </w:rPr>
      </w:pPr>
      <w:r>
        <w:rPr>
          <w:rFonts w:ascii="Times New Roman" w:hAnsi="Times New Roman" w:cs="Times New Roman"/>
          <w:lang w:val="vi-VN"/>
        </w:rPr>
        <w:t>Tổng</w:t>
      </w:r>
      <w:r w:rsidR="00423226">
        <w:rPr>
          <w:rFonts w:ascii="Times New Roman" w:hAnsi="Times New Roman" w:cs="Times New Roman"/>
          <w:lang w:val="vi-VN"/>
        </w:rPr>
        <w:t xml:space="preserve"> chi phí tương đối cao nhưng Tập đoàn Hoà Phát vẫn kiểm soát được và giúp cho quá trình sản xuất và hoạt động kinh doanh của doanh nghiệp trở nên tốt hơn. Mức lợi nhuận của Tập đoàn vẫn tăng mạnh.</w:t>
      </w:r>
    </w:p>
    <w:p w14:paraId="630693B8" w14:textId="0E5DE0B9" w:rsidR="00DC38F7" w:rsidRDefault="00DC38F7" w:rsidP="00DC38F7">
      <w:pPr>
        <w:jc w:val="both"/>
        <w:rPr>
          <w:rFonts w:ascii="Times New Roman" w:hAnsi="Times New Roman" w:cs="Times New Roman"/>
          <w:lang w:val="vi-VN"/>
        </w:rPr>
      </w:pPr>
    </w:p>
    <w:p w14:paraId="4282DBBE" w14:textId="2A3A5E5D" w:rsidR="00DC38F7" w:rsidRDefault="00DC38F7" w:rsidP="007D4194">
      <w:pPr>
        <w:ind w:firstLine="720"/>
        <w:jc w:val="both"/>
        <w:rPr>
          <w:rFonts w:ascii="Times New Roman" w:hAnsi="Times New Roman" w:cs="Times New Roman"/>
          <w:sz w:val="28"/>
          <w:szCs w:val="28"/>
          <w:lang w:val="vi-VN"/>
        </w:rPr>
      </w:pPr>
      <w:r w:rsidRPr="007D4194">
        <w:rPr>
          <w:rFonts w:ascii="Times New Roman" w:hAnsi="Times New Roman" w:cs="Times New Roman"/>
          <w:sz w:val="28"/>
          <w:szCs w:val="28"/>
          <w:lang w:val="vi-VN"/>
        </w:rPr>
        <w:t>*Cơ cấu Kết quả SXHĐKD</w:t>
      </w:r>
    </w:p>
    <w:tbl>
      <w:tblPr>
        <w:tblW w:w="11058" w:type="dxa"/>
        <w:tblInd w:w="-1003" w:type="dxa"/>
        <w:tblCellMar>
          <w:left w:w="0" w:type="dxa"/>
          <w:right w:w="0" w:type="dxa"/>
        </w:tblCellMar>
        <w:tblLook w:val="0600" w:firstRow="0" w:lastRow="0" w:firstColumn="0" w:lastColumn="0" w:noHBand="1" w:noVBand="1"/>
      </w:tblPr>
      <w:tblGrid>
        <w:gridCol w:w="851"/>
        <w:gridCol w:w="3970"/>
        <w:gridCol w:w="2126"/>
        <w:gridCol w:w="1985"/>
        <w:gridCol w:w="2126"/>
      </w:tblGrid>
      <w:tr w:rsidR="007D4194" w:rsidRPr="007D4194" w14:paraId="4CE44279" w14:textId="77777777" w:rsidTr="007D4194">
        <w:trPr>
          <w:trHeight w:val="524"/>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80F3A88" w14:textId="77777777" w:rsidR="007D4194" w:rsidRPr="007D4194" w:rsidRDefault="007D4194" w:rsidP="007D4194">
            <w:pPr>
              <w:ind w:left="82" w:right="-64"/>
              <w:jc w:val="center"/>
              <w:rPr>
                <w:rFonts w:ascii="Times New Roman" w:hAnsi="Times New Roman" w:cs="Times New Roman"/>
                <w:sz w:val="28"/>
                <w:szCs w:val="28"/>
              </w:rPr>
            </w:pPr>
            <w:r w:rsidRPr="007D4194">
              <w:rPr>
                <w:rFonts w:ascii="Times New Roman" w:hAnsi="Times New Roman" w:cs="Times New Roman"/>
                <w:b/>
                <w:bCs/>
                <w:sz w:val="28"/>
                <w:szCs w:val="28"/>
                <w:lang w:val="en-US"/>
              </w:rPr>
              <w:t>STT</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B4550C4"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rPr>
              <w:t> Chỉ tiêu</w:t>
            </w:r>
          </w:p>
        </w:tc>
        <w:tc>
          <w:tcPr>
            <w:tcW w:w="2126"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6D38557A"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b/>
                <w:bCs/>
                <w:sz w:val="28"/>
                <w:szCs w:val="28"/>
              </w:rPr>
              <w:t>2021</w:t>
            </w:r>
          </w:p>
        </w:tc>
        <w:tc>
          <w:tcPr>
            <w:tcW w:w="1985"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25342734"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b/>
                <w:bCs/>
                <w:sz w:val="28"/>
                <w:szCs w:val="28"/>
              </w:rPr>
              <w:t>2020</w:t>
            </w:r>
          </w:p>
        </w:tc>
        <w:tc>
          <w:tcPr>
            <w:tcW w:w="2126"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CD0AF5C"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b/>
                <w:bCs/>
                <w:sz w:val="28"/>
                <w:szCs w:val="28"/>
              </w:rPr>
              <w:t>2019</w:t>
            </w:r>
          </w:p>
        </w:tc>
      </w:tr>
      <w:tr w:rsidR="007D4194" w:rsidRPr="007D4194" w14:paraId="0D381DF8"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6BD704EE"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2E50AA9"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Doanh thu bán hàng và cung cấp dịch vụ</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7D6B3F6"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2C2B18C"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221FEC9"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r>
      <w:tr w:rsidR="007D4194" w:rsidRPr="007D4194" w14:paraId="111A736E"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CE2685E"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2</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4CABD9B"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Các khoản giảm trừ doanh thu</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0D8CCE3"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838D152"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56C2FAC0" w14:textId="77777777" w:rsidR="007D4194" w:rsidRPr="007D4194" w:rsidRDefault="007D4194" w:rsidP="007D4194">
            <w:pPr>
              <w:ind w:firstLine="720"/>
              <w:jc w:val="both"/>
              <w:rPr>
                <w:rFonts w:ascii="Times New Roman" w:hAnsi="Times New Roman" w:cs="Times New Roman"/>
                <w:sz w:val="28"/>
                <w:szCs w:val="28"/>
              </w:rPr>
            </w:pPr>
            <w:r w:rsidRPr="007D4194">
              <w:rPr>
                <w:rFonts w:ascii="Times New Roman" w:hAnsi="Times New Roman" w:cs="Times New Roman"/>
                <w:sz w:val="28"/>
                <w:szCs w:val="28"/>
              </w:rPr>
              <w:t> </w:t>
            </w:r>
          </w:p>
        </w:tc>
      </w:tr>
      <w:tr w:rsidR="007D4194" w:rsidRPr="007D4194" w14:paraId="4E6F1252" w14:textId="77777777" w:rsidTr="007D4194">
        <w:trPr>
          <w:trHeight w:val="514"/>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ECAEC52"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3</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09D8E9D2"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 xml:space="preserve">Doanh thu thuần về bán hàng và cung cấp dịch vụ </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18EE392"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100,00%</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1BD406A"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100,00%</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45CFD53"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100,00%</w:t>
            </w:r>
          </w:p>
        </w:tc>
      </w:tr>
      <w:tr w:rsidR="007D4194" w:rsidRPr="007D4194" w14:paraId="74BC1FB4"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61EC456"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4</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55EC3FA"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Giá vốn hàng bán và dịch vụ cung cấp</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F911228"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72,54%</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B72552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79,02%</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C3ABEF1"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82,43%</w:t>
            </w:r>
          </w:p>
        </w:tc>
      </w:tr>
      <w:tr w:rsidR="007D4194" w:rsidRPr="007D4194" w14:paraId="2A77383B"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0193BD7"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5</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319A643"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 xml:space="preserve">Lợi nhuận gộp </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5A0C1541"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27,46%</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C98524E"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20,98%</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A9A3F33"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17,57%</w:t>
            </w:r>
          </w:p>
        </w:tc>
      </w:tr>
      <w:tr w:rsidR="007D4194" w:rsidRPr="007D4194" w14:paraId="5AEDD5A1"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AB50BD2"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6</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4E934FB4"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Doanh thu hoạt động tài chính</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465931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2,05%</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7C9C0DC"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1,11%</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1F8A565"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0,74%</w:t>
            </w:r>
          </w:p>
        </w:tc>
      </w:tr>
      <w:tr w:rsidR="007D4194" w:rsidRPr="007D4194" w14:paraId="4D72E9A9"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1295555"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7</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9BB8188"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Chi phí tài chính</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9652EBA"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2,49%</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9BE53C4"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3,15%</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5A0308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1,86%</w:t>
            </w:r>
          </w:p>
        </w:tc>
      </w:tr>
      <w:tr w:rsidR="007D4194" w:rsidRPr="007D4194" w14:paraId="11693224"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4C7AD5D4" w14:textId="46549A73" w:rsidR="007D4194" w:rsidRPr="007D4194" w:rsidRDefault="007D4194" w:rsidP="007D4194">
            <w:pPr>
              <w:ind w:left="82"/>
              <w:jc w:val="center"/>
              <w:rPr>
                <w:rFonts w:ascii="Times New Roman" w:hAnsi="Times New Roman" w:cs="Times New Roman"/>
                <w:sz w:val="28"/>
                <w:szCs w:val="28"/>
              </w:rPr>
            </w:pP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F6A1343"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Trong đó: Chi phí đi vay</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371C4BC"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1,69%</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E954080"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2,43%</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3ED87765"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1,47%</w:t>
            </w:r>
          </w:p>
        </w:tc>
      </w:tr>
      <w:tr w:rsidR="007D4194" w:rsidRPr="007D4194" w14:paraId="7809E967"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0BB53765"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8</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421AC687"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Phần lãi trong công ty liên kết</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83F02A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0,00%</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455CA2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0,00%</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A396CA6"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0,00%</w:t>
            </w:r>
          </w:p>
        </w:tc>
      </w:tr>
      <w:tr w:rsidR="007D4194" w:rsidRPr="007D4194" w14:paraId="1E3B879B"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2F4C111A"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9</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438CF84"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Chi phi bán hàng</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27DAFDA"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1,42%</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AD0212E"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1,21%</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D95932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1,37%</w:t>
            </w:r>
          </w:p>
        </w:tc>
      </w:tr>
      <w:tr w:rsidR="007D4194" w:rsidRPr="007D4194" w14:paraId="2C96E0BC"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6CCDF496"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10</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42D0FEF"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Chi phí quản lý doanh nghiệp</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3FC91DF7"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0,88%</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18F53EA"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0,77%</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29300EB"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0,89%</w:t>
            </w:r>
          </w:p>
        </w:tc>
      </w:tr>
      <w:tr w:rsidR="007D4194" w:rsidRPr="007D4194" w14:paraId="2C2BF296" w14:textId="77777777" w:rsidTr="007D4194">
        <w:trPr>
          <w:trHeight w:val="412"/>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33849F7"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11</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17A4F04"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Lợi nhuận thuần từ hoạt động kinh doanh</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C360E78"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24,73%</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0D5C60B"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16,97%</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41B738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14,19%</w:t>
            </w:r>
          </w:p>
        </w:tc>
      </w:tr>
      <w:tr w:rsidR="007D4194" w:rsidRPr="007D4194" w14:paraId="20BC901E"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2D063797"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12</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628F6030"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Thu nhập khác</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316A0474"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0,53%</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4B39A903"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0,73%</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E15ADE1"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1,03%</w:t>
            </w:r>
          </w:p>
        </w:tc>
      </w:tr>
      <w:tr w:rsidR="007D4194" w:rsidRPr="007D4194" w14:paraId="29EA5E7D"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CF1A0A4"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13</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CACBA4C"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Chi phí khác</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973E63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0,50%</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E541923"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0,65%</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B5513EE"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0,93%</w:t>
            </w:r>
          </w:p>
        </w:tc>
      </w:tr>
      <w:tr w:rsidR="007D4194" w:rsidRPr="007D4194" w14:paraId="1F0AB85B"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F37B0C3"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14</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684EA07"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Lợi nhuận từ hoạt động khác</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412E96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0,03%</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4920777"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0,07%</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1352649"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0,10%</w:t>
            </w:r>
          </w:p>
        </w:tc>
      </w:tr>
      <w:tr w:rsidR="007D4194" w:rsidRPr="007D4194" w14:paraId="18BD9B2A"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94F3C05"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15</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6FBE7829"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vi-VN"/>
              </w:rPr>
              <w:t>Lợi nhuận kế toán trước thuế</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914AFE8"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24,76%</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9AD5098"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17,04%</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8F98DB0"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14,29%</w:t>
            </w:r>
          </w:p>
        </w:tc>
      </w:tr>
      <w:tr w:rsidR="007D4194" w:rsidRPr="007D4194" w14:paraId="6E7506D1"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CF66869"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16</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41048EE"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Chi phí thuế TNDN hiện hành</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FCAA290"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1,91%</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BCB2874"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1,98%</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BDBE88B"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2,52%</w:t>
            </w:r>
          </w:p>
        </w:tc>
      </w:tr>
      <w:tr w:rsidR="007D4194" w:rsidRPr="007D4194" w14:paraId="14EF32E7"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A93768A"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17</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2637544A"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(Lợi ích)/chi phí thuế TNDN hoãn lại</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33A971A7"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-0,21%</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679D42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0,07%</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0ACDD19D"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-0,13%</w:t>
            </w:r>
          </w:p>
        </w:tc>
      </w:tr>
      <w:tr w:rsidR="007D4194" w:rsidRPr="007D4194" w14:paraId="06A96B85" w14:textId="77777777" w:rsidTr="007D4194">
        <w:trPr>
          <w:trHeight w:val="34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37808A9B" w14:textId="77777777" w:rsidR="007D4194" w:rsidRPr="007D4194" w:rsidRDefault="007D4194" w:rsidP="007D4194">
            <w:pPr>
              <w:ind w:left="82"/>
              <w:jc w:val="center"/>
              <w:rPr>
                <w:rFonts w:ascii="Times New Roman" w:hAnsi="Times New Roman" w:cs="Times New Roman"/>
                <w:sz w:val="28"/>
                <w:szCs w:val="28"/>
              </w:rPr>
            </w:pPr>
            <w:r w:rsidRPr="007D4194">
              <w:rPr>
                <w:rFonts w:ascii="Times New Roman" w:hAnsi="Times New Roman" w:cs="Times New Roman"/>
                <w:b/>
                <w:bCs/>
                <w:sz w:val="28"/>
                <w:szCs w:val="28"/>
              </w:rPr>
              <w:t>18</w:t>
            </w: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5952291C"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 xml:space="preserve">Lợi nhuận sau thuế TNDN </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3FFFF7FB"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23,06%</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59D925BC"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14,99%</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A89770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11,90%</w:t>
            </w:r>
          </w:p>
        </w:tc>
      </w:tr>
      <w:tr w:rsidR="007D4194" w:rsidRPr="007D4194" w14:paraId="6B17C026"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2C8E848A" w14:textId="36B5F988" w:rsidR="007D4194" w:rsidRPr="007D4194" w:rsidRDefault="007D4194" w:rsidP="007D4194">
            <w:pPr>
              <w:ind w:left="82"/>
              <w:jc w:val="center"/>
              <w:rPr>
                <w:rFonts w:ascii="Times New Roman" w:hAnsi="Times New Roman" w:cs="Times New Roman"/>
                <w:sz w:val="28"/>
                <w:szCs w:val="28"/>
              </w:rPr>
            </w:pP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27F76F3"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Phân bổ cho:</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F0339CC" w14:textId="60DDEBA4" w:rsidR="007D4194" w:rsidRPr="007D4194" w:rsidRDefault="007D4194" w:rsidP="007D4194">
            <w:pPr>
              <w:jc w:val="center"/>
              <w:rPr>
                <w:rFonts w:ascii="Times New Roman" w:hAnsi="Times New Roman" w:cs="Times New Roman"/>
                <w:sz w:val="28"/>
                <w:szCs w:val="28"/>
              </w:rPr>
            </w:pP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59CD01C7" w14:textId="3CA5CF44" w:rsidR="007D4194" w:rsidRPr="007D4194" w:rsidRDefault="007D4194" w:rsidP="007D4194">
            <w:pPr>
              <w:jc w:val="center"/>
              <w:rPr>
                <w:rFonts w:ascii="Times New Roman" w:hAnsi="Times New Roman" w:cs="Times New Roman"/>
                <w:sz w:val="28"/>
                <w:szCs w:val="28"/>
              </w:rPr>
            </w:pP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8CA11C0" w14:textId="400D31A1" w:rsidR="007D4194" w:rsidRPr="007D4194" w:rsidRDefault="007D4194" w:rsidP="007D4194">
            <w:pPr>
              <w:jc w:val="center"/>
              <w:rPr>
                <w:rFonts w:ascii="Times New Roman" w:hAnsi="Times New Roman" w:cs="Times New Roman"/>
                <w:sz w:val="28"/>
                <w:szCs w:val="28"/>
              </w:rPr>
            </w:pPr>
          </w:p>
        </w:tc>
      </w:tr>
      <w:tr w:rsidR="007D4194" w:rsidRPr="007D4194" w14:paraId="465F195A"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09336400" w14:textId="7E32A261" w:rsidR="007D4194" w:rsidRPr="007D4194" w:rsidRDefault="007D4194" w:rsidP="007D4194">
            <w:pPr>
              <w:ind w:left="82"/>
              <w:jc w:val="center"/>
              <w:rPr>
                <w:rFonts w:ascii="Times New Roman" w:hAnsi="Times New Roman" w:cs="Times New Roman"/>
                <w:sz w:val="28"/>
                <w:szCs w:val="28"/>
              </w:rPr>
            </w:pP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13900096"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Cổ đông của công ty mẹ</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167330E5"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23,03%</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5C276FB8"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14,93%</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FF5DE53"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11,82%</w:t>
            </w:r>
          </w:p>
        </w:tc>
      </w:tr>
      <w:tr w:rsidR="007D4194" w:rsidRPr="007D4194" w14:paraId="6077DA1B" w14:textId="77777777" w:rsidTr="007D4194">
        <w:trPr>
          <w:trHeight w:val="303"/>
        </w:trPr>
        <w:tc>
          <w:tcPr>
            <w:tcW w:w="851"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495C6DA2" w14:textId="778C6A7B" w:rsidR="007D4194" w:rsidRPr="007D4194" w:rsidRDefault="007D4194" w:rsidP="007D4194">
            <w:pPr>
              <w:ind w:left="82"/>
              <w:jc w:val="center"/>
              <w:rPr>
                <w:rFonts w:ascii="Times New Roman" w:hAnsi="Times New Roman" w:cs="Times New Roman"/>
                <w:sz w:val="28"/>
                <w:szCs w:val="28"/>
              </w:rPr>
            </w:pPr>
          </w:p>
        </w:tc>
        <w:tc>
          <w:tcPr>
            <w:tcW w:w="3970" w:type="dxa"/>
            <w:tcBorders>
              <w:top w:val="single" w:sz="8" w:space="0" w:color="FFFFFF"/>
              <w:left w:val="single" w:sz="8" w:space="0" w:color="FFFFFF"/>
              <w:bottom w:val="single" w:sz="8" w:space="0" w:color="FFFFFF"/>
              <w:right w:val="single" w:sz="8" w:space="0" w:color="FFFFFF"/>
            </w:tcBorders>
            <w:shd w:val="clear" w:color="auto" w:fill="A9D18E"/>
            <w:tcMar>
              <w:top w:w="7" w:type="dxa"/>
              <w:left w:w="7" w:type="dxa"/>
              <w:bottom w:w="0" w:type="dxa"/>
              <w:right w:w="7" w:type="dxa"/>
            </w:tcMar>
            <w:vAlign w:val="center"/>
            <w:hideMark/>
          </w:tcPr>
          <w:p w14:paraId="79E6B4D1" w14:textId="77777777" w:rsidR="007D4194" w:rsidRPr="007D4194" w:rsidRDefault="007D4194" w:rsidP="007D4194">
            <w:pPr>
              <w:ind w:right="138" w:firstLine="128"/>
              <w:jc w:val="both"/>
              <w:rPr>
                <w:rFonts w:ascii="Times New Roman" w:hAnsi="Times New Roman" w:cs="Times New Roman"/>
                <w:sz w:val="28"/>
                <w:szCs w:val="28"/>
              </w:rPr>
            </w:pPr>
            <w:r w:rsidRPr="007D4194">
              <w:rPr>
                <w:rFonts w:ascii="Times New Roman" w:hAnsi="Times New Roman" w:cs="Times New Roman"/>
                <w:b/>
                <w:bCs/>
                <w:sz w:val="28"/>
                <w:szCs w:val="28"/>
                <w:lang w:val="en-US"/>
              </w:rPr>
              <w:t>Cổ đông không kiểm soát</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22B3B562"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0,03%</w:t>
            </w:r>
          </w:p>
        </w:tc>
        <w:tc>
          <w:tcPr>
            <w:tcW w:w="1985"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63422307"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0,06%</w:t>
            </w:r>
          </w:p>
        </w:tc>
        <w:tc>
          <w:tcPr>
            <w:tcW w:w="2126" w:type="dxa"/>
            <w:tcBorders>
              <w:top w:val="single" w:sz="8" w:space="0" w:color="FFFFFF"/>
              <w:left w:val="single" w:sz="8" w:space="0" w:color="FFFFFF"/>
              <w:bottom w:val="single" w:sz="8" w:space="0" w:color="FFFFFF"/>
              <w:right w:val="single" w:sz="8" w:space="0" w:color="FFFFFF"/>
            </w:tcBorders>
            <w:shd w:val="clear" w:color="auto" w:fill="E9EBF5"/>
            <w:tcMar>
              <w:top w:w="7" w:type="dxa"/>
              <w:left w:w="7" w:type="dxa"/>
              <w:bottom w:w="0" w:type="dxa"/>
              <w:right w:w="7" w:type="dxa"/>
            </w:tcMar>
            <w:vAlign w:val="center"/>
            <w:hideMark/>
          </w:tcPr>
          <w:p w14:paraId="7B46A6BF" w14:textId="77777777" w:rsidR="007D4194" w:rsidRPr="007D4194" w:rsidRDefault="007D4194" w:rsidP="007D4194">
            <w:pPr>
              <w:jc w:val="center"/>
              <w:rPr>
                <w:rFonts w:ascii="Times New Roman" w:hAnsi="Times New Roman" w:cs="Times New Roman"/>
                <w:sz w:val="28"/>
                <w:szCs w:val="28"/>
              </w:rPr>
            </w:pPr>
            <w:r w:rsidRPr="007D4194">
              <w:rPr>
                <w:rFonts w:ascii="Times New Roman" w:hAnsi="Times New Roman" w:cs="Times New Roman"/>
                <w:sz w:val="28"/>
                <w:szCs w:val="28"/>
              </w:rPr>
              <w:t>0,08%</w:t>
            </w:r>
          </w:p>
        </w:tc>
      </w:tr>
    </w:tbl>
    <w:p w14:paraId="1C42D64D" w14:textId="77777777" w:rsidR="007D4194" w:rsidRPr="007D4194" w:rsidRDefault="007D4194" w:rsidP="007D4194">
      <w:pPr>
        <w:ind w:firstLine="720"/>
        <w:jc w:val="both"/>
        <w:rPr>
          <w:rFonts w:ascii="Times New Roman" w:hAnsi="Times New Roman" w:cs="Times New Roman"/>
          <w:sz w:val="28"/>
          <w:szCs w:val="28"/>
          <w:lang w:val="vi-VN"/>
        </w:rPr>
      </w:pPr>
    </w:p>
    <w:p w14:paraId="5BA3D768" w14:textId="378B9D0E" w:rsidR="00DC38F7" w:rsidRDefault="00DC38F7" w:rsidP="00DC38F7">
      <w:pPr>
        <w:jc w:val="both"/>
        <w:rPr>
          <w:rFonts w:ascii="Times New Roman" w:hAnsi="Times New Roman" w:cs="Times New Roman"/>
          <w:lang w:val="vi-VN"/>
        </w:rPr>
      </w:pPr>
    </w:p>
    <w:p w14:paraId="0AA2B966" w14:textId="3E929478" w:rsidR="007D4194" w:rsidRPr="007D4194" w:rsidRDefault="007D4194" w:rsidP="007D4194">
      <w:pPr>
        <w:ind w:firstLine="720"/>
        <w:jc w:val="both"/>
        <w:rPr>
          <w:rFonts w:ascii="Times New Roman" w:hAnsi="Times New Roman" w:cs="Times New Roman"/>
          <w:b/>
          <w:bCs/>
          <w:u w:val="single"/>
          <w:lang w:val="vi-VN"/>
        </w:rPr>
      </w:pPr>
      <w:r w:rsidRPr="007D4194">
        <w:rPr>
          <w:rFonts w:ascii="Times New Roman" w:hAnsi="Times New Roman" w:cs="Times New Roman"/>
          <w:b/>
          <w:bCs/>
          <w:u w:val="single"/>
          <w:lang w:val="vi-VN"/>
        </w:rPr>
        <w:t>Nhận xét:</w:t>
      </w:r>
    </w:p>
    <w:p w14:paraId="0214E7A0" w14:textId="5535C3BB" w:rsidR="00DC38F7" w:rsidRDefault="00DC38F7" w:rsidP="007D4194">
      <w:pPr>
        <w:ind w:firstLine="720"/>
        <w:jc w:val="both"/>
        <w:rPr>
          <w:rFonts w:ascii="Times New Roman" w:hAnsi="Times New Roman" w:cs="Times New Roman"/>
          <w:lang w:val="vi-VN"/>
        </w:rPr>
      </w:pPr>
      <w:r>
        <w:rPr>
          <w:rFonts w:ascii="Times New Roman" w:hAnsi="Times New Roman" w:cs="Times New Roman"/>
          <w:lang w:val="vi-VN"/>
        </w:rPr>
        <w:lastRenderedPageBreak/>
        <w:t xml:space="preserve">Tỷ trọng của giá vốn hàng bán lần lượt qua các năm là 82,43%; 79,02%; 72,54%. Cho biết trong 100 đồng doanh thu thuần </w:t>
      </w:r>
      <w:r w:rsidR="009A4181">
        <w:rPr>
          <w:rFonts w:ascii="Times New Roman" w:hAnsi="Times New Roman" w:cs="Times New Roman"/>
          <w:lang w:val="vi-VN"/>
        </w:rPr>
        <w:t>có 82,43 đồng giá vốn năm 2019, 79,02 dồng giá vốn năm 2020 và 72,54 đồng giá vốn năm 2021.</w:t>
      </w:r>
    </w:p>
    <w:p w14:paraId="7B047B5E" w14:textId="75FDBF47" w:rsidR="009A4181" w:rsidRDefault="009A4181" w:rsidP="00DC38F7">
      <w:pPr>
        <w:jc w:val="both"/>
        <w:rPr>
          <w:rFonts w:ascii="Times New Roman" w:hAnsi="Times New Roman" w:cs="Times New Roman"/>
          <w:lang w:val="vi-VN"/>
        </w:rPr>
      </w:pPr>
    </w:p>
    <w:p w14:paraId="22A009FF" w14:textId="5A767D42" w:rsidR="009A4181" w:rsidRDefault="009A4181" w:rsidP="007D4194">
      <w:pPr>
        <w:ind w:firstLine="720"/>
        <w:jc w:val="both"/>
        <w:rPr>
          <w:rFonts w:ascii="Times New Roman" w:hAnsi="Times New Roman" w:cs="Times New Roman"/>
          <w:lang w:val="vi-VN"/>
        </w:rPr>
      </w:pPr>
      <w:r>
        <w:rPr>
          <w:rFonts w:ascii="Times New Roman" w:hAnsi="Times New Roman" w:cs="Times New Roman"/>
          <w:lang w:val="vi-VN"/>
        </w:rPr>
        <w:t>Tỷ trọng doanh thu tài chính lần lượt là 0,74%; 1,11%; 2,05%. Cho biết trong 100 đồng doanh thu thuần</w:t>
      </w:r>
      <w:r w:rsidR="004A76A3">
        <w:rPr>
          <w:rFonts w:ascii="Times New Roman" w:hAnsi="Times New Roman" w:cs="Times New Roman"/>
          <w:lang w:val="vi-VN"/>
        </w:rPr>
        <w:t>,</w:t>
      </w:r>
      <w:r>
        <w:rPr>
          <w:rFonts w:ascii="Times New Roman" w:hAnsi="Times New Roman" w:cs="Times New Roman"/>
          <w:lang w:val="vi-VN"/>
        </w:rPr>
        <w:t xml:space="preserve"> </w:t>
      </w:r>
      <w:r w:rsidR="004A76A3">
        <w:rPr>
          <w:rFonts w:ascii="Times New Roman" w:hAnsi="Times New Roman" w:cs="Times New Roman"/>
          <w:lang w:val="vi-VN"/>
        </w:rPr>
        <w:t>có 0,74 đồng doanh thu tài chính năm 2019; 1,11 đồng doanh thu tài chính năm 2020 và 2,05 đồng doanh thu tài chính năm 2021. Tỷ trọng này rất nhỏ cho thấy được nguồn thu từ hoạt động tài chính không đáng kể.</w:t>
      </w:r>
    </w:p>
    <w:p w14:paraId="0EB028D8" w14:textId="171B8E1C" w:rsidR="004A76A3" w:rsidRDefault="004A76A3" w:rsidP="00DC38F7">
      <w:pPr>
        <w:jc w:val="both"/>
        <w:rPr>
          <w:rFonts w:ascii="Times New Roman" w:hAnsi="Times New Roman" w:cs="Times New Roman"/>
          <w:lang w:val="vi-VN"/>
        </w:rPr>
      </w:pPr>
    </w:p>
    <w:p w14:paraId="17277F06" w14:textId="7079B479" w:rsidR="004A76A3" w:rsidRDefault="004A76A3" w:rsidP="007D4194">
      <w:pPr>
        <w:ind w:firstLine="720"/>
        <w:jc w:val="both"/>
        <w:rPr>
          <w:rFonts w:ascii="Times New Roman" w:hAnsi="Times New Roman" w:cs="Times New Roman"/>
          <w:lang w:val="vi-VN"/>
        </w:rPr>
      </w:pPr>
      <w:r>
        <w:rPr>
          <w:rFonts w:ascii="Times New Roman" w:hAnsi="Times New Roman" w:cs="Times New Roman"/>
          <w:lang w:val="vi-VN"/>
        </w:rPr>
        <w:t>Tỷ trọng chi phí tài chính lớn hơn doanh thu tài chính, cụ thể qua 3 năm là 1,86%; 3,15% và 2,49%. Cho biết cứ 100 đồng doanh thu thuần, thì phải trả 1,86 đồng chi phí tài chính năm 2019, 3,15 đồng năm 2020 và 2,49 đồng năm 2021.</w:t>
      </w:r>
    </w:p>
    <w:p w14:paraId="080D7514" w14:textId="07514222" w:rsidR="004A76A3" w:rsidRDefault="004A76A3" w:rsidP="00DC38F7">
      <w:pPr>
        <w:jc w:val="both"/>
        <w:rPr>
          <w:rFonts w:ascii="Times New Roman" w:hAnsi="Times New Roman" w:cs="Times New Roman"/>
          <w:lang w:val="vi-VN"/>
        </w:rPr>
      </w:pPr>
    </w:p>
    <w:p w14:paraId="5362B8DD" w14:textId="5EF8096B" w:rsidR="004A76A3" w:rsidRDefault="002665AC" w:rsidP="007D4194">
      <w:pPr>
        <w:ind w:firstLine="720"/>
        <w:jc w:val="both"/>
        <w:rPr>
          <w:rFonts w:ascii="Times New Roman" w:hAnsi="Times New Roman" w:cs="Times New Roman"/>
          <w:lang w:val="vi-VN"/>
        </w:rPr>
      </w:pPr>
      <w:r>
        <w:rPr>
          <w:rFonts w:ascii="Times New Roman" w:hAnsi="Times New Roman" w:cs="Times New Roman"/>
          <w:lang w:val="vi-VN"/>
        </w:rPr>
        <w:t>Chi phí bán hàng lần lượt là 1,37%; 1,21% và 1,42%. Cho biết cứ 100 đồng doanh thu thuần, thì phải trả 1,37 đồng chi phí bán hàng năm 2019, 1,21 đồng năm 2020 và 1,42 đồng năm 2021.</w:t>
      </w:r>
    </w:p>
    <w:p w14:paraId="6C8E271C" w14:textId="247F43D3" w:rsidR="002665AC" w:rsidRDefault="002665AC" w:rsidP="00DC38F7">
      <w:pPr>
        <w:jc w:val="both"/>
        <w:rPr>
          <w:rFonts w:ascii="Times New Roman" w:hAnsi="Times New Roman" w:cs="Times New Roman"/>
          <w:lang w:val="vi-VN"/>
        </w:rPr>
      </w:pPr>
    </w:p>
    <w:p w14:paraId="15910502" w14:textId="07DA491A" w:rsidR="002665AC" w:rsidRDefault="002665AC" w:rsidP="007D4194">
      <w:pPr>
        <w:ind w:firstLine="720"/>
        <w:jc w:val="both"/>
        <w:rPr>
          <w:rFonts w:ascii="Times New Roman" w:hAnsi="Times New Roman" w:cs="Times New Roman"/>
          <w:lang w:val="vi-VN"/>
        </w:rPr>
      </w:pPr>
      <w:r>
        <w:rPr>
          <w:rFonts w:ascii="Times New Roman" w:hAnsi="Times New Roman" w:cs="Times New Roman"/>
          <w:lang w:val="vi-VN"/>
        </w:rPr>
        <w:t>Chi phí quản lý DN lần lượt là 0,89%; 0,77% và 0,88%. Cho biết cứ 100 đồng doanh thu thuần, thì phải trả 0,89 đồng chi phí quản lý DN năm 2019, 0,77 đồng năm 2020 và 0,88 đồng năm 2021.</w:t>
      </w:r>
    </w:p>
    <w:p w14:paraId="4E2B371D" w14:textId="5026F856" w:rsidR="002665AC" w:rsidRPr="00DC38F7" w:rsidRDefault="002665AC" w:rsidP="00DC38F7">
      <w:pPr>
        <w:jc w:val="both"/>
        <w:rPr>
          <w:rFonts w:ascii="Times New Roman" w:hAnsi="Times New Roman" w:cs="Times New Roman"/>
          <w:lang w:val="vi-VN"/>
        </w:rPr>
      </w:pPr>
    </w:p>
    <w:sectPr w:rsidR="002665AC" w:rsidRPr="00DC38F7" w:rsidSect="00FD37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967"/>
    <w:multiLevelType w:val="hybridMultilevel"/>
    <w:tmpl w:val="77962F7C"/>
    <w:lvl w:ilvl="0" w:tplc="6DBAE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0890"/>
    <w:multiLevelType w:val="multilevel"/>
    <w:tmpl w:val="40462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3165"/>
    <w:multiLevelType w:val="hybridMultilevel"/>
    <w:tmpl w:val="D88045A8"/>
    <w:lvl w:ilvl="0" w:tplc="51D25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F0EB6"/>
    <w:multiLevelType w:val="hybridMultilevel"/>
    <w:tmpl w:val="88EAF96E"/>
    <w:lvl w:ilvl="0" w:tplc="F5AEADC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E2716"/>
    <w:multiLevelType w:val="multilevel"/>
    <w:tmpl w:val="3C9CB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762F9"/>
    <w:multiLevelType w:val="hybridMultilevel"/>
    <w:tmpl w:val="039E2020"/>
    <w:lvl w:ilvl="0" w:tplc="C7FA47D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85313"/>
    <w:multiLevelType w:val="multilevel"/>
    <w:tmpl w:val="A86A9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12B7B"/>
    <w:multiLevelType w:val="multilevel"/>
    <w:tmpl w:val="86D8A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D689D"/>
    <w:multiLevelType w:val="multilevel"/>
    <w:tmpl w:val="2A346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91BBB"/>
    <w:multiLevelType w:val="hybridMultilevel"/>
    <w:tmpl w:val="AD5654BA"/>
    <w:lvl w:ilvl="0" w:tplc="2974CDE6">
      <w:start w:val="3"/>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A412D"/>
    <w:multiLevelType w:val="multilevel"/>
    <w:tmpl w:val="4DE25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A6431"/>
    <w:multiLevelType w:val="multilevel"/>
    <w:tmpl w:val="D22C8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05806">
    <w:abstractNumId w:val="6"/>
  </w:num>
  <w:num w:numId="2" w16cid:durableId="40599506">
    <w:abstractNumId w:val="10"/>
  </w:num>
  <w:num w:numId="3" w16cid:durableId="1677920341">
    <w:abstractNumId w:val="8"/>
  </w:num>
  <w:num w:numId="4" w16cid:durableId="1328167609">
    <w:abstractNumId w:val="11"/>
  </w:num>
  <w:num w:numId="5" w16cid:durableId="438647206">
    <w:abstractNumId w:val="7"/>
  </w:num>
  <w:num w:numId="6" w16cid:durableId="1519345675">
    <w:abstractNumId w:val="1"/>
  </w:num>
  <w:num w:numId="7" w16cid:durableId="1466847435">
    <w:abstractNumId w:val="4"/>
  </w:num>
  <w:num w:numId="8" w16cid:durableId="1307467379">
    <w:abstractNumId w:val="2"/>
  </w:num>
  <w:num w:numId="9" w16cid:durableId="2060936748">
    <w:abstractNumId w:val="3"/>
  </w:num>
  <w:num w:numId="10" w16cid:durableId="1793472532">
    <w:abstractNumId w:val="9"/>
  </w:num>
  <w:num w:numId="11" w16cid:durableId="824856793">
    <w:abstractNumId w:val="5"/>
  </w:num>
  <w:num w:numId="12" w16cid:durableId="17211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64"/>
    <w:rsid w:val="00066DF3"/>
    <w:rsid w:val="000A076C"/>
    <w:rsid w:val="0017759F"/>
    <w:rsid w:val="00182225"/>
    <w:rsid w:val="002665AC"/>
    <w:rsid w:val="002747AD"/>
    <w:rsid w:val="002B7F64"/>
    <w:rsid w:val="00396D64"/>
    <w:rsid w:val="004127C7"/>
    <w:rsid w:val="00422910"/>
    <w:rsid w:val="00423226"/>
    <w:rsid w:val="00431C2A"/>
    <w:rsid w:val="00496A5B"/>
    <w:rsid w:val="004A76A3"/>
    <w:rsid w:val="004C33D4"/>
    <w:rsid w:val="005164B7"/>
    <w:rsid w:val="00555106"/>
    <w:rsid w:val="00561692"/>
    <w:rsid w:val="005828BC"/>
    <w:rsid w:val="00594038"/>
    <w:rsid w:val="005F0CB0"/>
    <w:rsid w:val="00604ABD"/>
    <w:rsid w:val="0067031D"/>
    <w:rsid w:val="00675E70"/>
    <w:rsid w:val="006850D3"/>
    <w:rsid w:val="006B44A4"/>
    <w:rsid w:val="006B454B"/>
    <w:rsid w:val="00701BED"/>
    <w:rsid w:val="00722D81"/>
    <w:rsid w:val="00747257"/>
    <w:rsid w:val="007D4194"/>
    <w:rsid w:val="008633E5"/>
    <w:rsid w:val="0088453E"/>
    <w:rsid w:val="00887D5E"/>
    <w:rsid w:val="008D2366"/>
    <w:rsid w:val="008E5DCC"/>
    <w:rsid w:val="00944E0F"/>
    <w:rsid w:val="009948CB"/>
    <w:rsid w:val="009A4181"/>
    <w:rsid w:val="009B0358"/>
    <w:rsid w:val="009B75BA"/>
    <w:rsid w:val="00A440BE"/>
    <w:rsid w:val="00A94D9F"/>
    <w:rsid w:val="00B0265F"/>
    <w:rsid w:val="00BA5325"/>
    <w:rsid w:val="00BC39C5"/>
    <w:rsid w:val="00C53E60"/>
    <w:rsid w:val="00C76369"/>
    <w:rsid w:val="00C90968"/>
    <w:rsid w:val="00CA72EF"/>
    <w:rsid w:val="00CB5F57"/>
    <w:rsid w:val="00CE7E60"/>
    <w:rsid w:val="00D400BE"/>
    <w:rsid w:val="00D6621D"/>
    <w:rsid w:val="00D724D4"/>
    <w:rsid w:val="00DB5456"/>
    <w:rsid w:val="00DB5635"/>
    <w:rsid w:val="00DC38F7"/>
    <w:rsid w:val="00DD4CED"/>
    <w:rsid w:val="00DE120F"/>
    <w:rsid w:val="00E12CA8"/>
    <w:rsid w:val="00E8112A"/>
    <w:rsid w:val="00ED5317"/>
    <w:rsid w:val="00EE1722"/>
    <w:rsid w:val="00F23D4A"/>
    <w:rsid w:val="00FA0A0F"/>
    <w:rsid w:val="00FA47B4"/>
    <w:rsid w:val="00FB1ED6"/>
    <w:rsid w:val="00FD378E"/>
    <w:rsid w:val="00FE478A"/>
    <w:rsid w:val="00FE69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7AA0"/>
  <w15:chartTrackingRefBased/>
  <w15:docId w15:val="{900F98DC-3FED-A842-B751-BA603308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A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A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F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7F64"/>
    <w:rPr>
      <w:color w:val="0000FF"/>
      <w:u w:val="single"/>
    </w:rPr>
  </w:style>
  <w:style w:type="character" w:customStyle="1" w:styleId="apple-tab-span">
    <w:name w:val="apple-tab-span"/>
    <w:basedOn w:val="DefaultParagraphFont"/>
    <w:rsid w:val="002B7F64"/>
  </w:style>
  <w:style w:type="character" w:customStyle="1" w:styleId="Heading2Char">
    <w:name w:val="Heading 2 Char"/>
    <w:basedOn w:val="DefaultParagraphFont"/>
    <w:link w:val="Heading2"/>
    <w:uiPriority w:val="9"/>
    <w:rsid w:val="00604A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AB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4ABD"/>
  </w:style>
  <w:style w:type="character" w:styleId="Strong">
    <w:name w:val="Strong"/>
    <w:basedOn w:val="DefaultParagraphFont"/>
    <w:uiPriority w:val="22"/>
    <w:qFormat/>
    <w:rsid w:val="00604ABD"/>
    <w:rPr>
      <w:b/>
      <w:bCs/>
    </w:rPr>
  </w:style>
  <w:style w:type="paragraph" w:customStyle="1" w:styleId="has-text-align-center">
    <w:name w:val="has-text-align-center"/>
    <w:basedOn w:val="Normal"/>
    <w:rsid w:val="00604A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4038"/>
    <w:pPr>
      <w:ind w:left="720"/>
      <w:contextualSpacing/>
    </w:pPr>
  </w:style>
  <w:style w:type="paragraph" w:customStyle="1" w:styleId="Normal1">
    <w:name w:val="Normal1"/>
    <w:basedOn w:val="Normal"/>
    <w:rsid w:val="002747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279">
      <w:bodyDiv w:val="1"/>
      <w:marLeft w:val="0"/>
      <w:marRight w:val="0"/>
      <w:marTop w:val="0"/>
      <w:marBottom w:val="0"/>
      <w:divBdr>
        <w:top w:val="none" w:sz="0" w:space="0" w:color="auto"/>
        <w:left w:val="none" w:sz="0" w:space="0" w:color="auto"/>
        <w:bottom w:val="none" w:sz="0" w:space="0" w:color="auto"/>
        <w:right w:val="none" w:sz="0" w:space="0" w:color="auto"/>
      </w:divBdr>
    </w:div>
    <w:div w:id="73406558">
      <w:bodyDiv w:val="1"/>
      <w:marLeft w:val="0"/>
      <w:marRight w:val="0"/>
      <w:marTop w:val="0"/>
      <w:marBottom w:val="0"/>
      <w:divBdr>
        <w:top w:val="none" w:sz="0" w:space="0" w:color="auto"/>
        <w:left w:val="none" w:sz="0" w:space="0" w:color="auto"/>
        <w:bottom w:val="none" w:sz="0" w:space="0" w:color="auto"/>
        <w:right w:val="none" w:sz="0" w:space="0" w:color="auto"/>
      </w:divBdr>
    </w:div>
    <w:div w:id="74280410">
      <w:bodyDiv w:val="1"/>
      <w:marLeft w:val="0"/>
      <w:marRight w:val="0"/>
      <w:marTop w:val="0"/>
      <w:marBottom w:val="0"/>
      <w:divBdr>
        <w:top w:val="none" w:sz="0" w:space="0" w:color="auto"/>
        <w:left w:val="none" w:sz="0" w:space="0" w:color="auto"/>
        <w:bottom w:val="none" w:sz="0" w:space="0" w:color="auto"/>
        <w:right w:val="none" w:sz="0" w:space="0" w:color="auto"/>
      </w:divBdr>
    </w:div>
    <w:div w:id="223689301">
      <w:bodyDiv w:val="1"/>
      <w:marLeft w:val="0"/>
      <w:marRight w:val="0"/>
      <w:marTop w:val="0"/>
      <w:marBottom w:val="0"/>
      <w:divBdr>
        <w:top w:val="none" w:sz="0" w:space="0" w:color="auto"/>
        <w:left w:val="none" w:sz="0" w:space="0" w:color="auto"/>
        <w:bottom w:val="none" w:sz="0" w:space="0" w:color="auto"/>
        <w:right w:val="none" w:sz="0" w:space="0" w:color="auto"/>
      </w:divBdr>
    </w:div>
    <w:div w:id="240608073">
      <w:bodyDiv w:val="1"/>
      <w:marLeft w:val="0"/>
      <w:marRight w:val="0"/>
      <w:marTop w:val="0"/>
      <w:marBottom w:val="0"/>
      <w:divBdr>
        <w:top w:val="none" w:sz="0" w:space="0" w:color="auto"/>
        <w:left w:val="none" w:sz="0" w:space="0" w:color="auto"/>
        <w:bottom w:val="none" w:sz="0" w:space="0" w:color="auto"/>
        <w:right w:val="none" w:sz="0" w:space="0" w:color="auto"/>
      </w:divBdr>
    </w:div>
    <w:div w:id="266622821">
      <w:bodyDiv w:val="1"/>
      <w:marLeft w:val="0"/>
      <w:marRight w:val="0"/>
      <w:marTop w:val="0"/>
      <w:marBottom w:val="0"/>
      <w:divBdr>
        <w:top w:val="none" w:sz="0" w:space="0" w:color="auto"/>
        <w:left w:val="none" w:sz="0" w:space="0" w:color="auto"/>
        <w:bottom w:val="none" w:sz="0" w:space="0" w:color="auto"/>
        <w:right w:val="none" w:sz="0" w:space="0" w:color="auto"/>
      </w:divBdr>
      <w:divsChild>
        <w:div w:id="460272334">
          <w:marLeft w:val="0"/>
          <w:marRight w:val="0"/>
          <w:marTop w:val="0"/>
          <w:marBottom w:val="0"/>
          <w:divBdr>
            <w:top w:val="none" w:sz="0" w:space="0" w:color="auto"/>
            <w:left w:val="none" w:sz="0" w:space="0" w:color="auto"/>
            <w:bottom w:val="none" w:sz="0" w:space="0" w:color="auto"/>
            <w:right w:val="none" w:sz="0" w:space="0" w:color="auto"/>
          </w:divBdr>
          <w:divsChild>
            <w:div w:id="2070766947">
              <w:marLeft w:val="0"/>
              <w:marRight w:val="0"/>
              <w:marTop w:val="0"/>
              <w:marBottom w:val="0"/>
              <w:divBdr>
                <w:top w:val="none" w:sz="0" w:space="0" w:color="auto"/>
                <w:left w:val="none" w:sz="0" w:space="0" w:color="auto"/>
                <w:bottom w:val="none" w:sz="0" w:space="0" w:color="auto"/>
                <w:right w:val="none" w:sz="0" w:space="0" w:color="auto"/>
              </w:divBdr>
              <w:divsChild>
                <w:div w:id="79302960">
                  <w:marLeft w:val="0"/>
                  <w:marRight w:val="0"/>
                  <w:marTop w:val="0"/>
                  <w:marBottom w:val="0"/>
                  <w:divBdr>
                    <w:top w:val="none" w:sz="0" w:space="0" w:color="auto"/>
                    <w:left w:val="none" w:sz="0" w:space="0" w:color="auto"/>
                    <w:bottom w:val="none" w:sz="0" w:space="0" w:color="auto"/>
                    <w:right w:val="none" w:sz="0" w:space="0" w:color="auto"/>
                  </w:divBdr>
                </w:div>
              </w:divsChild>
            </w:div>
            <w:div w:id="1587691832">
              <w:marLeft w:val="0"/>
              <w:marRight w:val="0"/>
              <w:marTop w:val="0"/>
              <w:marBottom w:val="0"/>
              <w:divBdr>
                <w:top w:val="none" w:sz="0" w:space="0" w:color="auto"/>
                <w:left w:val="none" w:sz="0" w:space="0" w:color="auto"/>
                <w:bottom w:val="none" w:sz="0" w:space="0" w:color="auto"/>
                <w:right w:val="none" w:sz="0" w:space="0" w:color="auto"/>
              </w:divBdr>
              <w:divsChild>
                <w:div w:id="655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7847">
      <w:bodyDiv w:val="1"/>
      <w:marLeft w:val="0"/>
      <w:marRight w:val="0"/>
      <w:marTop w:val="0"/>
      <w:marBottom w:val="0"/>
      <w:divBdr>
        <w:top w:val="none" w:sz="0" w:space="0" w:color="auto"/>
        <w:left w:val="none" w:sz="0" w:space="0" w:color="auto"/>
        <w:bottom w:val="none" w:sz="0" w:space="0" w:color="auto"/>
        <w:right w:val="none" w:sz="0" w:space="0" w:color="auto"/>
      </w:divBdr>
    </w:div>
    <w:div w:id="378826289">
      <w:bodyDiv w:val="1"/>
      <w:marLeft w:val="0"/>
      <w:marRight w:val="0"/>
      <w:marTop w:val="0"/>
      <w:marBottom w:val="0"/>
      <w:divBdr>
        <w:top w:val="none" w:sz="0" w:space="0" w:color="auto"/>
        <w:left w:val="none" w:sz="0" w:space="0" w:color="auto"/>
        <w:bottom w:val="none" w:sz="0" w:space="0" w:color="auto"/>
        <w:right w:val="none" w:sz="0" w:space="0" w:color="auto"/>
      </w:divBdr>
    </w:div>
    <w:div w:id="684477800">
      <w:bodyDiv w:val="1"/>
      <w:marLeft w:val="0"/>
      <w:marRight w:val="0"/>
      <w:marTop w:val="0"/>
      <w:marBottom w:val="0"/>
      <w:divBdr>
        <w:top w:val="none" w:sz="0" w:space="0" w:color="auto"/>
        <w:left w:val="none" w:sz="0" w:space="0" w:color="auto"/>
        <w:bottom w:val="none" w:sz="0" w:space="0" w:color="auto"/>
        <w:right w:val="none" w:sz="0" w:space="0" w:color="auto"/>
      </w:divBdr>
    </w:div>
    <w:div w:id="707142571">
      <w:bodyDiv w:val="1"/>
      <w:marLeft w:val="0"/>
      <w:marRight w:val="0"/>
      <w:marTop w:val="0"/>
      <w:marBottom w:val="0"/>
      <w:divBdr>
        <w:top w:val="none" w:sz="0" w:space="0" w:color="auto"/>
        <w:left w:val="none" w:sz="0" w:space="0" w:color="auto"/>
        <w:bottom w:val="none" w:sz="0" w:space="0" w:color="auto"/>
        <w:right w:val="none" w:sz="0" w:space="0" w:color="auto"/>
      </w:divBdr>
    </w:div>
    <w:div w:id="964655419">
      <w:bodyDiv w:val="1"/>
      <w:marLeft w:val="0"/>
      <w:marRight w:val="0"/>
      <w:marTop w:val="0"/>
      <w:marBottom w:val="0"/>
      <w:divBdr>
        <w:top w:val="none" w:sz="0" w:space="0" w:color="auto"/>
        <w:left w:val="none" w:sz="0" w:space="0" w:color="auto"/>
        <w:bottom w:val="none" w:sz="0" w:space="0" w:color="auto"/>
        <w:right w:val="none" w:sz="0" w:space="0" w:color="auto"/>
      </w:divBdr>
    </w:div>
    <w:div w:id="1160542157">
      <w:bodyDiv w:val="1"/>
      <w:marLeft w:val="0"/>
      <w:marRight w:val="0"/>
      <w:marTop w:val="0"/>
      <w:marBottom w:val="0"/>
      <w:divBdr>
        <w:top w:val="none" w:sz="0" w:space="0" w:color="auto"/>
        <w:left w:val="none" w:sz="0" w:space="0" w:color="auto"/>
        <w:bottom w:val="none" w:sz="0" w:space="0" w:color="auto"/>
        <w:right w:val="none" w:sz="0" w:space="0" w:color="auto"/>
      </w:divBdr>
    </w:div>
    <w:div w:id="1187988605">
      <w:bodyDiv w:val="1"/>
      <w:marLeft w:val="0"/>
      <w:marRight w:val="0"/>
      <w:marTop w:val="0"/>
      <w:marBottom w:val="0"/>
      <w:divBdr>
        <w:top w:val="none" w:sz="0" w:space="0" w:color="auto"/>
        <w:left w:val="none" w:sz="0" w:space="0" w:color="auto"/>
        <w:bottom w:val="none" w:sz="0" w:space="0" w:color="auto"/>
        <w:right w:val="none" w:sz="0" w:space="0" w:color="auto"/>
      </w:divBdr>
      <w:divsChild>
        <w:div w:id="2129349270">
          <w:marLeft w:val="0"/>
          <w:marRight w:val="0"/>
          <w:marTop w:val="0"/>
          <w:marBottom w:val="240"/>
          <w:divBdr>
            <w:top w:val="none" w:sz="0" w:space="0" w:color="auto"/>
            <w:left w:val="none" w:sz="0" w:space="0" w:color="auto"/>
            <w:bottom w:val="none" w:sz="0" w:space="0" w:color="auto"/>
            <w:right w:val="none" w:sz="0" w:space="0" w:color="auto"/>
          </w:divBdr>
        </w:div>
        <w:div w:id="1727028756">
          <w:marLeft w:val="0"/>
          <w:marRight w:val="0"/>
          <w:marTop w:val="0"/>
          <w:marBottom w:val="240"/>
          <w:divBdr>
            <w:top w:val="none" w:sz="0" w:space="0" w:color="auto"/>
            <w:left w:val="none" w:sz="0" w:space="0" w:color="auto"/>
            <w:bottom w:val="none" w:sz="0" w:space="0" w:color="auto"/>
            <w:right w:val="none" w:sz="0" w:space="0" w:color="auto"/>
          </w:divBdr>
        </w:div>
        <w:div w:id="551768105">
          <w:blockQuote w:val="1"/>
          <w:marLeft w:val="480"/>
          <w:marRight w:val="240"/>
          <w:marTop w:val="360"/>
          <w:marBottom w:val="360"/>
          <w:divBdr>
            <w:top w:val="none" w:sz="0" w:space="0" w:color="auto"/>
            <w:left w:val="single" w:sz="24" w:space="12" w:color="E9ECEF"/>
            <w:bottom w:val="none" w:sz="0" w:space="0" w:color="auto"/>
            <w:right w:val="none" w:sz="0" w:space="0" w:color="auto"/>
          </w:divBdr>
        </w:div>
        <w:div w:id="1638759793">
          <w:marLeft w:val="0"/>
          <w:marRight w:val="0"/>
          <w:marTop w:val="0"/>
          <w:marBottom w:val="240"/>
          <w:divBdr>
            <w:top w:val="none" w:sz="0" w:space="0" w:color="auto"/>
            <w:left w:val="none" w:sz="0" w:space="0" w:color="auto"/>
            <w:bottom w:val="none" w:sz="0" w:space="0" w:color="auto"/>
            <w:right w:val="none" w:sz="0" w:space="0" w:color="auto"/>
          </w:divBdr>
        </w:div>
        <w:div w:id="1605653164">
          <w:marLeft w:val="0"/>
          <w:marRight w:val="0"/>
          <w:marTop w:val="0"/>
          <w:marBottom w:val="240"/>
          <w:divBdr>
            <w:top w:val="none" w:sz="0" w:space="0" w:color="auto"/>
            <w:left w:val="none" w:sz="0" w:space="0" w:color="auto"/>
            <w:bottom w:val="none" w:sz="0" w:space="0" w:color="auto"/>
            <w:right w:val="none" w:sz="0" w:space="0" w:color="auto"/>
          </w:divBdr>
        </w:div>
        <w:div w:id="634338564">
          <w:blockQuote w:val="1"/>
          <w:marLeft w:val="480"/>
          <w:marRight w:val="240"/>
          <w:marTop w:val="360"/>
          <w:marBottom w:val="360"/>
          <w:divBdr>
            <w:top w:val="none" w:sz="0" w:space="0" w:color="auto"/>
            <w:left w:val="single" w:sz="24" w:space="12" w:color="E9ECEF"/>
            <w:bottom w:val="none" w:sz="0" w:space="0" w:color="auto"/>
            <w:right w:val="none" w:sz="0" w:space="0" w:color="auto"/>
          </w:divBdr>
        </w:div>
        <w:div w:id="1279919608">
          <w:marLeft w:val="0"/>
          <w:marRight w:val="0"/>
          <w:marTop w:val="0"/>
          <w:marBottom w:val="240"/>
          <w:divBdr>
            <w:top w:val="none" w:sz="0" w:space="0" w:color="auto"/>
            <w:left w:val="none" w:sz="0" w:space="0" w:color="auto"/>
            <w:bottom w:val="none" w:sz="0" w:space="0" w:color="auto"/>
            <w:right w:val="none" w:sz="0" w:space="0" w:color="auto"/>
          </w:divBdr>
        </w:div>
        <w:div w:id="32270501">
          <w:marLeft w:val="0"/>
          <w:marRight w:val="0"/>
          <w:marTop w:val="0"/>
          <w:marBottom w:val="240"/>
          <w:divBdr>
            <w:top w:val="none" w:sz="0" w:space="0" w:color="auto"/>
            <w:left w:val="none" w:sz="0" w:space="0" w:color="auto"/>
            <w:bottom w:val="none" w:sz="0" w:space="0" w:color="auto"/>
            <w:right w:val="none" w:sz="0" w:space="0" w:color="auto"/>
          </w:divBdr>
        </w:div>
        <w:div w:id="256792891">
          <w:blockQuote w:val="1"/>
          <w:marLeft w:val="480"/>
          <w:marRight w:val="240"/>
          <w:marTop w:val="360"/>
          <w:marBottom w:val="360"/>
          <w:divBdr>
            <w:top w:val="none" w:sz="0" w:space="0" w:color="auto"/>
            <w:left w:val="single" w:sz="24" w:space="12" w:color="E9ECEF"/>
            <w:bottom w:val="none" w:sz="0" w:space="0" w:color="auto"/>
            <w:right w:val="none" w:sz="0" w:space="0" w:color="auto"/>
          </w:divBdr>
        </w:div>
        <w:div w:id="1128626572">
          <w:marLeft w:val="0"/>
          <w:marRight w:val="0"/>
          <w:marTop w:val="0"/>
          <w:marBottom w:val="240"/>
          <w:divBdr>
            <w:top w:val="none" w:sz="0" w:space="0" w:color="auto"/>
            <w:left w:val="none" w:sz="0" w:space="0" w:color="auto"/>
            <w:bottom w:val="none" w:sz="0" w:space="0" w:color="auto"/>
            <w:right w:val="none" w:sz="0" w:space="0" w:color="auto"/>
          </w:divBdr>
        </w:div>
        <w:div w:id="767307758">
          <w:marLeft w:val="0"/>
          <w:marRight w:val="0"/>
          <w:marTop w:val="0"/>
          <w:marBottom w:val="240"/>
          <w:divBdr>
            <w:top w:val="none" w:sz="0" w:space="0" w:color="auto"/>
            <w:left w:val="none" w:sz="0" w:space="0" w:color="auto"/>
            <w:bottom w:val="none" w:sz="0" w:space="0" w:color="auto"/>
            <w:right w:val="none" w:sz="0" w:space="0" w:color="auto"/>
          </w:divBdr>
        </w:div>
      </w:divsChild>
    </w:div>
    <w:div w:id="1215847560">
      <w:bodyDiv w:val="1"/>
      <w:marLeft w:val="0"/>
      <w:marRight w:val="0"/>
      <w:marTop w:val="0"/>
      <w:marBottom w:val="0"/>
      <w:divBdr>
        <w:top w:val="none" w:sz="0" w:space="0" w:color="auto"/>
        <w:left w:val="none" w:sz="0" w:space="0" w:color="auto"/>
        <w:bottom w:val="none" w:sz="0" w:space="0" w:color="auto"/>
        <w:right w:val="none" w:sz="0" w:space="0" w:color="auto"/>
      </w:divBdr>
    </w:div>
    <w:div w:id="1249996295">
      <w:bodyDiv w:val="1"/>
      <w:marLeft w:val="0"/>
      <w:marRight w:val="0"/>
      <w:marTop w:val="0"/>
      <w:marBottom w:val="0"/>
      <w:divBdr>
        <w:top w:val="none" w:sz="0" w:space="0" w:color="auto"/>
        <w:left w:val="none" w:sz="0" w:space="0" w:color="auto"/>
        <w:bottom w:val="none" w:sz="0" w:space="0" w:color="auto"/>
        <w:right w:val="none" w:sz="0" w:space="0" w:color="auto"/>
      </w:divBdr>
    </w:div>
    <w:div w:id="1515921324">
      <w:bodyDiv w:val="1"/>
      <w:marLeft w:val="0"/>
      <w:marRight w:val="0"/>
      <w:marTop w:val="0"/>
      <w:marBottom w:val="0"/>
      <w:divBdr>
        <w:top w:val="none" w:sz="0" w:space="0" w:color="auto"/>
        <w:left w:val="none" w:sz="0" w:space="0" w:color="auto"/>
        <w:bottom w:val="none" w:sz="0" w:space="0" w:color="auto"/>
        <w:right w:val="none" w:sz="0" w:space="0" w:color="auto"/>
      </w:divBdr>
    </w:div>
    <w:div w:id="1668164878">
      <w:bodyDiv w:val="1"/>
      <w:marLeft w:val="0"/>
      <w:marRight w:val="0"/>
      <w:marTop w:val="0"/>
      <w:marBottom w:val="0"/>
      <w:divBdr>
        <w:top w:val="none" w:sz="0" w:space="0" w:color="auto"/>
        <w:left w:val="none" w:sz="0" w:space="0" w:color="auto"/>
        <w:bottom w:val="none" w:sz="0" w:space="0" w:color="auto"/>
        <w:right w:val="none" w:sz="0" w:space="0" w:color="auto"/>
      </w:divBdr>
      <w:divsChild>
        <w:div w:id="669722131">
          <w:marLeft w:val="-115"/>
          <w:marRight w:val="0"/>
          <w:marTop w:val="0"/>
          <w:marBottom w:val="0"/>
          <w:divBdr>
            <w:top w:val="none" w:sz="0" w:space="0" w:color="auto"/>
            <w:left w:val="none" w:sz="0" w:space="0" w:color="auto"/>
            <w:bottom w:val="none" w:sz="0" w:space="0" w:color="auto"/>
            <w:right w:val="none" w:sz="0" w:space="0" w:color="auto"/>
          </w:divBdr>
        </w:div>
        <w:div w:id="1341083422">
          <w:marLeft w:val="313"/>
          <w:marRight w:val="0"/>
          <w:marTop w:val="0"/>
          <w:marBottom w:val="0"/>
          <w:divBdr>
            <w:top w:val="none" w:sz="0" w:space="0" w:color="auto"/>
            <w:left w:val="none" w:sz="0" w:space="0" w:color="auto"/>
            <w:bottom w:val="none" w:sz="0" w:space="0" w:color="auto"/>
            <w:right w:val="none" w:sz="0" w:space="0" w:color="auto"/>
          </w:divBdr>
        </w:div>
      </w:divsChild>
    </w:div>
    <w:div w:id="1912503588">
      <w:bodyDiv w:val="1"/>
      <w:marLeft w:val="0"/>
      <w:marRight w:val="0"/>
      <w:marTop w:val="0"/>
      <w:marBottom w:val="0"/>
      <w:divBdr>
        <w:top w:val="none" w:sz="0" w:space="0" w:color="auto"/>
        <w:left w:val="none" w:sz="0" w:space="0" w:color="auto"/>
        <w:bottom w:val="none" w:sz="0" w:space="0" w:color="auto"/>
        <w:right w:val="none" w:sz="0" w:space="0" w:color="auto"/>
      </w:divBdr>
    </w:div>
    <w:div w:id="2002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Vương Minh Anh</dc:creator>
  <cp:keywords/>
  <dc:description/>
  <cp:lastModifiedBy>Nguyễn Vương Minh Anh</cp:lastModifiedBy>
  <cp:revision>7</cp:revision>
  <dcterms:created xsi:type="dcterms:W3CDTF">2022-06-23T07:51:00Z</dcterms:created>
  <dcterms:modified xsi:type="dcterms:W3CDTF">2022-06-27T17:20:00Z</dcterms:modified>
</cp:coreProperties>
</file>