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EC506A" w14:textId="77777777" w:rsidR="00D25F44" w:rsidRDefault="00D25F44" w:rsidP="008866B3">
      <w:pPr>
        <w:jc w:val="both"/>
      </w:pPr>
      <w:r w:rsidRPr="00D25F44">
        <w:rPr>
          <w:noProof/>
        </w:rPr>
        <w:drawing>
          <wp:inline distT="0" distB="0" distL="0" distR="0" wp14:anchorId="1D6F607E" wp14:editId="54D591CC">
            <wp:extent cx="5943600" cy="7924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7924800"/>
                    </a:xfrm>
                    <a:prstGeom prst="rect">
                      <a:avLst/>
                    </a:prstGeom>
                    <a:noFill/>
                    <a:ln>
                      <a:noFill/>
                    </a:ln>
                  </pic:spPr>
                </pic:pic>
              </a:graphicData>
            </a:graphic>
          </wp:inline>
        </w:drawing>
      </w:r>
      <w:r w:rsidR="00CC700F">
        <w:br w:type="column"/>
      </w:r>
    </w:p>
    <w:p w14:paraId="3AD5BF29" w14:textId="77777777" w:rsidR="000471CE" w:rsidRDefault="005C6387" w:rsidP="008866B3">
      <w:pPr>
        <w:jc w:val="both"/>
      </w:pPr>
      <w:r w:rsidRPr="005C6387">
        <w:rPr>
          <w:noProof/>
        </w:rPr>
        <w:drawing>
          <wp:inline distT="0" distB="0" distL="0" distR="0" wp14:anchorId="204718A7" wp14:editId="62897477">
            <wp:extent cx="5943600" cy="7041541"/>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7041541"/>
                    </a:xfrm>
                    <a:prstGeom prst="rect">
                      <a:avLst/>
                    </a:prstGeom>
                    <a:noFill/>
                    <a:ln>
                      <a:noFill/>
                    </a:ln>
                  </pic:spPr>
                </pic:pic>
              </a:graphicData>
            </a:graphic>
          </wp:inline>
        </w:drawing>
      </w:r>
      <w:r w:rsidR="00D25F44">
        <w:br w:type="column"/>
      </w:r>
      <w:r w:rsidR="000471CE" w:rsidRPr="001559BF">
        <w:rPr>
          <w:b/>
        </w:rPr>
        <w:lastRenderedPageBreak/>
        <w:t>Giai đoạn 2019-2020</w:t>
      </w:r>
    </w:p>
    <w:p w14:paraId="35135AC4" w14:textId="77777777" w:rsidR="00EF73A8" w:rsidRDefault="00EF73A8" w:rsidP="008866B3">
      <w:pPr>
        <w:jc w:val="both"/>
      </w:pPr>
      <w:r>
        <w:t>a. Phân tích sự biến động của tài sản:</w:t>
      </w:r>
    </w:p>
    <w:p w14:paraId="58E39DA6" w14:textId="0F862F87" w:rsidR="00D71D45" w:rsidRDefault="00D71D45" w:rsidP="008866B3">
      <w:pPr>
        <w:jc w:val="both"/>
        <w:rPr>
          <w:rFonts w:eastAsia="Times New Roman" w:cs="Times New Roman"/>
          <w:color w:val="000000"/>
          <w:szCs w:val="24"/>
        </w:rPr>
      </w:pPr>
      <w:r>
        <w:t>Tài sản ngắn hạn tăng thêm</w:t>
      </w:r>
      <w:r w:rsidRPr="00142554">
        <w:t xml:space="preserve"> </w:t>
      </w:r>
      <w:r w:rsidRPr="0060700A">
        <w:t xml:space="preserve"> </w:t>
      </w:r>
      <w:r w:rsidRPr="00D71D45">
        <w:t>26,310,321,287,116 đ</w:t>
      </w:r>
      <w:r>
        <w:t>ồng tăng 86.44% so vớ</w:t>
      </w:r>
      <w:r w:rsidR="00DD1DC3">
        <w:t>i năm 201</w:t>
      </w:r>
      <w:r>
        <w:t>9 và tỷ trọng chệnh lệch là 13.24%%, ở năm 2020 tài sản ngắn hạn đạt mốc</w:t>
      </w:r>
      <w:r w:rsidRPr="00464E1D">
        <w:t xml:space="preserve"> </w:t>
      </w:r>
      <w:r>
        <w:t xml:space="preserve">56,747,258,197,010 </w:t>
      </w:r>
      <w:r w:rsidRPr="00D71D45">
        <w:t>đ</w:t>
      </w:r>
      <w:r>
        <w:t>ồng chiếm 43.15% trong tổng tài sả</w:t>
      </w:r>
      <w:r w:rsidR="002F3CD0">
        <w:t>n</w:t>
      </w:r>
      <w:r>
        <w:t>. Theo như tình hình thực tế</w:t>
      </w:r>
      <w:r w:rsidR="002F3CD0">
        <w:t xml:space="preserve"> thì giai đoạn này</w:t>
      </w:r>
      <w:r>
        <w:t xml:space="preserve"> sự ảnh hưởng củ</w:t>
      </w:r>
      <w:r w:rsidR="002F3CD0">
        <w:t>a COVID-19 là nghiêm trọng nhất, đầu năm 2020 hầu như các sản phẩm thép xây dựng rất ít được tiêu thụ</w:t>
      </w:r>
      <w:r>
        <w:t xml:space="preserve"> và </w:t>
      </w:r>
      <w:r w:rsidR="002F3CD0">
        <w:t>đến giữa cuối năm khi công tác chống dịch đạt hiệu quả</w:t>
      </w:r>
      <w:r w:rsidR="00CA1DAC">
        <w:t>, tình hình kinh doanh đang có dấu hiệu sống lại và nhu cầu về thép cũng tăng lên,</w:t>
      </w:r>
      <w:r>
        <w:t xml:space="preserve"> </w:t>
      </w:r>
      <w:r w:rsidR="00F721C1">
        <w:t>HPG</w:t>
      </w:r>
      <w:r>
        <w:t xml:space="preserve"> đã chủ động tăng</w:t>
      </w:r>
      <w:r w:rsidR="00CA1DAC">
        <w:t xml:space="preserve"> nhẹ</w:t>
      </w:r>
      <w:r>
        <w:t xml:space="preserve"> hàng tồn kho thêm </w:t>
      </w:r>
      <w:r w:rsidR="00CA1DAC" w:rsidRPr="00CA1DAC">
        <w:rPr>
          <w:rFonts w:eastAsia="Times New Roman" w:cs="Times New Roman"/>
          <w:color w:val="000000"/>
          <w:szCs w:val="24"/>
        </w:rPr>
        <w:t xml:space="preserve">6,874,899,481,107 </w:t>
      </w:r>
      <w:r>
        <w:rPr>
          <w:rFonts w:eastAsia="Times New Roman" w:cs="Times New Roman"/>
          <w:color w:val="000000"/>
          <w:szCs w:val="24"/>
        </w:rPr>
        <w:t>đ</w:t>
      </w:r>
      <w:r w:rsidR="00CA1DAC">
        <w:rPr>
          <w:rFonts w:eastAsia="Times New Roman" w:cs="Times New Roman"/>
          <w:color w:val="000000"/>
          <w:szCs w:val="24"/>
        </w:rPr>
        <w:t xml:space="preserve">ồng so với năm 2019 và tỷ lệ tăng là </w:t>
      </w:r>
      <w:r w:rsidR="00BD0F23">
        <w:rPr>
          <w:rFonts w:eastAsia="Times New Roman" w:cs="Times New Roman"/>
          <w:color w:val="000000"/>
          <w:szCs w:val="24"/>
        </w:rPr>
        <w:t>0.92%, hàng tồn kho năm 2020</w:t>
      </w:r>
      <w:r>
        <w:rPr>
          <w:rFonts w:eastAsia="Times New Roman" w:cs="Times New Roman"/>
          <w:color w:val="000000"/>
          <w:szCs w:val="24"/>
        </w:rPr>
        <w:t xml:space="preserve"> là </w:t>
      </w:r>
      <w:r w:rsidR="00CA1DAC">
        <w:rPr>
          <w:rFonts w:eastAsia="Times New Roman" w:cs="Times New Roman"/>
          <w:color w:val="000000"/>
          <w:szCs w:val="24"/>
        </w:rPr>
        <w:t>26,286,822,229,202</w:t>
      </w:r>
      <w:r w:rsidR="00CA1DAC" w:rsidRPr="00CA1DAC">
        <w:rPr>
          <w:rFonts w:eastAsia="Times New Roman" w:cs="Times New Roman"/>
          <w:color w:val="000000"/>
          <w:szCs w:val="24"/>
        </w:rPr>
        <w:t xml:space="preserve"> </w:t>
      </w:r>
      <w:r w:rsidRPr="00CA1DAC">
        <w:rPr>
          <w:rFonts w:eastAsia="Times New Roman" w:cs="Times New Roman"/>
          <w:color w:val="000000"/>
          <w:szCs w:val="24"/>
        </w:rPr>
        <w:t>đ</w:t>
      </w:r>
      <w:r w:rsidR="00CA1DAC">
        <w:rPr>
          <w:rFonts w:eastAsia="Times New Roman" w:cs="Times New Roman"/>
          <w:color w:val="000000"/>
          <w:szCs w:val="24"/>
        </w:rPr>
        <w:t>ồng chiếm 19.99</w:t>
      </w:r>
      <w:r>
        <w:rPr>
          <w:rFonts w:eastAsia="Times New Roman" w:cs="Times New Roman"/>
          <w:color w:val="000000"/>
          <w:szCs w:val="24"/>
        </w:rPr>
        <w:t xml:space="preserve">% trong tổng tài sản kéo theo đó </w:t>
      </w:r>
      <w:r w:rsidR="00BD0F23">
        <w:rPr>
          <w:rFonts w:eastAsia="Times New Roman" w:cs="Times New Roman"/>
          <w:color w:val="000000"/>
          <w:szCs w:val="24"/>
        </w:rPr>
        <w:t>việc nhập kho tăng sẽ kéo theo việc trích lập dự phòng cũng tăng theo ở năm 2020</w:t>
      </w:r>
      <w:r>
        <w:rPr>
          <w:rFonts w:eastAsia="Times New Roman" w:cs="Times New Roman"/>
          <w:color w:val="000000"/>
          <w:szCs w:val="24"/>
        </w:rPr>
        <w:t xml:space="preserve"> là </w:t>
      </w:r>
      <w:r w:rsidR="00CA1DAC" w:rsidRPr="00CA1DAC">
        <w:rPr>
          <w:rFonts w:eastAsia="Times New Roman" w:cs="Times New Roman"/>
          <w:color w:val="000000"/>
          <w:szCs w:val="24"/>
        </w:rPr>
        <w:t>(17,794,815,421)</w:t>
      </w:r>
      <w:r w:rsidR="00CA1DAC">
        <w:rPr>
          <w:rFonts w:eastAsia="Times New Roman" w:cs="Times New Roman"/>
          <w:color w:val="000000"/>
          <w:szCs w:val="24"/>
        </w:rPr>
        <w:t xml:space="preserve"> </w:t>
      </w:r>
      <w:r w:rsidRPr="00CA1DAC">
        <w:rPr>
          <w:rFonts w:eastAsia="Times New Roman" w:cs="Times New Roman"/>
          <w:color w:val="000000"/>
          <w:szCs w:val="24"/>
        </w:rPr>
        <w:t>đ</w:t>
      </w:r>
      <w:r w:rsidR="00CA1DAC">
        <w:rPr>
          <w:rFonts w:eastAsia="Times New Roman" w:cs="Times New Roman"/>
          <w:color w:val="000000"/>
          <w:szCs w:val="24"/>
        </w:rPr>
        <w:t>ồng tăng 25.89% so với 2019</w:t>
      </w:r>
    </w:p>
    <w:p w14:paraId="2F23E16B" w14:textId="3110CE18" w:rsidR="00CA1DAC" w:rsidRDefault="00CA1DAC" w:rsidP="008866B3">
      <w:pPr>
        <w:jc w:val="both"/>
        <w:rPr>
          <w:rFonts w:eastAsia="Times New Roman" w:cs="Times New Roman"/>
          <w:color w:val="000000"/>
          <w:szCs w:val="24"/>
        </w:rPr>
      </w:pPr>
      <w:r>
        <w:rPr>
          <w:rFonts w:eastAsia="Times New Roman" w:cs="Times New Roman"/>
          <w:color w:val="000000"/>
          <w:szCs w:val="24"/>
        </w:rPr>
        <w:t>Tiền và các khoản tương đương tiền tăng lần lượt là</w:t>
      </w:r>
      <w:r w:rsidRPr="00535AFA">
        <w:rPr>
          <w:rFonts w:eastAsia="Times New Roman" w:cs="Times New Roman"/>
          <w:color w:val="000000"/>
          <w:szCs w:val="24"/>
        </w:rPr>
        <w:t xml:space="preserve"> </w:t>
      </w:r>
      <w:r w:rsidR="00480767" w:rsidRPr="00480767">
        <w:rPr>
          <w:rFonts w:eastAsia="Times New Roman" w:cs="Times New Roman"/>
          <w:color w:val="000000"/>
          <w:szCs w:val="24"/>
        </w:rPr>
        <w:t xml:space="preserve">416,000,046,024 </w:t>
      </w:r>
      <w:r w:rsidRPr="00480767">
        <w:rPr>
          <w:rFonts w:eastAsia="Times New Roman" w:cs="Times New Roman"/>
          <w:color w:val="000000"/>
          <w:szCs w:val="24"/>
        </w:rPr>
        <w:t>đ</w:t>
      </w:r>
      <w:r>
        <w:rPr>
          <w:rFonts w:eastAsia="Times New Roman" w:cs="Times New Roman"/>
          <w:color w:val="000000"/>
          <w:szCs w:val="24"/>
        </w:rPr>
        <w:t xml:space="preserve">ồng và </w:t>
      </w:r>
      <w:r w:rsidRPr="00535AFA">
        <w:rPr>
          <w:rFonts w:eastAsia="Times New Roman" w:cs="Times New Roman"/>
          <w:color w:val="000000"/>
          <w:szCs w:val="24"/>
        </w:rPr>
        <w:t xml:space="preserve">         </w:t>
      </w:r>
      <w:r w:rsidR="00480767" w:rsidRPr="00480767">
        <w:rPr>
          <w:rFonts w:eastAsia="Times New Roman" w:cs="Times New Roman"/>
          <w:color w:val="000000"/>
          <w:szCs w:val="24"/>
        </w:rPr>
        <w:t xml:space="preserve">8,735,199,000,000 </w:t>
      </w:r>
      <w:r w:rsidRPr="00480767">
        <w:rPr>
          <w:rFonts w:eastAsia="Times New Roman" w:cs="Times New Roman"/>
          <w:color w:val="000000"/>
          <w:szCs w:val="24"/>
        </w:rPr>
        <w:t>đ</w:t>
      </w:r>
      <w:r>
        <w:rPr>
          <w:rFonts w:eastAsia="Times New Roman" w:cs="Times New Roman"/>
          <w:color w:val="000000"/>
          <w:szCs w:val="24"/>
        </w:rPr>
        <w:t xml:space="preserve">ồng đi kèm theo là tỷ lệ tăng là </w:t>
      </w:r>
      <w:r w:rsidR="00F21383">
        <w:rPr>
          <w:rFonts w:eastAsia="Times New Roman" w:cs="Times New Roman"/>
          <w:color w:val="000000"/>
          <w:szCs w:val="24"/>
        </w:rPr>
        <w:t>24.79% và 304.72</w:t>
      </w:r>
      <w:r>
        <w:rPr>
          <w:rFonts w:eastAsia="Times New Roman" w:cs="Times New Roman"/>
          <w:color w:val="000000"/>
          <w:szCs w:val="24"/>
        </w:rPr>
        <w:t>%</w:t>
      </w:r>
      <w:r w:rsidR="00CD7325">
        <w:rPr>
          <w:rFonts w:eastAsia="Times New Roman" w:cs="Times New Roman"/>
          <w:color w:val="000000"/>
          <w:szCs w:val="24"/>
        </w:rPr>
        <w:t xml:space="preserve"> giai đoạn này thanh toán các khoản </w:t>
      </w:r>
      <w:r w:rsidR="00B529CE">
        <w:rPr>
          <w:rFonts w:eastAsia="Times New Roman" w:cs="Times New Roman"/>
          <w:color w:val="000000"/>
          <w:szCs w:val="24"/>
        </w:rPr>
        <w:t xml:space="preserve">nợ </w:t>
      </w:r>
      <w:r w:rsidR="00CD7325">
        <w:rPr>
          <w:rFonts w:eastAsia="Times New Roman" w:cs="Times New Roman"/>
          <w:color w:val="000000"/>
          <w:szCs w:val="24"/>
        </w:rPr>
        <w:t xml:space="preserve">ngắn hạn tới hạn rất khó khăn do nguồn tiền tắt nghẽn vì yếu tố dịch bệnh, </w:t>
      </w:r>
      <w:r w:rsidR="00F721C1">
        <w:rPr>
          <w:rFonts w:eastAsia="Times New Roman" w:cs="Times New Roman"/>
          <w:color w:val="000000"/>
          <w:szCs w:val="24"/>
        </w:rPr>
        <w:t>HPG</w:t>
      </w:r>
      <w:r w:rsidR="00CD7325">
        <w:rPr>
          <w:rFonts w:eastAsia="Times New Roman" w:cs="Times New Roman"/>
          <w:color w:val="000000"/>
          <w:szCs w:val="24"/>
        </w:rPr>
        <w:t xml:space="preserve"> đang chủ động trữ các khoản tương đương tiền để khả năng thanh toán nợ ngắn hạn không bị ảnh hưởng</w:t>
      </w:r>
      <w:r>
        <w:rPr>
          <w:rFonts w:eastAsia="Times New Roman" w:cs="Times New Roman"/>
          <w:color w:val="000000"/>
          <w:szCs w:val="24"/>
        </w:rPr>
        <w:t>. Các khoản phải thu ngắn hạn tăng</w:t>
      </w:r>
      <w:r w:rsidR="00CD7325">
        <w:rPr>
          <w:rFonts w:eastAsia="Times New Roman" w:cs="Times New Roman"/>
          <w:color w:val="000000"/>
          <w:szCs w:val="24"/>
        </w:rPr>
        <w:t xml:space="preserve"> mạnh </w:t>
      </w:r>
      <w:r w:rsidR="00CD7325" w:rsidRPr="00CD7325">
        <w:rPr>
          <w:rFonts w:eastAsia="Times New Roman" w:cs="Times New Roman"/>
          <w:color w:val="000000"/>
          <w:szCs w:val="24"/>
        </w:rPr>
        <w:t>2,563,393,269,603</w:t>
      </w:r>
      <w:r w:rsidR="00CD7325">
        <w:rPr>
          <w:rFonts w:eastAsia="Times New Roman" w:cs="Times New Roman"/>
          <w:color w:val="000000"/>
          <w:szCs w:val="24"/>
        </w:rPr>
        <w:t xml:space="preserve"> đồng, tỷ lệ tăng là 71.98%</w:t>
      </w:r>
      <w:r w:rsidR="00B529CE">
        <w:rPr>
          <w:rFonts w:eastAsia="Times New Roman" w:cs="Times New Roman"/>
          <w:color w:val="000000"/>
          <w:szCs w:val="24"/>
        </w:rPr>
        <w:t xml:space="preserve">, </w:t>
      </w:r>
      <w:r w:rsidR="00F721C1">
        <w:rPr>
          <w:rFonts w:eastAsia="Times New Roman" w:cs="Times New Roman"/>
          <w:color w:val="000000"/>
          <w:szCs w:val="24"/>
        </w:rPr>
        <w:t>HPG</w:t>
      </w:r>
      <w:r w:rsidR="00B529CE">
        <w:rPr>
          <w:rFonts w:eastAsia="Times New Roman" w:cs="Times New Roman"/>
          <w:color w:val="000000"/>
          <w:szCs w:val="24"/>
        </w:rPr>
        <w:t xml:space="preserve"> đang bị chiếm dụng vốn</w:t>
      </w:r>
      <w:r>
        <w:rPr>
          <w:rFonts w:eastAsia="Times New Roman" w:cs="Times New Roman"/>
          <w:color w:val="000000"/>
          <w:szCs w:val="24"/>
        </w:rPr>
        <w:t xml:space="preserve">. Khoản đầu tư tài chính ngắn hạn tăng </w:t>
      </w:r>
      <w:r w:rsidR="00B529CE" w:rsidRPr="00B529CE">
        <w:rPr>
          <w:rFonts w:eastAsia="Times New Roman" w:cs="Times New Roman"/>
          <w:color w:val="000000"/>
          <w:szCs w:val="24"/>
        </w:rPr>
        <w:t xml:space="preserve">6,752,652,322,470 </w:t>
      </w:r>
      <w:r w:rsidRPr="00B529CE">
        <w:rPr>
          <w:rFonts w:eastAsia="Times New Roman" w:cs="Times New Roman"/>
          <w:color w:val="000000"/>
          <w:szCs w:val="24"/>
        </w:rPr>
        <w:t>đ</w:t>
      </w:r>
      <w:r w:rsidR="00B529CE">
        <w:rPr>
          <w:rFonts w:eastAsia="Times New Roman" w:cs="Times New Roman"/>
          <w:color w:val="000000"/>
          <w:szCs w:val="24"/>
        </w:rPr>
        <w:t>ồng, tỷ lệ tăng là 491.34</w:t>
      </w:r>
      <w:r>
        <w:rPr>
          <w:rFonts w:eastAsia="Times New Roman" w:cs="Times New Roman"/>
          <w:color w:val="000000"/>
          <w:szCs w:val="24"/>
        </w:rPr>
        <w:t>% theo thuyết minh báo cáo tài chính thì khoản mục này là tiền gửi ngân hàng có kì hạn còn lại không quá 12 tháng, khoản này vừa mang lại 1 khoản thu vừa có thể sử dụng như phương tiện dự trữ khoản tương đương tiền kha khá có khả năng tài trợ cho các khoản nợ ngắn hạn.</w:t>
      </w:r>
    </w:p>
    <w:p w14:paraId="0E8B7FDE" w14:textId="3A7AF409" w:rsidR="00B529CE" w:rsidRDefault="00B529CE" w:rsidP="008866B3">
      <w:pPr>
        <w:jc w:val="both"/>
        <w:rPr>
          <w:rFonts w:eastAsia="Times New Roman" w:cs="Times New Roman"/>
          <w:color w:val="000000"/>
          <w:szCs w:val="24"/>
        </w:rPr>
      </w:pPr>
      <w:r>
        <w:rPr>
          <w:rFonts w:eastAsia="Times New Roman" w:cs="Times New Roman"/>
          <w:color w:val="000000"/>
          <w:szCs w:val="24"/>
        </w:rPr>
        <w:t xml:space="preserve">Tài sản dài hạn tăng </w:t>
      </w:r>
      <w:r w:rsidRPr="00B47679">
        <w:rPr>
          <w:rFonts w:eastAsia="Times New Roman" w:cs="Times New Roman"/>
          <w:color w:val="000000"/>
          <w:szCs w:val="24"/>
        </w:rPr>
        <w:t xml:space="preserve"> </w:t>
      </w:r>
      <w:r w:rsidRPr="00B529CE">
        <w:rPr>
          <w:rFonts w:eastAsia="Times New Roman" w:cs="Times New Roman"/>
          <w:color w:val="000000"/>
          <w:szCs w:val="24"/>
        </w:rPr>
        <w:t>3,425,083,001,821 đ</w:t>
      </w:r>
      <w:r>
        <w:rPr>
          <w:rFonts w:eastAsia="Times New Roman" w:cs="Times New Roman"/>
          <w:color w:val="000000"/>
          <w:szCs w:val="24"/>
        </w:rPr>
        <w:t xml:space="preserve">ồng với tỷ lệ tăng là 4.8% so với năm 2019 và tỷ trọng chênh lệch là -13.24%, ở năm 2020 tài sản dài hạn đạt mốc 74,764,176,191,827 đồng chiếm 56.85%. Có thể thấy </w:t>
      </w:r>
      <w:r w:rsidR="00F721C1">
        <w:rPr>
          <w:rFonts w:eastAsia="Times New Roman" w:cs="Times New Roman"/>
          <w:color w:val="000000"/>
          <w:szCs w:val="24"/>
        </w:rPr>
        <w:t>HPG</w:t>
      </w:r>
      <w:r>
        <w:rPr>
          <w:rFonts w:eastAsia="Times New Roman" w:cs="Times New Roman"/>
          <w:color w:val="000000"/>
          <w:szCs w:val="24"/>
        </w:rPr>
        <w:t xml:space="preserve"> đang có khoản tài sản cố định tăng mạnh </w:t>
      </w:r>
      <w:r w:rsidRPr="00B529CE">
        <w:rPr>
          <w:rFonts w:eastAsia="Times New Roman" w:cs="Times New Roman"/>
          <w:color w:val="000000"/>
          <w:szCs w:val="24"/>
        </w:rPr>
        <w:t xml:space="preserve">34,312,163,262,177 </w:t>
      </w:r>
      <w:r>
        <w:rPr>
          <w:rFonts w:eastAsia="Times New Roman" w:cs="Times New Roman"/>
          <w:color w:val="000000"/>
          <w:szCs w:val="24"/>
        </w:rPr>
        <w:t xml:space="preserve">đồng với tỷ lệ tăng là 109.8% và tài sản dở dang dài hạn giảm mạnh </w:t>
      </w:r>
      <w:r w:rsidRPr="00B529CE">
        <w:rPr>
          <w:rFonts w:eastAsia="Times New Roman" w:cs="Times New Roman"/>
          <w:color w:val="000000"/>
          <w:szCs w:val="24"/>
        </w:rPr>
        <w:t>(31,188,106,960,020)</w:t>
      </w:r>
      <w:r>
        <w:rPr>
          <w:rFonts w:eastAsia="Times New Roman" w:cs="Times New Roman"/>
          <w:color w:val="000000"/>
          <w:szCs w:val="24"/>
        </w:rPr>
        <w:t xml:space="preserve"> đồng, tỷ lệ giảm là 83.31%</w:t>
      </w:r>
      <w:r w:rsidRPr="00B529CE">
        <w:rPr>
          <w:rFonts w:eastAsia="Times New Roman" w:cs="Times New Roman"/>
          <w:color w:val="000000"/>
          <w:szCs w:val="24"/>
        </w:rPr>
        <w:t>,</w:t>
      </w:r>
      <w:r w:rsidR="00FA42A2">
        <w:rPr>
          <w:rFonts w:eastAsia="Times New Roman" w:cs="Times New Roman"/>
          <w:color w:val="000000"/>
          <w:szCs w:val="24"/>
        </w:rPr>
        <w:t xml:space="preserve"> trong đó</w:t>
      </w:r>
      <w:r>
        <w:rPr>
          <w:rFonts w:eastAsia="Times New Roman" w:cs="Times New Roman"/>
          <w:color w:val="000000"/>
          <w:szCs w:val="24"/>
        </w:rPr>
        <w:t xml:space="preserve"> tài sản cố định tăng chủ yếu ở phần tài sản cố định hữu hình với mức tăng là </w:t>
      </w:r>
      <w:r w:rsidR="00FA42A2" w:rsidRPr="00FA42A2">
        <w:rPr>
          <w:rFonts w:eastAsia="Times New Roman" w:cs="Times New Roman"/>
          <w:color w:val="000000"/>
          <w:szCs w:val="24"/>
        </w:rPr>
        <w:t xml:space="preserve"> 34,327,697,442,839 </w:t>
      </w:r>
      <w:r>
        <w:rPr>
          <w:rFonts w:eastAsia="Times New Roman" w:cs="Times New Roman"/>
          <w:color w:val="000000"/>
          <w:szCs w:val="24"/>
        </w:rPr>
        <w:t xml:space="preserve">đồng, </w:t>
      </w:r>
      <w:r w:rsidR="00FA42A2">
        <w:rPr>
          <w:rFonts w:eastAsia="Times New Roman" w:cs="Times New Roman"/>
          <w:color w:val="000000"/>
          <w:szCs w:val="24"/>
        </w:rPr>
        <w:t>tỷ lệ tăng là 110.81</w:t>
      </w:r>
      <w:r>
        <w:rPr>
          <w:rFonts w:eastAsia="Times New Roman" w:cs="Times New Roman"/>
          <w:color w:val="000000"/>
          <w:szCs w:val="24"/>
        </w:rPr>
        <w:t>% và phần xây dựng cơ b</w:t>
      </w:r>
      <w:r w:rsidR="00FA42A2">
        <w:rPr>
          <w:rFonts w:eastAsia="Times New Roman" w:cs="Times New Roman"/>
          <w:color w:val="000000"/>
          <w:szCs w:val="24"/>
        </w:rPr>
        <w:t>ản dở dang dài hạn tăng chủ yếu ở khoản</w:t>
      </w:r>
      <w:r>
        <w:rPr>
          <w:rFonts w:eastAsia="Times New Roman" w:cs="Times New Roman"/>
          <w:color w:val="000000"/>
          <w:szCs w:val="24"/>
        </w:rPr>
        <w:t xml:space="preserve"> xây dựng cơ bản dở dang với mức </w:t>
      </w:r>
      <w:r w:rsidR="00FA42A2">
        <w:rPr>
          <w:rFonts w:eastAsia="Times New Roman" w:cs="Times New Roman"/>
          <w:color w:val="000000"/>
          <w:szCs w:val="24"/>
        </w:rPr>
        <w:t>giảm</w:t>
      </w:r>
      <w:r>
        <w:rPr>
          <w:rFonts w:eastAsia="Times New Roman" w:cs="Times New Roman"/>
          <w:color w:val="000000"/>
          <w:szCs w:val="24"/>
        </w:rPr>
        <w:t xml:space="preserve"> là </w:t>
      </w:r>
      <w:r w:rsidR="00FA42A2" w:rsidRPr="00FA42A2">
        <w:rPr>
          <w:rFonts w:eastAsia="Times New Roman" w:cs="Times New Roman"/>
          <w:color w:val="000000"/>
          <w:szCs w:val="24"/>
        </w:rPr>
        <w:t xml:space="preserve"> (31,356,431,293,243) </w:t>
      </w:r>
      <w:r w:rsidR="00FA42A2">
        <w:rPr>
          <w:rFonts w:eastAsia="Times New Roman" w:cs="Times New Roman"/>
          <w:color w:val="000000"/>
          <w:szCs w:val="24"/>
        </w:rPr>
        <w:t>đồng, tỷ lệ giảm 85.47</w:t>
      </w:r>
      <w:r>
        <w:rPr>
          <w:rFonts w:eastAsia="Times New Roman" w:cs="Times New Roman"/>
          <w:color w:val="000000"/>
          <w:szCs w:val="24"/>
        </w:rPr>
        <w:t xml:space="preserve">% </w:t>
      </w:r>
      <w:r w:rsidR="00FA42A2" w:rsidRPr="00B529CE">
        <w:rPr>
          <w:rFonts w:eastAsia="Times New Roman" w:cs="Times New Roman"/>
          <w:color w:val="000000"/>
          <w:szCs w:val="24"/>
        </w:rPr>
        <w:sym w:font="Wingdings" w:char="F0E0"/>
      </w:r>
      <w:r w:rsidR="00FA42A2">
        <w:rPr>
          <w:rFonts w:eastAsia="Times New Roman" w:cs="Times New Roman"/>
          <w:color w:val="000000"/>
          <w:szCs w:val="24"/>
        </w:rPr>
        <w:t xml:space="preserve">Quy mô sản xuất của </w:t>
      </w:r>
      <w:r w:rsidR="00F721C1">
        <w:rPr>
          <w:rFonts w:eastAsia="Times New Roman" w:cs="Times New Roman"/>
          <w:color w:val="000000"/>
          <w:szCs w:val="24"/>
        </w:rPr>
        <w:t>HPG</w:t>
      </w:r>
      <w:r w:rsidR="00FA42A2">
        <w:rPr>
          <w:rFonts w:eastAsia="Times New Roman" w:cs="Times New Roman"/>
          <w:color w:val="000000"/>
          <w:szCs w:val="24"/>
        </w:rPr>
        <w:t xml:space="preserve"> tăng mạnh ở giai đoạn này</w:t>
      </w:r>
      <w:r>
        <w:rPr>
          <w:rFonts w:eastAsia="Times New Roman" w:cs="Times New Roman"/>
          <w:color w:val="000000"/>
          <w:szCs w:val="24"/>
        </w:rPr>
        <w:t>. Bất động sản giảm</w:t>
      </w:r>
      <w:r w:rsidR="00FA42A2">
        <w:rPr>
          <w:rFonts w:eastAsia="Times New Roman" w:cs="Times New Roman"/>
          <w:color w:val="000000"/>
          <w:szCs w:val="24"/>
        </w:rPr>
        <w:t xml:space="preserve"> 2.14</w:t>
      </w:r>
      <w:r>
        <w:rPr>
          <w:rFonts w:eastAsia="Times New Roman" w:cs="Times New Roman"/>
          <w:color w:val="000000"/>
          <w:szCs w:val="24"/>
        </w:rPr>
        <w:t xml:space="preserve">% tương đương </w:t>
      </w:r>
      <w:r w:rsidR="00FA42A2" w:rsidRPr="00FA42A2">
        <w:rPr>
          <w:rFonts w:eastAsia="Times New Roman" w:cs="Times New Roman"/>
          <w:color w:val="000000"/>
          <w:szCs w:val="24"/>
        </w:rPr>
        <w:t xml:space="preserve"> (12,319,537,116) </w:t>
      </w:r>
      <w:r>
        <w:rPr>
          <w:rFonts w:eastAsia="Times New Roman" w:cs="Times New Roman"/>
          <w:color w:val="000000"/>
          <w:szCs w:val="24"/>
        </w:rPr>
        <w:t>đồng</w:t>
      </w:r>
      <w:r w:rsidR="00FA42A2">
        <w:rPr>
          <w:rFonts w:eastAsia="Times New Roman" w:cs="Times New Roman"/>
          <w:color w:val="000000"/>
          <w:szCs w:val="24"/>
        </w:rPr>
        <w:t xml:space="preserve">. </w:t>
      </w:r>
      <w:r>
        <w:rPr>
          <w:rFonts w:eastAsia="Times New Roman" w:cs="Times New Roman"/>
          <w:color w:val="000000"/>
          <w:szCs w:val="24"/>
        </w:rPr>
        <w:t>Về các khoản phải thu dài hạn tăng</w:t>
      </w:r>
      <w:r w:rsidRPr="00105BA7">
        <w:rPr>
          <w:rFonts w:eastAsia="Times New Roman" w:cs="Times New Roman"/>
          <w:color w:val="000000"/>
          <w:szCs w:val="24"/>
        </w:rPr>
        <w:t xml:space="preserve"> </w:t>
      </w:r>
      <w:r w:rsidR="0075484B" w:rsidRPr="0075484B">
        <w:rPr>
          <w:rFonts w:eastAsia="Times New Roman" w:cs="Times New Roman"/>
          <w:color w:val="000000"/>
          <w:szCs w:val="24"/>
        </w:rPr>
        <w:t xml:space="preserve"> 277,447,952,447 </w:t>
      </w:r>
      <w:r>
        <w:rPr>
          <w:rFonts w:eastAsia="Times New Roman" w:cs="Times New Roman"/>
          <w:color w:val="000000"/>
          <w:szCs w:val="24"/>
        </w:rPr>
        <w:t xml:space="preserve">đồng với tỷ lệ </w:t>
      </w:r>
      <w:r w:rsidR="0075484B">
        <w:rPr>
          <w:rFonts w:eastAsia="Times New Roman" w:cs="Times New Roman"/>
          <w:color w:val="000000"/>
          <w:szCs w:val="24"/>
        </w:rPr>
        <w:t>1000.98</w:t>
      </w:r>
      <w:r>
        <w:rPr>
          <w:rFonts w:eastAsia="Times New Roman" w:cs="Times New Roman"/>
          <w:color w:val="000000"/>
          <w:szCs w:val="24"/>
        </w:rPr>
        <w:t>% chủ yếu là từ hoạt động cho vay</w:t>
      </w:r>
      <w:r w:rsidR="0075484B">
        <w:rPr>
          <w:rFonts w:eastAsia="Times New Roman" w:cs="Times New Roman"/>
          <w:color w:val="000000"/>
          <w:szCs w:val="24"/>
        </w:rPr>
        <w:t>. Đ</w:t>
      </w:r>
      <w:r>
        <w:rPr>
          <w:rFonts w:eastAsia="Times New Roman" w:cs="Times New Roman"/>
          <w:color w:val="000000"/>
          <w:szCs w:val="24"/>
        </w:rPr>
        <w:t xml:space="preserve">ầu tư tài chính dài hạn </w:t>
      </w:r>
      <w:r w:rsidR="0075484B">
        <w:rPr>
          <w:rFonts w:eastAsia="Times New Roman" w:cs="Times New Roman"/>
          <w:color w:val="000000"/>
          <w:szCs w:val="24"/>
        </w:rPr>
        <w:t xml:space="preserve">tăng </w:t>
      </w:r>
      <w:r w:rsidR="0075484B" w:rsidRPr="0075484B">
        <w:rPr>
          <w:rFonts w:eastAsia="Times New Roman" w:cs="Times New Roman"/>
          <w:color w:val="000000"/>
          <w:szCs w:val="24"/>
        </w:rPr>
        <w:t xml:space="preserve"> 125,290,989,669</w:t>
      </w:r>
      <w:r w:rsidR="0075484B">
        <w:rPr>
          <w:rFonts w:eastAsia="Times New Roman" w:cs="Times New Roman"/>
          <w:color w:val="000000"/>
          <w:szCs w:val="24"/>
        </w:rPr>
        <w:t xml:space="preserve"> đồng tỷ lệ tăng 273.6% tăng chủ yếu là khoản đầu tư nắm giữ đến ngày đáo hạn.</w:t>
      </w:r>
    </w:p>
    <w:p w14:paraId="18B531C1" w14:textId="77777777" w:rsidR="0075484B" w:rsidRDefault="0075484B" w:rsidP="008866B3">
      <w:pPr>
        <w:jc w:val="both"/>
      </w:pPr>
      <w:r>
        <w:t xml:space="preserve">b. Phân tích cơ cấu phân bổ tài sản: </w:t>
      </w:r>
    </w:p>
    <w:p w14:paraId="7A42853D" w14:textId="77777777" w:rsidR="00F97438" w:rsidRDefault="0075484B" w:rsidP="008866B3">
      <w:pPr>
        <w:jc w:val="both"/>
      </w:pPr>
      <w:r>
        <w:t>Trong tổng tài sản thì tỷ trọng tài sản ngắn hạ</w:t>
      </w:r>
      <w:r w:rsidR="006327FD">
        <w:t>n</w:t>
      </w:r>
      <w:r>
        <w:t xml:space="preserve"> năm </w:t>
      </w:r>
      <w:r w:rsidR="006327FD">
        <w:t xml:space="preserve">2019 </w:t>
      </w:r>
      <w:r>
        <w:t>chiế</w:t>
      </w:r>
      <w:r w:rsidR="00F97438">
        <w:t>m 29.91</w:t>
      </w:r>
      <w:r w:rsidR="006327FD">
        <w:t xml:space="preserve">% </w:t>
      </w:r>
      <w:r>
        <w:t xml:space="preserve">năm </w:t>
      </w:r>
      <w:r w:rsidR="006327FD">
        <w:t xml:space="preserve">2020 </w:t>
      </w:r>
      <w:r>
        <w:t>chiế</w:t>
      </w:r>
      <w:r w:rsidR="00F97438">
        <w:t>m 43.15</w:t>
      </w:r>
      <w:r>
        <w:t xml:space="preserve"> %(so vớ</w:t>
      </w:r>
      <w:r w:rsidR="006327FD">
        <w:t xml:space="preserve">i </w:t>
      </w:r>
      <w:r>
        <w:t xml:space="preserve">năm </w:t>
      </w:r>
      <w:r w:rsidR="006327FD">
        <w:t xml:space="preserve">2019 thì </w:t>
      </w:r>
      <w:r>
        <w:t xml:space="preserve">năm </w:t>
      </w:r>
      <w:r w:rsidR="006327FD">
        <w:t xml:space="preserve">2020 </w:t>
      </w:r>
      <w:r w:rsidR="00F97438">
        <w:t>tăng 13.24</w:t>
      </w:r>
      <w:r>
        <w:t>%). Trong khi đó tài sản dài hạn năm</w:t>
      </w:r>
      <w:r w:rsidR="006327FD">
        <w:t xml:space="preserve"> 2019</w:t>
      </w:r>
      <w:r>
        <w:t xml:space="preserve"> chiế</w:t>
      </w:r>
      <w:r w:rsidR="00F97438">
        <w:t>m 70.09</w:t>
      </w:r>
      <w:r>
        <w:t xml:space="preserve">% năm </w:t>
      </w:r>
      <w:r w:rsidR="006327FD">
        <w:t xml:space="preserve">2020 </w:t>
      </w:r>
      <w:r>
        <w:t>chiế</w:t>
      </w:r>
      <w:r w:rsidR="00F97438">
        <w:t>m 56.85</w:t>
      </w:r>
      <w:r>
        <w:t>%(so vớ</w:t>
      </w:r>
      <w:r w:rsidR="006327FD">
        <w:t>i</w:t>
      </w:r>
      <w:r>
        <w:t xml:space="preserve"> năm</w:t>
      </w:r>
      <w:r w:rsidR="006327FD">
        <w:t xml:space="preserve"> 2019</w:t>
      </w:r>
      <w:r>
        <w:t xml:space="preserve"> thì năm </w:t>
      </w:r>
      <w:r w:rsidR="006327FD">
        <w:t xml:space="preserve">2020 </w:t>
      </w:r>
      <w:r w:rsidR="00F97438">
        <w:t>giảm 13.24</w:t>
      </w:r>
      <w:r>
        <w:t xml:space="preserve">%). </w:t>
      </w:r>
    </w:p>
    <w:p w14:paraId="64FE63FA" w14:textId="45B5D326" w:rsidR="0075484B" w:rsidRDefault="0075484B" w:rsidP="008866B3">
      <w:pPr>
        <w:jc w:val="both"/>
      </w:pPr>
      <w:r>
        <w:lastRenderedPageBreak/>
        <w:t xml:space="preserve">- Việc </w:t>
      </w:r>
      <w:r w:rsidR="00F97438">
        <w:t>tăng</w:t>
      </w:r>
      <w:r>
        <w:t xml:space="preserve"> tỷ trọng Tài sản ngắn hạn là do </w:t>
      </w:r>
      <w:r w:rsidR="00F97438">
        <w:t>tăng</w:t>
      </w:r>
      <w:r>
        <w:t xml:space="preserve"> tỷ trọng </w:t>
      </w:r>
      <w:r w:rsidR="00123971">
        <w:t>tiền và các khoản tương đương tiền 4.47</w:t>
      </w:r>
      <w:r>
        <w:t xml:space="preserve">% </w:t>
      </w:r>
      <w:r w:rsidR="00123971">
        <w:t xml:space="preserve">năm 2019 đến </w:t>
      </w:r>
      <w:r>
        <w:t xml:space="preserve">năm </w:t>
      </w:r>
      <w:r w:rsidR="00F97438">
        <w:t xml:space="preserve">2020 </w:t>
      </w:r>
      <w:r>
        <w:t xml:space="preserve">chiếm </w:t>
      </w:r>
      <w:r w:rsidR="00123971">
        <w:t>10.41</w:t>
      </w:r>
      <w:r w:rsidR="00F97438">
        <w:t xml:space="preserve">% ( tăng </w:t>
      </w:r>
      <w:r w:rsidR="00123971">
        <w:t>5.95</w:t>
      </w:r>
      <w:r w:rsidR="005F2388">
        <w:t>%)</w:t>
      </w:r>
      <w:r w:rsidR="005F2388">
        <w:sym w:font="Wingdings" w:char="F0E0"/>
      </w:r>
      <w:r w:rsidR="005F2388">
        <w:t xml:space="preserve">Khả năng thanh toán các khoản nợ ngắn hạn tới hạn của </w:t>
      </w:r>
      <w:r w:rsidR="00F721C1">
        <w:t>HPG</w:t>
      </w:r>
      <w:r w:rsidR="005F2388">
        <w:t xml:space="preserve"> được đảm bảo hơn.</w:t>
      </w:r>
    </w:p>
    <w:p w14:paraId="0E4E608A" w14:textId="7B877CB7" w:rsidR="0075484B" w:rsidRPr="005F2388" w:rsidRDefault="00123971" w:rsidP="008866B3">
      <w:pPr>
        <w:jc w:val="both"/>
      </w:pPr>
      <w:r>
        <w:t>- T</w:t>
      </w:r>
      <w:r w:rsidR="0075484B">
        <w:t xml:space="preserve">ỷ trọng tài sản dài hạn </w:t>
      </w:r>
      <w:r>
        <w:t>giảm nhưng</w:t>
      </w:r>
      <w:r w:rsidR="0075484B">
        <w:t xml:space="preserve"> tỷ trọng tài sản cố định</w:t>
      </w:r>
      <w:r>
        <w:t xml:space="preserve"> lại tăng mạnh, cụ thể</w:t>
      </w:r>
      <w:r w:rsidR="0075484B">
        <w:t xml:space="preserve"> năm </w:t>
      </w:r>
      <w:r>
        <w:t>2019 là 30.7</w:t>
      </w:r>
      <w:r w:rsidR="0075484B">
        <w:t xml:space="preserve">% năm </w:t>
      </w:r>
      <w:r>
        <w:t xml:space="preserve">2020 là 49.85 </w:t>
      </w:r>
      <w:r w:rsidR="00F16510">
        <w:t>% (tăng 19.15</w:t>
      </w:r>
      <w:r w:rsidR="0075484B">
        <w:t xml:space="preserve">%) </w:t>
      </w:r>
      <w:r w:rsidR="005F2388">
        <w:sym w:font="Wingdings" w:char="F0E0"/>
      </w:r>
      <w:r w:rsidR="0075484B">
        <w:t>Như vậy việc tăng tỷ trọng tài sản cố định hữu hình chứng tỏ</w:t>
      </w:r>
      <w:r w:rsidR="00F97438">
        <w:t xml:space="preserve"> công ty </w:t>
      </w:r>
      <w:r w:rsidR="00F16510">
        <w:t>đang mở rộng kinh doanh</w:t>
      </w:r>
      <w:r w:rsidR="007379D9">
        <w:t>.</w:t>
      </w:r>
    </w:p>
    <w:p w14:paraId="239AE944" w14:textId="77777777" w:rsidR="00A80C31" w:rsidRPr="001559BF" w:rsidRDefault="0060700A" w:rsidP="008866B3">
      <w:pPr>
        <w:jc w:val="both"/>
        <w:rPr>
          <w:b/>
        </w:rPr>
      </w:pPr>
      <w:r w:rsidRPr="001559BF">
        <w:rPr>
          <w:b/>
        </w:rPr>
        <w:t>Giai đoạn 2020-2021:</w:t>
      </w:r>
    </w:p>
    <w:p w14:paraId="08F3AD4C" w14:textId="77777777" w:rsidR="00EF73A8" w:rsidRDefault="00EF73A8" w:rsidP="008866B3">
      <w:pPr>
        <w:jc w:val="both"/>
      </w:pPr>
      <w:r>
        <w:t>a. Phân tích sự biến động của tài sản:</w:t>
      </w:r>
    </w:p>
    <w:p w14:paraId="074BFD0D" w14:textId="08D2EA57" w:rsidR="004F7B0D" w:rsidRDefault="00142554" w:rsidP="008866B3">
      <w:pPr>
        <w:jc w:val="both"/>
        <w:rPr>
          <w:rFonts w:eastAsia="Times New Roman" w:cs="Times New Roman"/>
          <w:color w:val="000000"/>
          <w:szCs w:val="24"/>
        </w:rPr>
      </w:pPr>
      <w:r>
        <w:t xml:space="preserve">Tài sản ngắn hạn tăng </w:t>
      </w:r>
      <w:r w:rsidR="00464E1D">
        <w:t>thêm</w:t>
      </w:r>
      <w:r w:rsidRPr="00142554">
        <w:t xml:space="preserve"> </w:t>
      </w:r>
      <w:r w:rsidR="0060700A" w:rsidRPr="0060700A">
        <w:t xml:space="preserve">37,407,601,451,294 </w:t>
      </w:r>
      <w:r>
        <w:t>đồ</w:t>
      </w:r>
      <w:r w:rsidR="0060700A">
        <w:t>ng tăng 65.92%</w:t>
      </w:r>
      <w:r>
        <w:t xml:space="preserve"> so vớ</w:t>
      </w:r>
      <w:r w:rsidR="0060700A">
        <w:t>i năm 2020 và tỷ trọng chệnh lệch là 9.68%</w:t>
      </w:r>
      <w:r w:rsidR="00464E1D">
        <w:t>, ở năm 2021 tài sản ngắn hạn đạt mốc</w:t>
      </w:r>
      <w:r w:rsidR="00464E1D" w:rsidRPr="00464E1D">
        <w:t xml:space="preserve"> 94,154,859,648,304</w:t>
      </w:r>
      <w:r w:rsidR="00464E1D">
        <w:t xml:space="preserve"> đồng chiếm 52,83% trong tổng tài sả</w:t>
      </w:r>
      <w:r w:rsidR="002F3CD0">
        <w:t>n</w:t>
      </w:r>
      <w:r w:rsidR="00C2327D">
        <w:t>. Theo như tình hình thực tế thì năm 2021 là năm mà sự ảnh hưởng của COVID-19 giảm dần và kéo theo dó là sự tái hoạt động của nhiều doanh nghiệp ở Việt Nam, các công trình xây dựng tái khởi động số lượng lớn nên nhu cầu về</w:t>
      </w:r>
      <w:r w:rsidR="00B825C1">
        <w:t xml:space="preserve"> thép cũng tăng khá nhanh, nắm bắt được nhu cầu này </w:t>
      </w:r>
      <w:r w:rsidR="00F721C1">
        <w:t>HPG</w:t>
      </w:r>
      <w:r w:rsidR="00B825C1">
        <w:t xml:space="preserve"> đã chủ động tăng</w:t>
      </w:r>
      <w:r w:rsidR="00535AFA">
        <w:t xml:space="preserve"> </w:t>
      </w:r>
      <w:r w:rsidR="00B825C1">
        <w:t>hàng tồ</w:t>
      </w:r>
      <w:r w:rsidR="00D71D45">
        <w:t>n kho thêm</w:t>
      </w:r>
      <w:r w:rsidR="0060700A" w:rsidRPr="0060700A">
        <w:rPr>
          <w:rFonts w:eastAsia="Times New Roman" w:cs="Times New Roman"/>
          <w:color w:val="000000"/>
          <w:szCs w:val="24"/>
        </w:rPr>
        <w:t xml:space="preserve"> 15,847,671,703,008 </w:t>
      </w:r>
      <w:r w:rsidR="00B825C1">
        <w:rPr>
          <w:rFonts w:eastAsia="Times New Roman" w:cs="Times New Roman"/>
          <w:color w:val="000000"/>
          <w:szCs w:val="24"/>
        </w:rPr>
        <w:t>đ</w:t>
      </w:r>
      <w:r w:rsidR="0060700A">
        <w:rPr>
          <w:rFonts w:eastAsia="Times New Roman" w:cs="Times New Roman"/>
          <w:color w:val="000000"/>
          <w:szCs w:val="24"/>
        </w:rPr>
        <w:t>ồng so với năm 2020 và tỷ lệ tăng là 60.92</w:t>
      </w:r>
      <w:r w:rsidR="00D71D45">
        <w:rPr>
          <w:rFonts w:eastAsia="Times New Roman" w:cs="Times New Roman"/>
          <w:color w:val="000000"/>
          <w:szCs w:val="24"/>
        </w:rPr>
        <w:t>%, hàng tồn kho năm 2021 là</w:t>
      </w:r>
      <w:r w:rsidR="00B825C1" w:rsidRPr="00B825C1">
        <w:rPr>
          <w:rFonts w:eastAsia="Times New Roman" w:cs="Times New Roman"/>
          <w:color w:val="000000"/>
          <w:szCs w:val="24"/>
        </w:rPr>
        <w:t xml:space="preserve"> 42,134,493,932,210</w:t>
      </w:r>
      <w:r w:rsidR="003C719D">
        <w:rPr>
          <w:rFonts w:eastAsia="Times New Roman" w:cs="Times New Roman"/>
          <w:color w:val="000000"/>
          <w:szCs w:val="24"/>
        </w:rPr>
        <w:t xml:space="preserve"> đồng chiếm 23,64%, s</w:t>
      </w:r>
      <w:r w:rsidR="003C719D">
        <w:t>ự tăng lên của hàng tồn kho có thể là do quy mô sản suất kinh doanh của công ty tăng lên. Nhưng sự tăng lên này chỉ được đánh giá là hợp lý khi quá trình mở rộng quy mô sản xuất kinh doanh đạt hiệu quả,</w:t>
      </w:r>
      <w:r w:rsidR="00B825C1">
        <w:rPr>
          <w:rFonts w:eastAsia="Times New Roman" w:cs="Times New Roman"/>
          <w:color w:val="000000"/>
          <w:szCs w:val="24"/>
        </w:rPr>
        <w:t xml:space="preserve"> </w:t>
      </w:r>
      <w:r w:rsidR="003C719D">
        <w:rPr>
          <w:rFonts w:eastAsia="Times New Roman" w:cs="Times New Roman"/>
          <w:color w:val="000000"/>
          <w:szCs w:val="24"/>
        </w:rPr>
        <w:t xml:space="preserve">việc nhập kho tăng mạnh sẽ kéo theo việc trích lập dự phòng cũng tăng mạnh </w:t>
      </w:r>
      <w:r w:rsidR="00B825C1">
        <w:rPr>
          <w:rFonts w:eastAsia="Times New Roman" w:cs="Times New Roman"/>
          <w:color w:val="000000"/>
          <w:szCs w:val="24"/>
        </w:rPr>
        <w:t xml:space="preserve">ở năm 2021 </w:t>
      </w:r>
      <w:r w:rsidR="00C6150C">
        <w:rPr>
          <w:rFonts w:eastAsia="Times New Roman" w:cs="Times New Roman"/>
          <w:color w:val="000000"/>
          <w:szCs w:val="24"/>
        </w:rPr>
        <w:t xml:space="preserve">là </w:t>
      </w:r>
      <w:r w:rsidR="0060700A" w:rsidRPr="0060700A">
        <w:rPr>
          <w:rFonts w:eastAsia="Times New Roman" w:cs="Times New Roman"/>
          <w:color w:val="000000"/>
          <w:szCs w:val="24"/>
        </w:rPr>
        <w:t>(148,979,875,748)</w:t>
      </w:r>
      <w:r w:rsidR="00B825C1">
        <w:rPr>
          <w:rFonts w:eastAsia="Times New Roman" w:cs="Times New Roman"/>
          <w:color w:val="000000"/>
          <w:szCs w:val="24"/>
        </w:rPr>
        <w:t xml:space="preserve"> </w:t>
      </w:r>
      <w:r w:rsidR="0060700A">
        <w:rPr>
          <w:rFonts w:eastAsia="Times New Roman" w:cs="Times New Roman"/>
          <w:color w:val="000000"/>
          <w:szCs w:val="24"/>
        </w:rPr>
        <w:t>đồng tăng 172.15% so với 2020</w:t>
      </w:r>
      <w:r w:rsidR="003C719D">
        <w:rPr>
          <w:rFonts w:eastAsia="Times New Roman" w:cs="Times New Roman"/>
          <w:color w:val="000000"/>
          <w:szCs w:val="24"/>
        </w:rPr>
        <w:t>.</w:t>
      </w:r>
    </w:p>
    <w:p w14:paraId="0937974B" w14:textId="0120CB4E" w:rsidR="00535AFA" w:rsidRDefault="00535AFA" w:rsidP="008866B3">
      <w:pPr>
        <w:jc w:val="both"/>
        <w:rPr>
          <w:rFonts w:eastAsia="Times New Roman" w:cs="Times New Roman"/>
          <w:color w:val="000000"/>
          <w:szCs w:val="24"/>
        </w:rPr>
      </w:pPr>
      <w:r>
        <w:rPr>
          <w:rFonts w:eastAsia="Times New Roman" w:cs="Times New Roman"/>
          <w:color w:val="000000"/>
          <w:szCs w:val="24"/>
        </w:rPr>
        <w:t>Tiền và các khoản tương đương tiền tăng lần lượt là</w:t>
      </w:r>
      <w:r w:rsidRPr="00535AFA">
        <w:rPr>
          <w:rFonts w:eastAsia="Times New Roman" w:cs="Times New Roman"/>
          <w:color w:val="000000"/>
          <w:szCs w:val="24"/>
        </w:rPr>
        <w:t xml:space="preserve"> 4,221,985,368,282</w:t>
      </w:r>
      <w:r>
        <w:rPr>
          <w:rFonts w:eastAsia="Times New Roman" w:cs="Times New Roman"/>
          <w:color w:val="000000"/>
          <w:szCs w:val="24"/>
        </w:rPr>
        <w:t xml:space="preserve"> đồng và </w:t>
      </w:r>
      <w:r w:rsidRPr="00535AFA">
        <w:rPr>
          <w:rFonts w:eastAsia="Times New Roman" w:cs="Times New Roman"/>
          <w:color w:val="000000"/>
          <w:szCs w:val="24"/>
        </w:rPr>
        <w:t xml:space="preserve">         4,553,290,895,620 </w:t>
      </w:r>
      <w:r>
        <w:rPr>
          <w:rFonts w:eastAsia="Times New Roman" w:cs="Times New Roman"/>
          <w:color w:val="000000"/>
          <w:szCs w:val="24"/>
        </w:rPr>
        <w:t xml:space="preserve">đồng đi kèm theo là tỷ lệ tăng là 201.59% và 39.25%. Các khoản phải thu ngắn hạn </w:t>
      </w:r>
      <w:r w:rsidR="00D04352">
        <w:rPr>
          <w:rFonts w:eastAsia="Times New Roman" w:cs="Times New Roman"/>
          <w:color w:val="000000"/>
          <w:szCs w:val="24"/>
        </w:rPr>
        <w:t>có</w:t>
      </w:r>
      <w:r>
        <w:rPr>
          <w:rFonts w:eastAsia="Times New Roman" w:cs="Times New Roman"/>
          <w:color w:val="000000"/>
          <w:szCs w:val="24"/>
        </w:rPr>
        <w:t xml:space="preserve"> tăng </w:t>
      </w:r>
      <w:r w:rsidR="00D04352">
        <w:rPr>
          <w:rFonts w:eastAsia="Times New Roman" w:cs="Times New Roman"/>
          <w:color w:val="000000"/>
          <w:szCs w:val="24"/>
        </w:rPr>
        <w:t xml:space="preserve">25.11% trong đó phải thu ngắn hạn </w:t>
      </w:r>
      <w:r w:rsidR="00B529CE">
        <w:rPr>
          <w:rFonts w:eastAsia="Times New Roman" w:cs="Times New Roman"/>
          <w:color w:val="000000"/>
          <w:szCs w:val="24"/>
        </w:rPr>
        <w:t xml:space="preserve">khách hàng </w:t>
      </w:r>
      <w:r w:rsidR="00D04352">
        <w:rPr>
          <w:rFonts w:eastAsia="Times New Roman" w:cs="Times New Roman"/>
          <w:color w:val="000000"/>
          <w:szCs w:val="24"/>
        </w:rPr>
        <w:t xml:space="preserve">tăng đến 25.92% tương đương 1,023,608,729,093 đồng, </w:t>
      </w:r>
      <w:r w:rsidR="00F721C1">
        <w:rPr>
          <w:rFonts w:eastAsia="Times New Roman" w:cs="Times New Roman"/>
          <w:color w:val="000000"/>
          <w:szCs w:val="24"/>
        </w:rPr>
        <w:t>HPG</w:t>
      </w:r>
      <w:r w:rsidR="00D04352">
        <w:rPr>
          <w:rFonts w:eastAsia="Times New Roman" w:cs="Times New Roman"/>
          <w:color w:val="000000"/>
          <w:szCs w:val="24"/>
        </w:rPr>
        <w:t xml:space="preserve"> đang bị chiếm dụng vốn</w:t>
      </w:r>
      <w:r w:rsidR="00262FA2">
        <w:rPr>
          <w:rFonts w:eastAsia="Times New Roman" w:cs="Times New Roman"/>
          <w:color w:val="000000"/>
          <w:szCs w:val="24"/>
        </w:rPr>
        <w:t xml:space="preserve">. </w:t>
      </w:r>
      <w:r w:rsidR="00D81AC4">
        <w:rPr>
          <w:rFonts w:eastAsia="Times New Roman" w:cs="Times New Roman"/>
          <w:color w:val="000000"/>
          <w:szCs w:val="24"/>
        </w:rPr>
        <w:t xml:space="preserve">Khoản đầu tư tài chính ngắn hạn tăng </w:t>
      </w:r>
      <w:r w:rsidR="00D81AC4" w:rsidRPr="00D81AC4">
        <w:rPr>
          <w:rFonts w:eastAsia="Times New Roman" w:cs="Times New Roman"/>
          <w:color w:val="000000"/>
          <w:szCs w:val="24"/>
        </w:rPr>
        <w:t>10,109,159,940,698</w:t>
      </w:r>
      <w:r w:rsidR="00B47679">
        <w:rPr>
          <w:rFonts w:eastAsia="Times New Roman" w:cs="Times New Roman"/>
          <w:color w:val="000000"/>
          <w:szCs w:val="24"/>
        </w:rPr>
        <w:t xml:space="preserve"> đồng, tỷ lệ tăng là 134.29% theo thuyết minh báo cáo tài chính thì khoản mục này là tiền gửi ngân hàng có kì hạn còn lại không quá 12 tháng, khoản này vừa mang lại 1 khoản thu vừa có thể sử dụng như phương tiện dự trữ khoản tương đương tiền kha khá có khả năng tài trợ cho các khoản nợ ngắn hạn.</w:t>
      </w:r>
    </w:p>
    <w:p w14:paraId="34B3DB3C" w14:textId="1CA0B689" w:rsidR="00B47679" w:rsidRDefault="00B47679" w:rsidP="008866B3">
      <w:pPr>
        <w:jc w:val="both"/>
        <w:rPr>
          <w:rFonts w:eastAsia="Times New Roman" w:cs="Times New Roman"/>
          <w:color w:val="000000"/>
          <w:szCs w:val="24"/>
        </w:rPr>
      </w:pPr>
      <w:r>
        <w:rPr>
          <w:rFonts w:eastAsia="Times New Roman" w:cs="Times New Roman"/>
          <w:color w:val="000000"/>
          <w:szCs w:val="24"/>
        </w:rPr>
        <w:t xml:space="preserve">Tài sản dài hạn tăng </w:t>
      </w:r>
      <w:r w:rsidRPr="00B47679">
        <w:rPr>
          <w:rFonts w:eastAsia="Times New Roman" w:cs="Times New Roman"/>
          <w:color w:val="000000"/>
          <w:szCs w:val="24"/>
        </w:rPr>
        <w:t xml:space="preserve"> 9,317,386,518,118</w:t>
      </w:r>
      <w:r>
        <w:rPr>
          <w:rFonts w:eastAsia="Times New Roman" w:cs="Times New Roman"/>
          <w:color w:val="000000"/>
          <w:szCs w:val="24"/>
        </w:rPr>
        <w:t xml:space="preserve"> đồng với tỷ lệ tăng là 12.49% so với năm 2020 </w:t>
      </w:r>
      <w:r w:rsidR="00595577">
        <w:rPr>
          <w:rFonts w:eastAsia="Times New Roman" w:cs="Times New Roman"/>
          <w:color w:val="000000"/>
          <w:szCs w:val="24"/>
        </w:rPr>
        <w:t>và tỷ trọng chênh lệch là -9.68%</w:t>
      </w:r>
      <w:r w:rsidR="00990C2C">
        <w:rPr>
          <w:rFonts w:eastAsia="Times New Roman" w:cs="Times New Roman"/>
          <w:color w:val="000000"/>
          <w:szCs w:val="24"/>
        </w:rPr>
        <w:t>, ở năm 2021 tài sản dài hạn đạt mốc</w:t>
      </w:r>
      <w:r w:rsidR="00B529CE">
        <w:rPr>
          <w:rFonts w:eastAsia="Times New Roman" w:cs="Times New Roman"/>
          <w:color w:val="000000"/>
          <w:szCs w:val="24"/>
        </w:rPr>
        <w:t xml:space="preserve"> 84,081,562,709,945 đồng chiếm 47.17% trong tổng tài sản. T</w:t>
      </w:r>
      <w:r w:rsidR="00595577">
        <w:rPr>
          <w:rFonts w:eastAsia="Times New Roman" w:cs="Times New Roman"/>
          <w:color w:val="000000"/>
          <w:szCs w:val="24"/>
        </w:rPr>
        <w:t>ài sản cố đ</w:t>
      </w:r>
      <w:r w:rsidR="00FB36E2">
        <w:rPr>
          <w:rFonts w:eastAsia="Times New Roman" w:cs="Times New Roman"/>
          <w:color w:val="000000"/>
          <w:szCs w:val="24"/>
        </w:rPr>
        <w:t>ịnh và</w:t>
      </w:r>
      <w:r w:rsidR="00595577">
        <w:rPr>
          <w:rFonts w:eastAsia="Times New Roman" w:cs="Times New Roman"/>
          <w:color w:val="000000"/>
          <w:szCs w:val="24"/>
        </w:rPr>
        <w:t xml:space="preserve"> tài sản dở dang dài hạn tăng lần lượt là </w:t>
      </w:r>
      <w:r w:rsidR="00595577" w:rsidRPr="00595577">
        <w:rPr>
          <w:rFonts w:eastAsia="Times New Roman" w:cs="Times New Roman"/>
          <w:color w:val="000000"/>
          <w:szCs w:val="24"/>
        </w:rPr>
        <w:t xml:space="preserve"> 3,719,184,603,867</w:t>
      </w:r>
      <w:r w:rsidR="00595577">
        <w:rPr>
          <w:rFonts w:eastAsia="Times New Roman" w:cs="Times New Roman"/>
          <w:color w:val="000000"/>
          <w:szCs w:val="24"/>
        </w:rPr>
        <w:t xml:space="preserve"> đồng tương đương với tỷ lệ tăng là 5.67% </w:t>
      </w:r>
      <w:r w:rsidR="00FB36E2">
        <w:rPr>
          <w:rFonts w:eastAsia="Times New Roman" w:cs="Times New Roman"/>
          <w:color w:val="000000"/>
          <w:szCs w:val="24"/>
        </w:rPr>
        <w:t xml:space="preserve"> và </w:t>
      </w:r>
      <w:r w:rsidR="00FB36E2" w:rsidRPr="00FB36E2">
        <w:rPr>
          <w:rFonts w:eastAsia="Times New Roman" w:cs="Times New Roman"/>
          <w:color w:val="000000"/>
          <w:szCs w:val="24"/>
        </w:rPr>
        <w:t xml:space="preserve"> 3,451,485,890,719</w:t>
      </w:r>
      <w:r w:rsidR="00FB36E2">
        <w:rPr>
          <w:rFonts w:eastAsia="Times New Roman" w:cs="Times New Roman"/>
          <w:color w:val="000000"/>
          <w:szCs w:val="24"/>
        </w:rPr>
        <w:t xml:space="preserve"> đồng với tỷ lệ tăng là 55.25%, tài sản cố định tăng chủ yếu ở </w:t>
      </w:r>
      <w:r w:rsidR="00AE35F7">
        <w:rPr>
          <w:rFonts w:eastAsia="Times New Roman" w:cs="Times New Roman"/>
          <w:color w:val="000000"/>
          <w:szCs w:val="24"/>
        </w:rPr>
        <w:t>phần tài sản cố định hữu hình với mức tăng là 3,436,306,061,566 đồng</w:t>
      </w:r>
      <w:r w:rsidR="00061069">
        <w:rPr>
          <w:rFonts w:eastAsia="Times New Roman" w:cs="Times New Roman"/>
          <w:color w:val="000000"/>
          <w:szCs w:val="24"/>
        </w:rPr>
        <w:t xml:space="preserve">, </w:t>
      </w:r>
      <w:r w:rsidR="00AE35F7">
        <w:rPr>
          <w:rFonts w:eastAsia="Times New Roman" w:cs="Times New Roman"/>
          <w:color w:val="000000"/>
          <w:szCs w:val="24"/>
        </w:rPr>
        <w:t>tỷ lệ tăng là 5.26%</w:t>
      </w:r>
      <w:r w:rsidR="00061069">
        <w:rPr>
          <w:rFonts w:eastAsia="Times New Roman" w:cs="Times New Roman"/>
          <w:color w:val="000000"/>
          <w:szCs w:val="24"/>
        </w:rPr>
        <w:t xml:space="preserve"> và</w:t>
      </w:r>
      <w:r w:rsidR="00FB36E2">
        <w:rPr>
          <w:rFonts w:eastAsia="Times New Roman" w:cs="Times New Roman"/>
          <w:color w:val="000000"/>
          <w:szCs w:val="24"/>
        </w:rPr>
        <w:t xml:space="preserve"> phần </w:t>
      </w:r>
      <w:r w:rsidR="00061069">
        <w:rPr>
          <w:rFonts w:eastAsia="Times New Roman" w:cs="Times New Roman"/>
          <w:color w:val="000000"/>
          <w:szCs w:val="24"/>
        </w:rPr>
        <w:t>xây dựng cơ bản dở dang dài hạn,</w:t>
      </w:r>
      <w:r w:rsidR="00AE35F7">
        <w:rPr>
          <w:rFonts w:eastAsia="Times New Roman" w:cs="Times New Roman"/>
          <w:color w:val="000000"/>
          <w:szCs w:val="24"/>
        </w:rPr>
        <w:t xml:space="preserve"> theo thuyết minh báo cáo tài chính thì</w:t>
      </w:r>
      <w:r w:rsidR="00FB36E2">
        <w:rPr>
          <w:rFonts w:eastAsia="Times New Roman" w:cs="Times New Roman"/>
          <w:color w:val="000000"/>
          <w:szCs w:val="24"/>
        </w:rPr>
        <w:t xml:space="preserve"> </w:t>
      </w:r>
      <w:r w:rsidR="00AE35F7">
        <w:rPr>
          <w:rFonts w:eastAsia="Times New Roman" w:cs="Times New Roman"/>
          <w:color w:val="000000"/>
          <w:szCs w:val="24"/>
        </w:rPr>
        <w:t xml:space="preserve">khoản </w:t>
      </w:r>
      <w:r w:rsidR="00FB36E2">
        <w:rPr>
          <w:rFonts w:eastAsia="Times New Roman" w:cs="Times New Roman"/>
          <w:color w:val="000000"/>
          <w:szCs w:val="24"/>
        </w:rPr>
        <w:t>tăng</w:t>
      </w:r>
      <w:r w:rsidR="00AE35F7">
        <w:rPr>
          <w:rFonts w:eastAsia="Times New Roman" w:cs="Times New Roman"/>
          <w:color w:val="000000"/>
          <w:szCs w:val="24"/>
        </w:rPr>
        <w:t xml:space="preserve"> này là</w:t>
      </w:r>
      <w:r w:rsidR="00FB36E2">
        <w:rPr>
          <w:rFonts w:eastAsia="Times New Roman" w:cs="Times New Roman"/>
          <w:color w:val="000000"/>
          <w:szCs w:val="24"/>
        </w:rPr>
        <w:t xml:space="preserve"> nhờ </w:t>
      </w:r>
      <w:r w:rsidR="00061069">
        <w:rPr>
          <w:rFonts w:eastAsia="Times New Roman" w:cs="Times New Roman"/>
          <w:color w:val="000000"/>
          <w:szCs w:val="24"/>
        </w:rPr>
        <w:t xml:space="preserve">các </w:t>
      </w:r>
      <w:r w:rsidR="00FB36E2">
        <w:rPr>
          <w:rFonts w:eastAsia="Times New Roman" w:cs="Times New Roman"/>
          <w:color w:val="000000"/>
          <w:szCs w:val="24"/>
        </w:rPr>
        <w:t>dự án</w:t>
      </w:r>
      <w:r w:rsidR="00061069" w:rsidRPr="00061069">
        <w:rPr>
          <w:rFonts w:eastAsia="Times New Roman" w:cs="Times New Roman"/>
          <w:color w:val="000000"/>
          <w:szCs w:val="24"/>
        </w:rPr>
        <w:t xml:space="preserve"> </w:t>
      </w:r>
      <w:r w:rsidR="00061069">
        <w:rPr>
          <w:rFonts w:eastAsia="Times New Roman" w:cs="Times New Roman"/>
          <w:color w:val="000000"/>
          <w:szCs w:val="24"/>
        </w:rPr>
        <w:t xml:space="preserve">đang trong quá trình xây dựng cơ bản dở dang như Khu liên hợp và nhà máy với mức tăng là 2,960,542,575,560 đồng, tỷ lệ tăng 55.56% với tỷ lệ tăng khá cao thì có thể thấy </w:t>
      </w:r>
      <w:r w:rsidR="00F721C1">
        <w:rPr>
          <w:rFonts w:eastAsia="Times New Roman" w:cs="Times New Roman"/>
          <w:color w:val="000000"/>
          <w:szCs w:val="24"/>
        </w:rPr>
        <w:t>HPG</w:t>
      </w:r>
      <w:r w:rsidR="00061069">
        <w:rPr>
          <w:rFonts w:eastAsia="Times New Roman" w:cs="Times New Roman"/>
          <w:color w:val="000000"/>
          <w:szCs w:val="24"/>
        </w:rPr>
        <w:t xml:space="preserve"> đang muốn</w:t>
      </w:r>
      <w:r w:rsidR="006327FD">
        <w:rPr>
          <w:rFonts w:eastAsia="Times New Roman" w:cs="Times New Roman"/>
          <w:color w:val="000000"/>
          <w:szCs w:val="24"/>
        </w:rPr>
        <w:t xml:space="preserve"> mở rộng quy mô về kinh doanh</w:t>
      </w:r>
      <w:r w:rsidR="00061069">
        <w:rPr>
          <w:rFonts w:eastAsia="Times New Roman" w:cs="Times New Roman"/>
          <w:color w:val="000000"/>
          <w:szCs w:val="24"/>
        </w:rPr>
        <w:t>. Bất động sản giảm 2.85% tương đương (16,086,218,678.</w:t>
      </w:r>
      <w:r w:rsidR="00061069" w:rsidRPr="00061069">
        <w:rPr>
          <w:rFonts w:eastAsia="Times New Roman" w:cs="Times New Roman"/>
          <w:color w:val="000000"/>
          <w:szCs w:val="24"/>
        </w:rPr>
        <w:t>)</w:t>
      </w:r>
      <w:r w:rsidR="00F21383">
        <w:rPr>
          <w:rFonts w:eastAsia="Times New Roman" w:cs="Times New Roman"/>
          <w:color w:val="000000"/>
          <w:szCs w:val="24"/>
        </w:rPr>
        <w:t xml:space="preserve"> đồng, chủ yếu giảm nhờ giá trị hào mòn lũy kế đã tăng (32,974,519,236.</w:t>
      </w:r>
      <w:r w:rsidR="00F21383" w:rsidRPr="00F21383">
        <w:rPr>
          <w:rFonts w:eastAsia="Times New Roman" w:cs="Times New Roman"/>
          <w:color w:val="000000"/>
          <w:szCs w:val="24"/>
        </w:rPr>
        <w:t>)</w:t>
      </w:r>
      <w:r w:rsidR="00F21383">
        <w:rPr>
          <w:rFonts w:eastAsia="Times New Roman" w:cs="Times New Roman"/>
          <w:color w:val="000000"/>
          <w:szCs w:val="24"/>
        </w:rPr>
        <w:t xml:space="preserve"> đồng với tỷ lệ tăng là 28.03%.</w:t>
      </w:r>
      <w:r w:rsidR="00105BA7" w:rsidRPr="00F21383">
        <w:rPr>
          <w:rFonts w:eastAsia="Times New Roman" w:cs="Times New Roman"/>
          <w:color w:val="000000"/>
          <w:szCs w:val="24"/>
        </w:rPr>
        <w:t xml:space="preserve"> </w:t>
      </w:r>
      <w:r w:rsidR="000471CE">
        <w:rPr>
          <w:rFonts w:eastAsia="Times New Roman" w:cs="Times New Roman"/>
          <w:color w:val="000000"/>
          <w:szCs w:val="24"/>
        </w:rPr>
        <w:t>Về các</w:t>
      </w:r>
      <w:r w:rsidR="00105BA7">
        <w:rPr>
          <w:rFonts w:eastAsia="Times New Roman" w:cs="Times New Roman"/>
          <w:color w:val="000000"/>
          <w:szCs w:val="24"/>
        </w:rPr>
        <w:t xml:space="preserve"> khoản phải thu dài hạn tăng</w:t>
      </w:r>
      <w:r w:rsidR="00105BA7" w:rsidRPr="00105BA7">
        <w:rPr>
          <w:rFonts w:eastAsia="Times New Roman" w:cs="Times New Roman"/>
          <w:color w:val="000000"/>
          <w:szCs w:val="24"/>
        </w:rPr>
        <w:t xml:space="preserve"> 504,069,400,538 </w:t>
      </w:r>
      <w:r w:rsidR="00105BA7">
        <w:rPr>
          <w:rFonts w:eastAsia="Times New Roman" w:cs="Times New Roman"/>
          <w:color w:val="000000"/>
          <w:szCs w:val="24"/>
        </w:rPr>
        <w:t>đồng với tỷ lệ 165.18% chủ yếu là từ hoạt động cho vay</w:t>
      </w:r>
      <w:r w:rsidR="000471CE">
        <w:rPr>
          <w:rFonts w:eastAsia="Times New Roman" w:cs="Times New Roman"/>
          <w:color w:val="000000"/>
          <w:szCs w:val="24"/>
        </w:rPr>
        <w:t>, riêng đầu tư tài chính dài hạn chưa thể đánh giá chính xác tăng giảm ra sao.</w:t>
      </w:r>
    </w:p>
    <w:p w14:paraId="72EE4F1B" w14:textId="77777777" w:rsidR="00EF73A8" w:rsidRDefault="00EF73A8" w:rsidP="008866B3">
      <w:pPr>
        <w:jc w:val="both"/>
      </w:pPr>
      <w:r>
        <w:lastRenderedPageBreak/>
        <w:t xml:space="preserve">b. Phân tích cơ cấu phân bổ tài sản: </w:t>
      </w:r>
    </w:p>
    <w:p w14:paraId="3B5DB57F" w14:textId="77777777" w:rsidR="00A33BFC" w:rsidRDefault="00A33BFC" w:rsidP="008866B3">
      <w:pPr>
        <w:jc w:val="both"/>
      </w:pPr>
      <w:r>
        <w:t xml:space="preserve">Trong tổng tài sản thì tỷ trọng tài sản ngắn hạn năm 2020 chiếm 43.15% năm 2021 chiếm 52.83 %(so với năm 2020 thì năm 2021 tăng 9.68 %). Trong khi đó tài sản dài hạn năm 2020 chiếm 56.85% năm 2021 chiếm 47.17%(so với năm 2020 thì năm 2021 giảm 9.68%). </w:t>
      </w:r>
    </w:p>
    <w:p w14:paraId="15089830" w14:textId="511864CE" w:rsidR="005F2388" w:rsidRPr="00FB36E2" w:rsidRDefault="00A33BFC" w:rsidP="008866B3">
      <w:pPr>
        <w:jc w:val="both"/>
        <w:rPr>
          <w:rFonts w:eastAsia="Times New Roman" w:cs="Times New Roman"/>
          <w:color w:val="000000"/>
          <w:szCs w:val="24"/>
        </w:rPr>
      </w:pPr>
      <w:r>
        <w:t>- Việc tăng tỷ trọng Tài sản ngắn hạn là do tăng tỷ trọng hàng tồn kho 19.99% năm 2019 đến năm 2020 chiếm 23.64% ( tăng 3.65</w:t>
      </w:r>
      <w:r w:rsidR="005F2388">
        <w:t>%)</w:t>
      </w:r>
      <w:r w:rsidR="005F2388" w:rsidRPr="005F2388">
        <w:t xml:space="preserve"> </w:t>
      </w:r>
      <w:r w:rsidR="005F2388">
        <w:sym w:font="Wingdings" w:char="F0E0"/>
      </w:r>
      <w:r w:rsidR="00F721C1">
        <w:t>HPG</w:t>
      </w:r>
      <w:r w:rsidR="005F2388">
        <w:t xml:space="preserve"> muốn tập trung vào phân phối và chiếm thị phần hơn</w:t>
      </w:r>
    </w:p>
    <w:p w14:paraId="05C3351E" w14:textId="43B19F3B" w:rsidR="00C655DB" w:rsidRPr="005F2388" w:rsidRDefault="00A33BFC" w:rsidP="008866B3">
      <w:pPr>
        <w:jc w:val="both"/>
      </w:pPr>
      <w:r>
        <w:t>- Tỷ trọng tài sản dài hạn giả</w:t>
      </w:r>
      <w:r w:rsidR="00B7701C">
        <w:t>m do</w:t>
      </w:r>
      <w:r>
        <w:t xml:space="preserve"> tỷ trọng đầu tư tài chính giảm, cụ thể năm 2020 là 0.13% năm 2021 là 0.0038 % (giảm 0.1262%) </w:t>
      </w:r>
      <w:r w:rsidR="005F2388">
        <w:sym w:font="Wingdings" w:char="F0E0"/>
      </w:r>
      <w:r w:rsidR="005F2388">
        <w:t xml:space="preserve">Do giai đoạn 2019-2020 </w:t>
      </w:r>
      <w:r w:rsidR="00F721C1">
        <w:t>HPG</w:t>
      </w:r>
      <w:r w:rsidR="005F2388">
        <w:t xml:space="preserve"> đã gần như hoàn thành toàn bộ khoản xây dựng cơ bản dở dang nên giai đoạn này tài sản dài hạn</w:t>
      </w:r>
      <w:r w:rsidR="006F2092">
        <w:t xml:space="preserve"> không tăng</w:t>
      </w:r>
      <w:r w:rsidR="005F2388">
        <w:t xml:space="preserve"> thêm nữa.</w:t>
      </w:r>
    </w:p>
    <w:p w14:paraId="2FCC9D49" w14:textId="304F756A" w:rsidR="00B825C1" w:rsidRPr="001559BF" w:rsidRDefault="001559BF" w:rsidP="008866B3">
      <w:pPr>
        <w:jc w:val="both"/>
        <w:rPr>
          <w:rFonts w:eastAsia="Times New Roman" w:cs="Times New Roman"/>
          <w:b/>
          <w:color w:val="000000"/>
          <w:szCs w:val="24"/>
        </w:rPr>
      </w:pPr>
      <w:r w:rsidRPr="001559BF">
        <w:rPr>
          <w:rFonts w:eastAsia="Times New Roman" w:cs="Times New Roman"/>
          <w:b/>
          <w:color w:val="000000"/>
          <w:szCs w:val="24"/>
        </w:rPr>
        <w:t>So sánh tỷ trọng tài sản ngắn/dài hạn với công ty cùng ngành</w:t>
      </w:r>
      <w:r w:rsidR="000A4268">
        <w:rPr>
          <w:rFonts w:eastAsia="Times New Roman" w:cs="Times New Roman"/>
          <w:b/>
          <w:color w:val="000000"/>
          <w:szCs w:val="24"/>
        </w:rPr>
        <w:t xml:space="preserve"> trong năm 2021</w:t>
      </w:r>
      <w:r w:rsidRPr="001559BF">
        <w:rPr>
          <w:rFonts w:eastAsia="Times New Roman" w:cs="Times New Roman"/>
          <w:b/>
          <w:color w:val="000000"/>
          <w:szCs w:val="24"/>
        </w:rPr>
        <w:t>:</w:t>
      </w:r>
    </w:p>
    <w:p w14:paraId="57BACDAA" w14:textId="77777777" w:rsidR="001559BF" w:rsidRPr="00B825C1" w:rsidRDefault="000A4268" w:rsidP="008866B3">
      <w:pPr>
        <w:jc w:val="both"/>
        <w:rPr>
          <w:rFonts w:eastAsia="Times New Roman" w:cs="Times New Roman"/>
          <w:color w:val="000000"/>
          <w:szCs w:val="24"/>
        </w:rPr>
      </w:pPr>
      <w:r w:rsidRPr="000A4268">
        <w:rPr>
          <w:noProof/>
        </w:rPr>
        <w:drawing>
          <wp:inline distT="0" distB="0" distL="0" distR="0" wp14:anchorId="4E45E31B" wp14:editId="6A264F88">
            <wp:extent cx="5943600" cy="206281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062815"/>
                    </a:xfrm>
                    <a:prstGeom prst="rect">
                      <a:avLst/>
                    </a:prstGeom>
                    <a:noFill/>
                    <a:ln>
                      <a:noFill/>
                    </a:ln>
                  </pic:spPr>
                </pic:pic>
              </a:graphicData>
            </a:graphic>
          </wp:inline>
        </w:drawing>
      </w:r>
    </w:p>
    <w:p w14:paraId="3470CBEC" w14:textId="27F67F8E" w:rsidR="00142554" w:rsidRDefault="00723CF2" w:rsidP="008866B3">
      <w:pPr>
        <w:jc w:val="both"/>
      </w:pPr>
      <w:r>
        <w:t>+</w:t>
      </w:r>
      <w:r w:rsidR="00B13ABD">
        <w:t xml:space="preserve"> </w:t>
      </w:r>
      <w:r w:rsidR="00190056">
        <w:t xml:space="preserve">Tài sản NH của </w:t>
      </w:r>
      <w:r w:rsidR="005F7CFB">
        <w:t>VNSTEEL</w:t>
      </w:r>
      <w:r w:rsidR="00190056">
        <w:t xml:space="preserve"> chiếm 48.9% trong tổng TS con số này thấp hơn so với </w:t>
      </w:r>
      <w:r w:rsidR="00F721C1">
        <w:t>HPG</w:t>
      </w:r>
      <w:r w:rsidR="00190056">
        <w:t xml:space="preserve"> 3.9%, chủ yếu do tiền và các khoản tương đương tiền của </w:t>
      </w:r>
      <w:r w:rsidR="005F7CFB">
        <w:t>VNSTEEL</w:t>
      </w:r>
      <w:r w:rsidR="00190056">
        <w:t xml:space="preserve"> nhỏ hơn 4.7% so với </w:t>
      </w:r>
      <w:r w:rsidR="00F721C1">
        <w:t>HPG</w:t>
      </w:r>
      <w:r w:rsidR="00190056">
        <w:t xml:space="preserve"> điều này thể hiện khả năng thanh toán của </w:t>
      </w:r>
      <w:r w:rsidR="005F7CFB">
        <w:t>VNSTEEL</w:t>
      </w:r>
      <w:r w:rsidR="00190056">
        <w:t xml:space="preserve"> thấp hơn 4.7% so với </w:t>
      </w:r>
      <w:r w:rsidR="00F721C1">
        <w:t>HPG</w:t>
      </w:r>
      <w:r w:rsidR="00190056">
        <w:t xml:space="preserve">. Kế đến là các khoản phải thu ngắn hạn của </w:t>
      </w:r>
      <w:r w:rsidR="005F7CFB">
        <w:t>VNSTEEL</w:t>
      </w:r>
      <w:r w:rsidR="00190056">
        <w:t xml:space="preserve"> chiếm tỷ trọng khá cao là 10.2% </w:t>
      </w:r>
      <w:r w:rsidR="005F7CFB">
        <w:t>VNSTEEL</w:t>
      </w:r>
      <w:r w:rsidR="00190056">
        <w:t xml:space="preserve"> đang bị chiếm dụng vốn mạnh, đồng thời con số này ở </w:t>
      </w:r>
      <w:r w:rsidR="00F721C1">
        <w:t>HPG</w:t>
      </w:r>
      <w:r w:rsidR="00190056">
        <w:t xml:space="preserve"> chỉ nằm ở mức là 4.3%.</w:t>
      </w:r>
    </w:p>
    <w:p w14:paraId="664BFC6A" w14:textId="22F56F72" w:rsidR="00190056" w:rsidRDefault="00190056" w:rsidP="008866B3">
      <w:pPr>
        <w:jc w:val="both"/>
      </w:pPr>
      <w:r>
        <w:t xml:space="preserve">_Đầu tư tài chính ngắn hạn ở </w:t>
      </w:r>
      <w:r w:rsidR="005F7CFB">
        <w:t>VNSTEEL</w:t>
      </w:r>
      <w:r>
        <w:t xml:space="preserve"> chỉ chiếm tỷ trọng là 2.9% trong tổng TS, nguyên nhân có thể là do công ty này đang bị chiếm dụng vốn dẫn đến thiếu khả năng đầu tư, ở </w:t>
      </w:r>
      <w:r w:rsidR="00F721C1">
        <w:t>HPG</w:t>
      </w:r>
      <w:r>
        <w:t xml:space="preserve"> thì đầu tư tài chính NH chiếm đến 10.23% và đồng thơi nguồn đầu tư ngắn hạn này chủ yếu nằm ở tiền gửi NH kì hạn còn lại không quá 12 tháng </w:t>
      </w:r>
    </w:p>
    <w:p w14:paraId="0C1F6CFE" w14:textId="5BA1DA19" w:rsidR="00190056" w:rsidRDefault="00190056" w:rsidP="008866B3">
      <w:pPr>
        <w:jc w:val="both"/>
      </w:pPr>
      <w:r>
        <w:sym w:font="Wingdings" w:char="F0E0"/>
      </w:r>
      <w:r>
        <w:t xml:space="preserve">Điều này chỉ ra khả năng tài chính của </w:t>
      </w:r>
      <w:r w:rsidR="00F721C1">
        <w:t>HPG</w:t>
      </w:r>
      <w:r>
        <w:t xml:space="preserve"> là tốt hơn nhiều so với công ty cùng ngành là </w:t>
      </w:r>
      <w:r w:rsidR="005F7CFB">
        <w:t>VNSTEEL</w:t>
      </w:r>
    </w:p>
    <w:p w14:paraId="2CA4F0C4" w14:textId="7C889482" w:rsidR="00190056" w:rsidRDefault="002F227D" w:rsidP="008866B3">
      <w:pPr>
        <w:jc w:val="both"/>
      </w:pPr>
      <w:r>
        <w:t xml:space="preserve">_Hàng tồn kho tính đến 31/12/2021 của 2 công ty chiếm tỷ trọng khá cao trong tổng nguồn vốn cụ thể 25.3% ở </w:t>
      </w:r>
      <w:r w:rsidR="005F7CFB">
        <w:t>VNSTEEL</w:t>
      </w:r>
      <w:r>
        <w:t xml:space="preserve"> và 23.64% ở </w:t>
      </w:r>
      <w:r w:rsidR="00F721C1">
        <w:t>HPG</w:t>
      </w:r>
      <w:r>
        <w:t>, dấu hiệu rõ nhất cho việc cạnh tranh thị phần vào năm tới đã được 2 công ty chuẩn bị tốt.</w:t>
      </w:r>
    </w:p>
    <w:p w14:paraId="4EB55449" w14:textId="43A541FA" w:rsidR="005F7CFB" w:rsidRDefault="002F227D" w:rsidP="008866B3">
      <w:pPr>
        <w:jc w:val="both"/>
      </w:pPr>
      <w:r>
        <w:t xml:space="preserve">+Về phần tài sản DH thì </w:t>
      </w:r>
      <w:r w:rsidR="005F7CFB">
        <w:t>VNSTEEL</w:t>
      </w:r>
      <w:r>
        <w:t xml:space="preserve"> phân bổ ở mức 51.1% trong tổng TS và </w:t>
      </w:r>
      <w:r w:rsidR="00F721C1">
        <w:t>HPG</w:t>
      </w:r>
      <w:r>
        <w:t xml:space="preserve"> phân bổ ở mức 47.17%, </w:t>
      </w:r>
      <w:r w:rsidR="005F7CFB">
        <w:t>VNSTEEL</w:t>
      </w:r>
      <w:r>
        <w:t xml:space="preserve"> đang có vẻ</w:t>
      </w:r>
      <w:r w:rsidR="005F7CFB">
        <w:t xml:space="preserve"> đang có xu hướng</w:t>
      </w:r>
      <w:r>
        <w:t xml:space="preserve"> mở rộng qui mô hơn so với </w:t>
      </w:r>
      <w:r w:rsidR="00F721C1">
        <w:t>HPG</w:t>
      </w:r>
      <w:r>
        <w:t xml:space="preserve"> trong năm 2021</w:t>
      </w:r>
      <w:r w:rsidR="005F7CFB">
        <w:t>. Cụ thể</w:t>
      </w:r>
      <w:r>
        <w:t xml:space="preserve">, tài sản cố định của </w:t>
      </w:r>
      <w:r w:rsidR="005F7CFB">
        <w:t>VNSTEEL</w:t>
      </w:r>
      <w:r>
        <w:t xml:space="preserve"> chỉ chiếm </w:t>
      </w:r>
      <w:r w:rsidR="005F7CFB">
        <w:t xml:space="preserve">12.2% tổng TS và con số này ở </w:t>
      </w:r>
      <w:r w:rsidR="00F721C1">
        <w:t>HPG</w:t>
      </w:r>
      <w:r w:rsidR="005F7CFB">
        <w:t xml:space="preserve"> là </w:t>
      </w:r>
      <w:r w:rsidR="005F7CFB">
        <w:lastRenderedPageBreak/>
        <w:t xml:space="preserve">38.87%, trong khi đó tài sản dở dang dài hạn của VNSTEEL chiếm tới 22.1% tổng TS và ở </w:t>
      </w:r>
      <w:r w:rsidR="00F721C1">
        <w:t>HPG</w:t>
      </w:r>
      <w:r w:rsidR="005F7CFB">
        <w:t xml:space="preserve"> con số này chỉ khiêm t</w:t>
      </w:r>
      <w:r w:rsidR="003B0CC1">
        <w:t>ốn</w:t>
      </w:r>
      <w:r w:rsidR="005F7CFB">
        <w:t xml:space="preserve"> ở mốc 5.44% </w:t>
      </w:r>
      <w:r w:rsidR="005F7CFB">
        <w:sym w:font="Wingdings" w:char="F0E0"/>
      </w:r>
      <w:r w:rsidR="005F7CFB">
        <w:t xml:space="preserve">Năm trước đó là năm 2020 </w:t>
      </w:r>
      <w:r w:rsidR="00F721C1">
        <w:t>HPG</w:t>
      </w:r>
      <w:r w:rsidR="005F7CFB">
        <w:t xml:space="preserve"> đã tiến hành mở rộng quy mô kinh doanh rồi và thời điểm hiện tại VNSTEEL mới đang có dấu hiệu mở rộng qui mô kinh doanh, có thể nói </w:t>
      </w:r>
      <w:r w:rsidR="00F721C1">
        <w:t>HPG</w:t>
      </w:r>
      <w:r w:rsidR="005F7CFB">
        <w:t xml:space="preserve"> đã đi trước VNSTEEL và đang nắm lợi thế về cơ sở vật chất phục vụ cho việc sản xuất, kinh doanh tốt hơn.</w:t>
      </w:r>
    </w:p>
    <w:sectPr w:rsidR="005F7C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2554"/>
    <w:rsid w:val="000471CE"/>
    <w:rsid w:val="00061069"/>
    <w:rsid w:val="000A4268"/>
    <w:rsid w:val="00105BA7"/>
    <w:rsid w:val="00123971"/>
    <w:rsid w:val="00142554"/>
    <w:rsid w:val="001559BF"/>
    <w:rsid w:val="001659F2"/>
    <w:rsid w:val="00190056"/>
    <w:rsid w:val="001F48B8"/>
    <w:rsid w:val="00262FA2"/>
    <w:rsid w:val="002F227D"/>
    <w:rsid w:val="002F3CD0"/>
    <w:rsid w:val="003163CD"/>
    <w:rsid w:val="003B0CC1"/>
    <w:rsid w:val="003C719D"/>
    <w:rsid w:val="00421458"/>
    <w:rsid w:val="00464E1D"/>
    <w:rsid w:val="00480767"/>
    <w:rsid w:val="004C559E"/>
    <w:rsid w:val="004D32D0"/>
    <w:rsid w:val="004F7B0D"/>
    <w:rsid w:val="00510AC0"/>
    <w:rsid w:val="00535AFA"/>
    <w:rsid w:val="00595577"/>
    <w:rsid w:val="005965D3"/>
    <w:rsid w:val="005B597A"/>
    <w:rsid w:val="005C6387"/>
    <w:rsid w:val="005F2388"/>
    <w:rsid w:val="005F7CFB"/>
    <w:rsid w:val="0060700A"/>
    <w:rsid w:val="0061774C"/>
    <w:rsid w:val="006327FD"/>
    <w:rsid w:val="00637666"/>
    <w:rsid w:val="006C079A"/>
    <w:rsid w:val="006F2092"/>
    <w:rsid w:val="00723CF2"/>
    <w:rsid w:val="007379D9"/>
    <w:rsid w:val="007504A9"/>
    <w:rsid w:val="0075484B"/>
    <w:rsid w:val="008866B3"/>
    <w:rsid w:val="008955D5"/>
    <w:rsid w:val="008F08EC"/>
    <w:rsid w:val="0094113E"/>
    <w:rsid w:val="009650BB"/>
    <w:rsid w:val="00990C2C"/>
    <w:rsid w:val="00A33BFC"/>
    <w:rsid w:val="00AE35F7"/>
    <w:rsid w:val="00B13ABD"/>
    <w:rsid w:val="00B47679"/>
    <w:rsid w:val="00B529CE"/>
    <w:rsid w:val="00B62510"/>
    <w:rsid w:val="00B7701C"/>
    <w:rsid w:val="00B825C1"/>
    <w:rsid w:val="00B96AC5"/>
    <w:rsid w:val="00BD0F23"/>
    <w:rsid w:val="00BD1115"/>
    <w:rsid w:val="00C21D0D"/>
    <w:rsid w:val="00C2327D"/>
    <w:rsid w:val="00C6150C"/>
    <w:rsid w:val="00C655DB"/>
    <w:rsid w:val="00CA1DAC"/>
    <w:rsid w:val="00CC700F"/>
    <w:rsid w:val="00CD7325"/>
    <w:rsid w:val="00CF35F5"/>
    <w:rsid w:val="00D04352"/>
    <w:rsid w:val="00D25F44"/>
    <w:rsid w:val="00D5548F"/>
    <w:rsid w:val="00D71D45"/>
    <w:rsid w:val="00D81AC4"/>
    <w:rsid w:val="00DD1DC3"/>
    <w:rsid w:val="00E24DE9"/>
    <w:rsid w:val="00EC172E"/>
    <w:rsid w:val="00EF73A8"/>
    <w:rsid w:val="00F16510"/>
    <w:rsid w:val="00F21383"/>
    <w:rsid w:val="00F40097"/>
    <w:rsid w:val="00F5564B"/>
    <w:rsid w:val="00F721C1"/>
    <w:rsid w:val="00F97438"/>
    <w:rsid w:val="00FA42A2"/>
    <w:rsid w:val="00FB36E2"/>
    <w:rsid w:val="00FB45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117657"/>
  <w15:chartTrackingRefBased/>
  <w15:docId w15:val="{B1126006-EA14-40CB-A9A7-AA66C41998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u w:val="single"/>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65D3"/>
    <w:rPr>
      <w:rFonts w:cstheme="minorBidi"/>
      <w:szCs w:val="22"/>
      <w:u w: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309434">
      <w:bodyDiv w:val="1"/>
      <w:marLeft w:val="0"/>
      <w:marRight w:val="0"/>
      <w:marTop w:val="0"/>
      <w:marBottom w:val="0"/>
      <w:divBdr>
        <w:top w:val="none" w:sz="0" w:space="0" w:color="auto"/>
        <w:left w:val="none" w:sz="0" w:space="0" w:color="auto"/>
        <w:bottom w:val="none" w:sz="0" w:space="0" w:color="auto"/>
        <w:right w:val="none" w:sz="0" w:space="0" w:color="auto"/>
      </w:divBdr>
    </w:div>
    <w:div w:id="136263772">
      <w:bodyDiv w:val="1"/>
      <w:marLeft w:val="0"/>
      <w:marRight w:val="0"/>
      <w:marTop w:val="0"/>
      <w:marBottom w:val="0"/>
      <w:divBdr>
        <w:top w:val="none" w:sz="0" w:space="0" w:color="auto"/>
        <w:left w:val="none" w:sz="0" w:space="0" w:color="auto"/>
        <w:bottom w:val="none" w:sz="0" w:space="0" w:color="auto"/>
        <w:right w:val="none" w:sz="0" w:space="0" w:color="auto"/>
      </w:divBdr>
    </w:div>
    <w:div w:id="140658353">
      <w:bodyDiv w:val="1"/>
      <w:marLeft w:val="0"/>
      <w:marRight w:val="0"/>
      <w:marTop w:val="0"/>
      <w:marBottom w:val="0"/>
      <w:divBdr>
        <w:top w:val="none" w:sz="0" w:space="0" w:color="auto"/>
        <w:left w:val="none" w:sz="0" w:space="0" w:color="auto"/>
        <w:bottom w:val="none" w:sz="0" w:space="0" w:color="auto"/>
        <w:right w:val="none" w:sz="0" w:space="0" w:color="auto"/>
      </w:divBdr>
    </w:div>
    <w:div w:id="144903733">
      <w:bodyDiv w:val="1"/>
      <w:marLeft w:val="0"/>
      <w:marRight w:val="0"/>
      <w:marTop w:val="0"/>
      <w:marBottom w:val="0"/>
      <w:divBdr>
        <w:top w:val="none" w:sz="0" w:space="0" w:color="auto"/>
        <w:left w:val="none" w:sz="0" w:space="0" w:color="auto"/>
        <w:bottom w:val="none" w:sz="0" w:space="0" w:color="auto"/>
        <w:right w:val="none" w:sz="0" w:space="0" w:color="auto"/>
      </w:divBdr>
    </w:div>
    <w:div w:id="172307311">
      <w:bodyDiv w:val="1"/>
      <w:marLeft w:val="0"/>
      <w:marRight w:val="0"/>
      <w:marTop w:val="0"/>
      <w:marBottom w:val="0"/>
      <w:divBdr>
        <w:top w:val="none" w:sz="0" w:space="0" w:color="auto"/>
        <w:left w:val="none" w:sz="0" w:space="0" w:color="auto"/>
        <w:bottom w:val="none" w:sz="0" w:space="0" w:color="auto"/>
        <w:right w:val="none" w:sz="0" w:space="0" w:color="auto"/>
      </w:divBdr>
    </w:div>
    <w:div w:id="446891194">
      <w:bodyDiv w:val="1"/>
      <w:marLeft w:val="0"/>
      <w:marRight w:val="0"/>
      <w:marTop w:val="0"/>
      <w:marBottom w:val="0"/>
      <w:divBdr>
        <w:top w:val="none" w:sz="0" w:space="0" w:color="auto"/>
        <w:left w:val="none" w:sz="0" w:space="0" w:color="auto"/>
        <w:bottom w:val="none" w:sz="0" w:space="0" w:color="auto"/>
        <w:right w:val="none" w:sz="0" w:space="0" w:color="auto"/>
      </w:divBdr>
    </w:div>
    <w:div w:id="481894428">
      <w:bodyDiv w:val="1"/>
      <w:marLeft w:val="0"/>
      <w:marRight w:val="0"/>
      <w:marTop w:val="0"/>
      <w:marBottom w:val="0"/>
      <w:divBdr>
        <w:top w:val="none" w:sz="0" w:space="0" w:color="auto"/>
        <w:left w:val="none" w:sz="0" w:space="0" w:color="auto"/>
        <w:bottom w:val="none" w:sz="0" w:space="0" w:color="auto"/>
        <w:right w:val="none" w:sz="0" w:space="0" w:color="auto"/>
      </w:divBdr>
    </w:div>
    <w:div w:id="497188702">
      <w:bodyDiv w:val="1"/>
      <w:marLeft w:val="0"/>
      <w:marRight w:val="0"/>
      <w:marTop w:val="0"/>
      <w:marBottom w:val="0"/>
      <w:divBdr>
        <w:top w:val="none" w:sz="0" w:space="0" w:color="auto"/>
        <w:left w:val="none" w:sz="0" w:space="0" w:color="auto"/>
        <w:bottom w:val="none" w:sz="0" w:space="0" w:color="auto"/>
        <w:right w:val="none" w:sz="0" w:space="0" w:color="auto"/>
      </w:divBdr>
    </w:div>
    <w:div w:id="500193510">
      <w:bodyDiv w:val="1"/>
      <w:marLeft w:val="0"/>
      <w:marRight w:val="0"/>
      <w:marTop w:val="0"/>
      <w:marBottom w:val="0"/>
      <w:divBdr>
        <w:top w:val="none" w:sz="0" w:space="0" w:color="auto"/>
        <w:left w:val="none" w:sz="0" w:space="0" w:color="auto"/>
        <w:bottom w:val="none" w:sz="0" w:space="0" w:color="auto"/>
        <w:right w:val="none" w:sz="0" w:space="0" w:color="auto"/>
      </w:divBdr>
    </w:div>
    <w:div w:id="510417004">
      <w:bodyDiv w:val="1"/>
      <w:marLeft w:val="0"/>
      <w:marRight w:val="0"/>
      <w:marTop w:val="0"/>
      <w:marBottom w:val="0"/>
      <w:divBdr>
        <w:top w:val="none" w:sz="0" w:space="0" w:color="auto"/>
        <w:left w:val="none" w:sz="0" w:space="0" w:color="auto"/>
        <w:bottom w:val="none" w:sz="0" w:space="0" w:color="auto"/>
        <w:right w:val="none" w:sz="0" w:space="0" w:color="auto"/>
      </w:divBdr>
    </w:div>
    <w:div w:id="607741382">
      <w:bodyDiv w:val="1"/>
      <w:marLeft w:val="0"/>
      <w:marRight w:val="0"/>
      <w:marTop w:val="0"/>
      <w:marBottom w:val="0"/>
      <w:divBdr>
        <w:top w:val="none" w:sz="0" w:space="0" w:color="auto"/>
        <w:left w:val="none" w:sz="0" w:space="0" w:color="auto"/>
        <w:bottom w:val="none" w:sz="0" w:space="0" w:color="auto"/>
        <w:right w:val="none" w:sz="0" w:space="0" w:color="auto"/>
      </w:divBdr>
    </w:div>
    <w:div w:id="677511697">
      <w:bodyDiv w:val="1"/>
      <w:marLeft w:val="0"/>
      <w:marRight w:val="0"/>
      <w:marTop w:val="0"/>
      <w:marBottom w:val="0"/>
      <w:divBdr>
        <w:top w:val="none" w:sz="0" w:space="0" w:color="auto"/>
        <w:left w:val="none" w:sz="0" w:space="0" w:color="auto"/>
        <w:bottom w:val="none" w:sz="0" w:space="0" w:color="auto"/>
        <w:right w:val="none" w:sz="0" w:space="0" w:color="auto"/>
      </w:divBdr>
    </w:div>
    <w:div w:id="719595661">
      <w:bodyDiv w:val="1"/>
      <w:marLeft w:val="0"/>
      <w:marRight w:val="0"/>
      <w:marTop w:val="0"/>
      <w:marBottom w:val="0"/>
      <w:divBdr>
        <w:top w:val="none" w:sz="0" w:space="0" w:color="auto"/>
        <w:left w:val="none" w:sz="0" w:space="0" w:color="auto"/>
        <w:bottom w:val="none" w:sz="0" w:space="0" w:color="auto"/>
        <w:right w:val="none" w:sz="0" w:space="0" w:color="auto"/>
      </w:divBdr>
    </w:div>
    <w:div w:id="747189147">
      <w:bodyDiv w:val="1"/>
      <w:marLeft w:val="0"/>
      <w:marRight w:val="0"/>
      <w:marTop w:val="0"/>
      <w:marBottom w:val="0"/>
      <w:divBdr>
        <w:top w:val="none" w:sz="0" w:space="0" w:color="auto"/>
        <w:left w:val="none" w:sz="0" w:space="0" w:color="auto"/>
        <w:bottom w:val="none" w:sz="0" w:space="0" w:color="auto"/>
        <w:right w:val="none" w:sz="0" w:space="0" w:color="auto"/>
      </w:divBdr>
    </w:div>
    <w:div w:id="914321741">
      <w:bodyDiv w:val="1"/>
      <w:marLeft w:val="0"/>
      <w:marRight w:val="0"/>
      <w:marTop w:val="0"/>
      <w:marBottom w:val="0"/>
      <w:divBdr>
        <w:top w:val="none" w:sz="0" w:space="0" w:color="auto"/>
        <w:left w:val="none" w:sz="0" w:space="0" w:color="auto"/>
        <w:bottom w:val="none" w:sz="0" w:space="0" w:color="auto"/>
        <w:right w:val="none" w:sz="0" w:space="0" w:color="auto"/>
      </w:divBdr>
    </w:div>
    <w:div w:id="920792213">
      <w:bodyDiv w:val="1"/>
      <w:marLeft w:val="0"/>
      <w:marRight w:val="0"/>
      <w:marTop w:val="0"/>
      <w:marBottom w:val="0"/>
      <w:divBdr>
        <w:top w:val="none" w:sz="0" w:space="0" w:color="auto"/>
        <w:left w:val="none" w:sz="0" w:space="0" w:color="auto"/>
        <w:bottom w:val="none" w:sz="0" w:space="0" w:color="auto"/>
        <w:right w:val="none" w:sz="0" w:space="0" w:color="auto"/>
      </w:divBdr>
    </w:div>
    <w:div w:id="1054814044">
      <w:bodyDiv w:val="1"/>
      <w:marLeft w:val="0"/>
      <w:marRight w:val="0"/>
      <w:marTop w:val="0"/>
      <w:marBottom w:val="0"/>
      <w:divBdr>
        <w:top w:val="none" w:sz="0" w:space="0" w:color="auto"/>
        <w:left w:val="none" w:sz="0" w:space="0" w:color="auto"/>
        <w:bottom w:val="none" w:sz="0" w:space="0" w:color="auto"/>
        <w:right w:val="none" w:sz="0" w:space="0" w:color="auto"/>
      </w:divBdr>
    </w:div>
    <w:div w:id="1088890216">
      <w:bodyDiv w:val="1"/>
      <w:marLeft w:val="0"/>
      <w:marRight w:val="0"/>
      <w:marTop w:val="0"/>
      <w:marBottom w:val="0"/>
      <w:divBdr>
        <w:top w:val="none" w:sz="0" w:space="0" w:color="auto"/>
        <w:left w:val="none" w:sz="0" w:space="0" w:color="auto"/>
        <w:bottom w:val="none" w:sz="0" w:space="0" w:color="auto"/>
        <w:right w:val="none" w:sz="0" w:space="0" w:color="auto"/>
      </w:divBdr>
    </w:div>
    <w:div w:id="1091122144">
      <w:bodyDiv w:val="1"/>
      <w:marLeft w:val="0"/>
      <w:marRight w:val="0"/>
      <w:marTop w:val="0"/>
      <w:marBottom w:val="0"/>
      <w:divBdr>
        <w:top w:val="none" w:sz="0" w:space="0" w:color="auto"/>
        <w:left w:val="none" w:sz="0" w:space="0" w:color="auto"/>
        <w:bottom w:val="none" w:sz="0" w:space="0" w:color="auto"/>
        <w:right w:val="none" w:sz="0" w:space="0" w:color="auto"/>
      </w:divBdr>
    </w:div>
    <w:div w:id="1107962464">
      <w:bodyDiv w:val="1"/>
      <w:marLeft w:val="0"/>
      <w:marRight w:val="0"/>
      <w:marTop w:val="0"/>
      <w:marBottom w:val="0"/>
      <w:divBdr>
        <w:top w:val="none" w:sz="0" w:space="0" w:color="auto"/>
        <w:left w:val="none" w:sz="0" w:space="0" w:color="auto"/>
        <w:bottom w:val="none" w:sz="0" w:space="0" w:color="auto"/>
        <w:right w:val="none" w:sz="0" w:space="0" w:color="auto"/>
      </w:divBdr>
    </w:div>
    <w:div w:id="1187136465">
      <w:bodyDiv w:val="1"/>
      <w:marLeft w:val="0"/>
      <w:marRight w:val="0"/>
      <w:marTop w:val="0"/>
      <w:marBottom w:val="0"/>
      <w:divBdr>
        <w:top w:val="none" w:sz="0" w:space="0" w:color="auto"/>
        <w:left w:val="none" w:sz="0" w:space="0" w:color="auto"/>
        <w:bottom w:val="none" w:sz="0" w:space="0" w:color="auto"/>
        <w:right w:val="none" w:sz="0" w:space="0" w:color="auto"/>
      </w:divBdr>
    </w:div>
    <w:div w:id="1316833630">
      <w:bodyDiv w:val="1"/>
      <w:marLeft w:val="0"/>
      <w:marRight w:val="0"/>
      <w:marTop w:val="0"/>
      <w:marBottom w:val="0"/>
      <w:divBdr>
        <w:top w:val="none" w:sz="0" w:space="0" w:color="auto"/>
        <w:left w:val="none" w:sz="0" w:space="0" w:color="auto"/>
        <w:bottom w:val="none" w:sz="0" w:space="0" w:color="auto"/>
        <w:right w:val="none" w:sz="0" w:space="0" w:color="auto"/>
      </w:divBdr>
    </w:div>
    <w:div w:id="1363826367">
      <w:bodyDiv w:val="1"/>
      <w:marLeft w:val="0"/>
      <w:marRight w:val="0"/>
      <w:marTop w:val="0"/>
      <w:marBottom w:val="0"/>
      <w:divBdr>
        <w:top w:val="none" w:sz="0" w:space="0" w:color="auto"/>
        <w:left w:val="none" w:sz="0" w:space="0" w:color="auto"/>
        <w:bottom w:val="none" w:sz="0" w:space="0" w:color="auto"/>
        <w:right w:val="none" w:sz="0" w:space="0" w:color="auto"/>
      </w:divBdr>
    </w:div>
    <w:div w:id="1454247530">
      <w:bodyDiv w:val="1"/>
      <w:marLeft w:val="0"/>
      <w:marRight w:val="0"/>
      <w:marTop w:val="0"/>
      <w:marBottom w:val="0"/>
      <w:divBdr>
        <w:top w:val="none" w:sz="0" w:space="0" w:color="auto"/>
        <w:left w:val="none" w:sz="0" w:space="0" w:color="auto"/>
        <w:bottom w:val="none" w:sz="0" w:space="0" w:color="auto"/>
        <w:right w:val="none" w:sz="0" w:space="0" w:color="auto"/>
      </w:divBdr>
    </w:div>
    <w:div w:id="1478763278">
      <w:bodyDiv w:val="1"/>
      <w:marLeft w:val="0"/>
      <w:marRight w:val="0"/>
      <w:marTop w:val="0"/>
      <w:marBottom w:val="0"/>
      <w:divBdr>
        <w:top w:val="none" w:sz="0" w:space="0" w:color="auto"/>
        <w:left w:val="none" w:sz="0" w:space="0" w:color="auto"/>
        <w:bottom w:val="none" w:sz="0" w:space="0" w:color="auto"/>
        <w:right w:val="none" w:sz="0" w:space="0" w:color="auto"/>
      </w:divBdr>
    </w:div>
    <w:div w:id="1693650612">
      <w:bodyDiv w:val="1"/>
      <w:marLeft w:val="0"/>
      <w:marRight w:val="0"/>
      <w:marTop w:val="0"/>
      <w:marBottom w:val="0"/>
      <w:divBdr>
        <w:top w:val="none" w:sz="0" w:space="0" w:color="auto"/>
        <w:left w:val="none" w:sz="0" w:space="0" w:color="auto"/>
        <w:bottom w:val="none" w:sz="0" w:space="0" w:color="auto"/>
        <w:right w:val="none" w:sz="0" w:space="0" w:color="auto"/>
      </w:divBdr>
    </w:div>
    <w:div w:id="1694381057">
      <w:bodyDiv w:val="1"/>
      <w:marLeft w:val="0"/>
      <w:marRight w:val="0"/>
      <w:marTop w:val="0"/>
      <w:marBottom w:val="0"/>
      <w:divBdr>
        <w:top w:val="none" w:sz="0" w:space="0" w:color="auto"/>
        <w:left w:val="none" w:sz="0" w:space="0" w:color="auto"/>
        <w:bottom w:val="none" w:sz="0" w:space="0" w:color="auto"/>
        <w:right w:val="none" w:sz="0" w:space="0" w:color="auto"/>
      </w:divBdr>
    </w:div>
    <w:div w:id="1763836549">
      <w:bodyDiv w:val="1"/>
      <w:marLeft w:val="0"/>
      <w:marRight w:val="0"/>
      <w:marTop w:val="0"/>
      <w:marBottom w:val="0"/>
      <w:divBdr>
        <w:top w:val="none" w:sz="0" w:space="0" w:color="auto"/>
        <w:left w:val="none" w:sz="0" w:space="0" w:color="auto"/>
        <w:bottom w:val="none" w:sz="0" w:space="0" w:color="auto"/>
        <w:right w:val="none" w:sz="0" w:space="0" w:color="auto"/>
      </w:divBdr>
    </w:div>
    <w:div w:id="1897812350">
      <w:bodyDiv w:val="1"/>
      <w:marLeft w:val="0"/>
      <w:marRight w:val="0"/>
      <w:marTop w:val="0"/>
      <w:marBottom w:val="0"/>
      <w:divBdr>
        <w:top w:val="none" w:sz="0" w:space="0" w:color="auto"/>
        <w:left w:val="none" w:sz="0" w:space="0" w:color="auto"/>
        <w:bottom w:val="none" w:sz="0" w:space="0" w:color="auto"/>
        <w:right w:val="none" w:sz="0" w:space="0" w:color="auto"/>
      </w:divBdr>
    </w:div>
    <w:div w:id="1946646605">
      <w:bodyDiv w:val="1"/>
      <w:marLeft w:val="0"/>
      <w:marRight w:val="0"/>
      <w:marTop w:val="0"/>
      <w:marBottom w:val="0"/>
      <w:divBdr>
        <w:top w:val="none" w:sz="0" w:space="0" w:color="auto"/>
        <w:left w:val="none" w:sz="0" w:space="0" w:color="auto"/>
        <w:bottom w:val="none" w:sz="0" w:space="0" w:color="auto"/>
        <w:right w:val="none" w:sz="0" w:space="0" w:color="auto"/>
      </w:divBdr>
    </w:div>
    <w:div w:id="1980457698">
      <w:bodyDiv w:val="1"/>
      <w:marLeft w:val="0"/>
      <w:marRight w:val="0"/>
      <w:marTop w:val="0"/>
      <w:marBottom w:val="0"/>
      <w:divBdr>
        <w:top w:val="none" w:sz="0" w:space="0" w:color="auto"/>
        <w:left w:val="none" w:sz="0" w:space="0" w:color="auto"/>
        <w:bottom w:val="none" w:sz="0" w:space="0" w:color="auto"/>
        <w:right w:val="none" w:sz="0" w:space="0" w:color="auto"/>
      </w:divBdr>
    </w:div>
    <w:div w:id="2105831980">
      <w:bodyDiv w:val="1"/>
      <w:marLeft w:val="0"/>
      <w:marRight w:val="0"/>
      <w:marTop w:val="0"/>
      <w:marBottom w:val="0"/>
      <w:divBdr>
        <w:top w:val="none" w:sz="0" w:space="0" w:color="auto"/>
        <w:left w:val="none" w:sz="0" w:space="0" w:color="auto"/>
        <w:bottom w:val="none" w:sz="0" w:space="0" w:color="auto"/>
        <w:right w:val="none" w:sz="0" w:space="0" w:color="auto"/>
      </w:divBdr>
    </w:div>
    <w:div w:id="2138142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emf"/><Relationship Id="rId5" Type="http://schemas.openxmlformats.org/officeDocument/2006/relationships/image" Target="media/image2.emf"/><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759</TotalTime>
  <Pages>6</Pages>
  <Words>1331</Words>
  <Characters>7590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Nguyễn Tấn Lộc</cp:lastModifiedBy>
  <cp:revision>32</cp:revision>
  <dcterms:created xsi:type="dcterms:W3CDTF">2022-06-19T06:43:00Z</dcterms:created>
  <dcterms:modified xsi:type="dcterms:W3CDTF">2022-06-26T14:17:00Z</dcterms:modified>
</cp:coreProperties>
</file>