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9AF04" w14:textId="295D1CAA" w:rsidR="007F4FC0" w:rsidRPr="00043A0A" w:rsidRDefault="007F4FC0" w:rsidP="00043A0A">
      <w:pPr>
        <w:pStyle w:val="ListParagraph"/>
        <w:numPr>
          <w:ilvl w:val="0"/>
          <w:numId w:val="7"/>
        </w:numPr>
        <w:rPr>
          <w:rFonts w:ascii="Times New Roman" w:hAnsi="Times New Roman" w:cs="Times New Roman"/>
          <w:b/>
          <w:bCs/>
          <w:sz w:val="28"/>
          <w:szCs w:val="28"/>
          <w:lang w:val="vi-VN"/>
        </w:rPr>
      </w:pPr>
      <w:r w:rsidRPr="002F4307">
        <w:rPr>
          <w:rFonts w:ascii="Times New Roman" w:hAnsi="Times New Roman" w:cs="Times New Roman"/>
          <w:b/>
          <w:bCs/>
          <w:sz w:val="28"/>
          <w:szCs w:val="28"/>
          <w:lang w:val="vi-VN"/>
        </w:rPr>
        <w:t>Vốn lưu động</w:t>
      </w:r>
    </w:p>
    <w:p w14:paraId="4212E954" w14:textId="077D3E15" w:rsidR="00951BFB" w:rsidRPr="00734055" w:rsidRDefault="00757C25" w:rsidP="00734055">
      <w:pPr>
        <w:pStyle w:val="ListParagraph"/>
        <w:keepNext/>
        <w:keepLines/>
        <w:numPr>
          <w:ilvl w:val="0"/>
          <w:numId w:val="9"/>
        </w:numPr>
        <w:spacing w:before="40" w:after="0" w:line="360" w:lineRule="auto"/>
        <w:jc w:val="both"/>
        <w:outlineLvl w:val="1"/>
        <w:rPr>
          <w:rFonts w:ascii="Times New Roman" w:eastAsia="Times New Roman" w:hAnsi="Times New Roman" w:cs="Times New Roman"/>
          <w:b/>
          <w:bCs/>
          <w:iCs/>
          <w:color w:val="000000" w:themeColor="text1"/>
          <w:sz w:val="24"/>
          <w:szCs w:val="24"/>
        </w:rPr>
      </w:pPr>
      <w:r>
        <w:rPr>
          <w:rFonts w:ascii="Times New Roman" w:eastAsia="Times New Roman" w:hAnsi="Times New Roman" w:cs="Times New Roman"/>
          <w:b/>
          <w:bCs/>
          <w:iCs/>
          <w:color w:val="000000" w:themeColor="text1"/>
          <w:sz w:val="24"/>
          <w:szCs w:val="24"/>
        </w:rPr>
        <w:t>Phân tích c</w:t>
      </w:r>
      <w:r w:rsidR="007F4FC0" w:rsidRPr="00EF0A29">
        <w:rPr>
          <w:rFonts w:ascii="Times New Roman" w:eastAsia="Times New Roman" w:hAnsi="Times New Roman" w:cs="Times New Roman"/>
          <w:b/>
          <w:bCs/>
          <w:iCs/>
          <w:color w:val="000000" w:themeColor="text1"/>
          <w:sz w:val="24"/>
          <w:szCs w:val="24"/>
        </w:rPr>
        <w:t xml:space="preserve">hu kỳ vận động </w:t>
      </w:r>
      <w:r w:rsidR="007F4FC0">
        <w:rPr>
          <w:rFonts w:ascii="Times New Roman" w:eastAsia="Times New Roman" w:hAnsi="Times New Roman" w:cs="Times New Roman"/>
          <w:b/>
          <w:bCs/>
          <w:iCs/>
          <w:color w:val="000000" w:themeColor="text1"/>
          <w:sz w:val="24"/>
          <w:szCs w:val="24"/>
          <w:lang w:val="vi-VN"/>
        </w:rPr>
        <w:t>vốn</w:t>
      </w:r>
    </w:p>
    <w:p w14:paraId="2292FFA8" w14:textId="58271078" w:rsidR="00734055" w:rsidRPr="00734055" w:rsidRDefault="007F4FC0" w:rsidP="00734055">
      <w:pPr>
        <w:pStyle w:val="ListParagraph"/>
        <w:keepNext/>
        <w:keepLines/>
        <w:numPr>
          <w:ilvl w:val="0"/>
          <w:numId w:val="10"/>
        </w:numPr>
        <w:spacing w:before="40" w:after="0" w:line="360" w:lineRule="auto"/>
        <w:jc w:val="both"/>
        <w:outlineLvl w:val="1"/>
        <w:rPr>
          <w:rFonts w:ascii="Times New Roman" w:eastAsia="Times New Roman" w:hAnsi="Times New Roman" w:cs="Times New Roman"/>
          <w:b/>
          <w:iCs/>
          <w:color w:val="000000" w:themeColor="text1"/>
          <w:sz w:val="24"/>
          <w:szCs w:val="24"/>
        </w:rPr>
      </w:pPr>
      <w:r w:rsidRPr="00F10882">
        <w:rPr>
          <w:rFonts w:ascii="Times New Roman" w:eastAsia="Calibri" w:hAnsi="Times New Roman" w:cs="Times New Roman"/>
          <w:b/>
          <w:sz w:val="24"/>
          <w:szCs w:val="24"/>
        </w:rPr>
        <w:t>Vòng quay hàng tồn kho</w:t>
      </w:r>
    </w:p>
    <w:p w14:paraId="7C6697BC" w14:textId="77777777" w:rsidR="00734055" w:rsidRPr="00524955" w:rsidRDefault="00734055" w:rsidP="00734055">
      <w:pPr>
        <w:spacing w:line="360" w:lineRule="auto"/>
        <w:jc w:val="both"/>
        <w:rPr>
          <w:rFonts w:eastAsiaTheme="minorEastAsia" w:cs="Times New Roman"/>
        </w:rPr>
      </w:pPr>
      <m:oMathPara>
        <m:oMath>
          <m:r>
            <w:rPr>
              <w:rFonts w:ascii="Cambria Math" w:hAnsi="Cambria Math" w:cs="Times New Roman"/>
            </w:rPr>
            <m:t>Inventory turnover=</m:t>
          </m:r>
          <m:f>
            <m:fPr>
              <m:ctrlPr>
                <w:rPr>
                  <w:rFonts w:ascii="Cambria Math" w:hAnsi="Cambria Math" w:cs="Times New Roman"/>
                  <w:i/>
                </w:rPr>
              </m:ctrlPr>
            </m:fPr>
            <m:num>
              <m:r>
                <w:rPr>
                  <w:rFonts w:ascii="Cambria Math" w:hAnsi="Cambria Math" w:cs="Times New Roman"/>
                </w:rPr>
                <m:t>COGS</m:t>
              </m:r>
            </m:num>
            <m:den>
              <m:r>
                <w:rPr>
                  <w:rFonts w:ascii="Cambria Math" w:hAnsi="Cambria Math" w:cs="Times New Roman"/>
                </w:rPr>
                <m:t>Average Inventory</m:t>
              </m:r>
            </m:den>
          </m:f>
        </m:oMath>
      </m:oMathPara>
    </w:p>
    <w:p w14:paraId="06D800FC" w14:textId="0D5AD4A3" w:rsidR="00734055" w:rsidRPr="00734055" w:rsidRDefault="00734055" w:rsidP="00734055">
      <w:pPr>
        <w:pStyle w:val="ListParagraph"/>
        <w:numPr>
          <w:ilvl w:val="0"/>
          <w:numId w:val="16"/>
        </w:numPr>
        <w:spacing w:line="360" w:lineRule="auto"/>
        <w:jc w:val="both"/>
        <w:rPr>
          <w:rFonts w:ascii="Times New Roman" w:hAnsi="Times New Roman" w:cs="Times New Roman"/>
        </w:rPr>
      </w:pPr>
      <w:r w:rsidRPr="00734055">
        <w:rPr>
          <w:b/>
          <w:noProof/>
        </w:rPr>
        <w:drawing>
          <wp:anchor distT="0" distB="0" distL="114300" distR="114300" simplePos="0" relativeHeight="251659264" behindDoc="0" locked="0" layoutInCell="1" allowOverlap="1" wp14:anchorId="24EAE182" wp14:editId="61D9FFDB">
            <wp:simplePos x="0" y="0"/>
            <wp:positionH relativeFrom="margin">
              <wp:posOffset>-289560</wp:posOffset>
            </wp:positionH>
            <wp:positionV relativeFrom="paragraph">
              <wp:posOffset>1430020</wp:posOffset>
            </wp:positionV>
            <wp:extent cx="6524625" cy="39084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entory2.png"/>
                    <pic:cNvPicPr/>
                  </pic:nvPicPr>
                  <pic:blipFill>
                    <a:blip r:embed="rId6">
                      <a:extLst>
                        <a:ext uri="{28A0092B-C50C-407E-A947-70E740481C1C}">
                          <a14:useLocalDpi xmlns:a14="http://schemas.microsoft.com/office/drawing/2010/main" val="0"/>
                        </a:ext>
                      </a:extLst>
                    </a:blip>
                    <a:stretch>
                      <a:fillRect/>
                    </a:stretch>
                  </pic:blipFill>
                  <pic:spPr>
                    <a:xfrm>
                      <a:off x="0" y="0"/>
                      <a:ext cx="6524625" cy="3908425"/>
                    </a:xfrm>
                    <a:prstGeom prst="rect">
                      <a:avLst/>
                    </a:prstGeom>
                  </pic:spPr>
                </pic:pic>
              </a:graphicData>
            </a:graphic>
            <wp14:sizeRelH relativeFrom="page">
              <wp14:pctWidth>0</wp14:pctWidth>
            </wp14:sizeRelH>
            <wp14:sizeRelV relativeFrom="page">
              <wp14:pctHeight>0</wp14:pctHeight>
            </wp14:sizeRelV>
          </wp:anchor>
        </w:drawing>
      </w:r>
      <w:r w:rsidRPr="00734055">
        <w:rPr>
          <w:rFonts w:ascii="Times New Roman" w:hAnsi="Times New Roman" w:cs="Times New Roman"/>
        </w:rPr>
        <w:t>Chỉ số vòng quay tổng hàng tồn kho cho thấy tốc độ bán hàng tồn kho trong năm của Hòa Phát. Nhân chỉ số vòng quay với 360, ta có được số ngày 1 vòng quay hàng tồn kho được bán ra</w:t>
      </w:r>
      <w:r w:rsidR="00B55A0E">
        <w:rPr>
          <w:rFonts w:ascii="Times New Roman" w:hAnsi="Times New Roman" w:cs="Times New Roman"/>
          <w:lang w:val="vi-VN"/>
        </w:rPr>
        <w:t>.</w:t>
      </w:r>
    </w:p>
    <w:tbl>
      <w:tblPr>
        <w:tblW w:w="8619" w:type="dxa"/>
        <w:tblInd w:w="379" w:type="dxa"/>
        <w:tblLook w:val="04A0" w:firstRow="1" w:lastRow="0" w:firstColumn="1" w:lastColumn="0" w:noHBand="0" w:noVBand="1"/>
      </w:tblPr>
      <w:tblGrid>
        <w:gridCol w:w="2496"/>
        <w:gridCol w:w="2496"/>
        <w:gridCol w:w="2496"/>
        <w:gridCol w:w="1131"/>
      </w:tblGrid>
      <w:tr w:rsidR="00734055" w:rsidRPr="00734055" w14:paraId="571C29A5" w14:textId="77777777" w:rsidTr="00760EE6">
        <w:trPr>
          <w:trHeight w:val="284"/>
        </w:trPr>
        <w:tc>
          <w:tcPr>
            <w:tcW w:w="2496"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27AA766D" w14:textId="4DA3974B" w:rsidR="00734055" w:rsidRPr="00760EE6" w:rsidRDefault="00734055" w:rsidP="00760EE6">
            <w:pPr>
              <w:spacing w:after="0" w:line="360" w:lineRule="auto"/>
              <w:jc w:val="center"/>
              <w:rPr>
                <w:rFonts w:ascii="Times New Roman" w:eastAsia="Times New Roman" w:hAnsi="Times New Roman" w:cs="Times New Roman"/>
                <w:b/>
                <w:bCs/>
                <w:color w:val="000000"/>
              </w:rPr>
            </w:pPr>
            <w:r w:rsidRPr="00760EE6">
              <w:rPr>
                <w:rFonts w:ascii="Times New Roman" w:eastAsia="Times New Roman" w:hAnsi="Times New Roman" w:cs="Times New Roman"/>
                <w:b/>
                <w:bCs/>
                <w:color w:val="000000"/>
                <w:lang w:val="vi-VN"/>
              </w:rPr>
              <w:t>Y</w:t>
            </w:r>
            <w:r w:rsidRPr="00760EE6">
              <w:rPr>
                <w:rFonts w:ascii="Times New Roman" w:eastAsia="Times New Roman" w:hAnsi="Times New Roman" w:cs="Times New Roman"/>
                <w:b/>
                <w:bCs/>
                <w:color w:val="000000"/>
              </w:rPr>
              <w:t>ear</w:t>
            </w:r>
          </w:p>
        </w:tc>
        <w:tc>
          <w:tcPr>
            <w:tcW w:w="249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18DF3E3" w14:textId="77777777" w:rsidR="00734055" w:rsidRPr="00760EE6" w:rsidRDefault="00734055" w:rsidP="00760EE6">
            <w:pPr>
              <w:spacing w:after="0" w:line="360" w:lineRule="auto"/>
              <w:jc w:val="center"/>
              <w:rPr>
                <w:rFonts w:ascii="Times New Roman" w:eastAsia="Times New Roman" w:hAnsi="Times New Roman" w:cs="Times New Roman"/>
                <w:b/>
                <w:color w:val="000000"/>
              </w:rPr>
            </w:pPr>
            <w:r w:rsidRPr="00760EE6">
              <w:rPr>
                <w:rFonts w:ascii="Times New Roman" w:eastAsia="Times New Roman" w:hAnsi="Times New Roman" w:cs="Times New Roman"/>
                <w:b/>
                <w:color w:val="000000"/>
              </w:rPr>
              <w:t>2019</w:t>
            </w:r>
          </w:p>
        </w:tc>
        <w:tc>
          <w:tcPr>
            <w:tcW w:w="249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4DD21F75" w14:textId="77777777" w:rsidR="00734055" w:rsidRPr="00760EE6" w:rsidRDefault="00734055" w:rsidP="00760EE6">
            <w:pPr>
              <w:spacing w:after="0" w:line="360" w:lineRule="auto"/>
              <w:jc w:val="center"/>
              <w:rPr>
                <w:rFonts w:ascii="Times New Roman" w:eastAsia="Times New Roman" w:hAnsi="Times New Roman" w:cs="Times New Roman"/>
                <w:b/>
                <w:color w:val="000000"/>
              </w:rPr>
            </w:pPr>
            <w:r w:rsidRPr="00760EE6">
              <w:rPr>
                <w:rFonts w:ascii="Times New Roman" w:eastAsia="Times New Roman" w:hAnsi="Times New Roman" w:cs="Times New Roman"/>
                <w:b/>
                <w:color w:val="000000"/>
              </w:rPr>
              <w:t>2020</w:t>
            </w:r>
          </w:p>
        </w:tc>
        <w:tc>
          <w:tcPr>
            <w:tcW w:w="1131"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110DBD19" w14:textId="77777777" w:rsidR="00734055" w:rsidRPr="00760EE6" w:rsidRDefault="00734055" w:rsidP="00760EE6">
            <w:pPr>
              <w:spacing w:after="0" w:line="360" w:lineRule="auto"/>
              <w:jc w:val="center"/>
              <w:rPr>
                <w:rFonts w:ascii="Times New Roman" w:eastAsia="Times New Roman" w:hAnsi="Times New Roman" w:cs="Times New Roman"/>
                <w:b/>
                <w:color w:val="000000"/>
              </w:rPr>
            </w:pPr>
            <w:r w:rsidRPr="00760EE6">
              <w:rPr>
                <w:rFonts w:ascii="Times New Roman" w:eastAsia="Times New Roman" w:hAnsi="Times New Roman" w:cs="Times New Roman"/>
                <w:b/>
                <w:color w:val="000000"/>
              </w:rPr>
              <w:t>2021</w:t>
            </w:r>
          </w:p>
        </w:tc>
      </w:tr>
      <w:tr w:rsidR="00734055" w:rsidRPr="00734055" w14:paraId="4A3008B1" w14:textId="77777777" w:rsidTr="00760EE6">
        <w:trPr>
          <w:trHeight w:val="284"/>
        </w:trPr>
        <w:tc>
          <w:tcPr>
            <w:tcW w:w="2496" w:type="dxa"/>
            <w:tcBorders>
              <w:top w:val="nil"/>
              <w:left w:val="single" w:sz="4" w:space="0" w:color="auto"/>
              <w:bottom w:val="single" w:sz="4" w:space="0" w:color="auto"/>
              <w:right w:val="single" w:sz="4" w:space="0" w:color="auto"/>
            </w:tcBorders>
            <w:shd w:val="clear" w:color="auto" w:fill="BDD6EE" w:themeFill="accent5" w:themeFillTint="66"/>
            <w:noWrap/>
            <w:vAlign w:val="bottom"/>
            <w:hideMark/>
          </w:tcPr>
          <w:p w14:paraId="6E76764E" w14:textId="77777777" w:rsidR="00734055" w:rsidRPr="00734055" w:rsidRDefault="00734055" w:rsidP="00760EE6">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Inventory turnover</w:t>
            </w:r>
          </w:p>
        </w:tc>
        <w:tc>
          <w:tcPr>
            <w:tcW w:w="2496" w:type="dxa"/>
            <w:tcBorders>
              <w:top w:val="nil"/>
              <w:left w:val="nil"/>
              <w:bottom w:val="single" w:sz="4" w:space="0" w:color="auto"/>
              <w:right w:val="single" w:sz="4" w:space="0" w:color="auto"/>
            </w:tcBorders>
            <w:shd w:val="clear" w:color="auto" w:fill="auto"/>
            <w:noWrap/>
            <w:vAlign w:val="bottom"/>
            <w:hideMark/>
          </w:tcPr>
          <w:p w14:paraId="51A58698"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3.130</w:t>
            </w:r>
          </w:p>
        </w:tc>
        <w:tc>
          <w:tcPr>
            <w:tcW w:w="2496" w:type="dxa"/>
            <w:tcBorders>
              <w:top w:val="nil"/>
              <w:left w:val="nil"/>
              <w:bottom w:val="single" w:sz="4" w:space="0" w:color="auto"/>
              <w:right w:val="single" w:sz="4" w:space="0" w:color="auto"/>
            </w:tcBorders>
            <w:shd w:val="clear" w:color="auto" w:fill="auto"/>
            <w:noWrap/>
            <w:vAlign w:val="bottom"/>
            <w:hideMark/>
          </w:tcPr>
          <w:p w14:paraId="56296396"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3.117</w:t>
            </w:r>
          </w:p>
        </w:tc>
        <w:tc>
          <w:tcPr>
            <w:tcW w:w="1131" w:type="dxa"/>
            <w:tcBorders>
              <w:top w:val="nil"/>
              <w:left w:val="nil"/>
              <w:bottom w:val="single" w:sz="4" w:space="0" w:color="auto"/>
              <w:right w:val="single" w:sz="4" w:space="0" w:color="auto"/>
            </w:tcBorders>
            <w:shd w:val="clear" w:color="auto" w:fill="auto"/>
            <w:noWrap/>
            <w:vAlign w:val="bottom"/>
            <w:hideMark/>
          </w:tcPr>
          <w:p w14:paraId="0CDE60B0"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3.174</w:t>
            </w:r>
          </w:p>
        </w:tc>
      </w:tr>
      <w:tr w:rsidR="00734055" w:rsidRPr="00734055" w14:paraId="70006DF0" w14:textId="77777777" w:rsidTr="00760EE6">
        <w:trPr>
          <w:trHeight w:val="284"/>
        </w:trPr>
        <w:tc>
          <w:tcPr>
            <w:tcW w:w="2496" w:type="dxa"/>
            <w:tcBorders>
              <w:top w:val="nil"/>
              <w:left w:val="single" w:sz="4" w:space="0" w:color="auto"/>
              <w:bottom w:val="single" w:sz="4" w:space="0" w:color="auto"/>
              <w:right w:val="single" w:sz="4" w:space="0" w:color="auto"/>
            </w:tcBorders>
            <w:shd w:val="clear" w:color="auto" w:fill="BDD6EE" w:themeFill="accent5" w:themeFillTint="66"/>
            <w:noWrap/>
            <w:vAlign w:val="bottom"/>
            <w:hideMark/>
          </w:tcPr>
          <w:p w14:paraId="2FCA5674" w14:textId="77777777" w:rsidR="00734055" w:rsidRPr="00734055" w:rsidRDefault="00734055" w:rsidP="00760EE6">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DSI</w:t>
            </w:r>
          </w:p>
        </w:tc>
        <w:tc>
          <w:tcPr>
            <w:tcW w:w="2496" w:type="dxa"/>
            <w:tcBorders>
              <w:top w:val="nil"/>
              <w:left w:val="nil"/>
              <w:bottom w:val="single" w:sz="4" w:space="0" w:color="auto"/>
              <w:right w:val="single" w:sz="4" w:space="0" w:color="auto"/>
            </w:tcBorders>
            <w:shd w:val="clear" w:color="auto" w:fill="auto"/>
            <w:noWrap/>
            <w:vAlign w:val="bottom"/>
            <w:hideMark/>
          </w:tcPr>
          <w:p w14:paraId="0063660E"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115.009</w:t>
            </w:r>
          </w:p>
        </w:tc>
        <w:tc>
          <w:tcPr>
            <w:tcW w:w="2496" w:type="dxa"/>
            <w:tcBorders>
              <w:top w:val="nil"/>
              <w:left w:val="nil"/>
              <w:bottom w:val="single" w:sz="4" w:space="0" w:color="auto"/>
              <w:right w:val="single" w:sz="4" w:space="0" w:color="auto"/>
            </w:tcBorders>
            <w:shd w:val="clear" w:color="auto" w:fill="auto"/>
            <w:noWrap/>
            <w:vAlign w:val="bottom"/>
            <w:hideMark/>
          </w:tcPr>
          <w:p w14:paraId="004EC643"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115.507</w:t>
            </w:r>
          </w:p>
        </w:tc>
        <w:tc>
          <w:tcPr>
            <w:tcW w:w="1131" w:type="dxa"/>
            <w:tcBorders>
              <w:top w:val="nil"/>
              <w:left w:val="nil"/>
              <w:bottom w:val="single" w:sz="4" w:space="0" w:color="auto"/>
              <w:right w:val="single" w:sz="4" w:space="0" w:color="auto"/>
            </w:tcBorders>
            <w:shd w:val="clear" w:color="auto" w:fill="auto"/>
            <w:noWrap/>
            <w:vAlign w:val="bottom"/>
            <w:hideMark/>
          </w:tcPr>
          <w:p w14:paraId="69189B08"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113.435</w:t>
            </w:r>
          </w:p>
        </w:tc>
      </w:tr>
    </w:tbl>
    <w:p w14:paraId="5B8687EC" w14:textId="77777777" w:rsidR="00734055" w:rsidRPr="00734055" w:rsidRDefault="00734055" w:rsidP="00734055">
      <w:pPr>
        <w:spacing w:line="360" w:lineRule="auto"/>
        <w:jc w:val="both"/>
        <w:rPr>
          <w:rFonts w:ascii="Times New Roman" w:hAnsi="Times New Roman" w:cs="Times New Roman"/>
          <w:b/>
        </w:rPr>
      </w:pPr>
    </w:p>
    <w:p w14:paraId="53194CC3" w14:textId="77777777" w:rsidR="00734055" w:rsidRPr="00734055" w:rsidRDefault="00734055" w:rsidP="00734055">
      <w:pPr>
        <w:spacing w:line="360" w:lineRule="auto"/>
        <w:jc w:val="both"/>
        <w:rPr>
          <w:rFonts w:ascii="Times New Roman" w:hAnsi="Times New Roman" w:cs="Times New Roman"/>
          <w:b/>
        </w:rPr>
      </w:pPr>
    </w:p>
    <w:p w14:paraId="0CA2C17D" w14:textId="77777777" w:rsidR="00734055" w:rsidRPr="00734055" w:rsidRDefault="00734055" w:rsidP="00734055">
      <w:pPr>
        <w:spacing w:line="360" w:lineRule="auto"/>
        <w:jc w:val="both"/>
        <w:rPr>
          <w:rFonts w:ascii="Times New Roman" w:hAnsi="Times New Roman" w:cs="Times New Roman"/>
          <w:b/>
        </w:rPr>
      </w:pPr>
    </w:p>
    <w:p w14:paraId="5AE59A6C" w14:textId="77777777" w:rsidR="00734055" w:rsidRPr="00BE4525" w:rsidRDefault="00734055" w:rsidP="00BE4525">
      <w:pPr>
        <w:pStyle w:val="ListParagraph"/>
        <w:numPr>
          <w:ilvl w:val="0"/>
          <w:numId w:val="16"/>
        </w:numPr>
        <w:spacing w:line="360" w:lineRule="auto"/>
        <w:jc w:val="both"/>
        <w:rPr>
          <w:rFonts w:ascii="Times New Roman" w:hAnsi="Times New Roman" w:cs="Times New Roman"/>
        </w:rPr>
      </w:pPr>
      <w:r w:rsidRPr="00BE4525">
        <w:rPr>
          <w:rFonts w:ascii="Times New Roman" w:hAnsi="Times New Roman" w:cs="Times New Roman"/>
        </w:rPr>
        <w:lastRenderedPageBreak/>
        <w:t xml:space="preserve">Qua biểu đồ và bảng, ta thấy số vòng quay hàng tồn kho giữa các năm không có sự thay đổi đáng kể, với khoảng 3.1 vòng mỗi năm, tương ứng với khoảng 115 ngày mỗi vòng. Vòng quay hàng tồn kho từ năm 2020-2021 tăng 0.06 lần, tương ứng với 19 ngày. </w:t>
      </w:r>
    </w:p>
    <w:p w14:paraId="3561FC0C" w14:textId="77777777" w:rsidR="00734055" w:rsidRPr="00BE4525" w:rsidRDefault="00734055" w:rsidP="00BE4525">
      <w:pPr>
        <w:pStyle w:val="ListParagraph"/>
        <w:numPr>
          <w:ilvl w:val="0"/>
          <w:numId w:val="16"/>
        </w:numPr>
        <w:spacing w:line="360" w:lineRule="auto"/>
        <w:jc w:val="both"/>
        <w:rPr>
          <w:rFonts w:ascii="Times New Roman" w:hAnsi="Times New Roman" w:cs="Times New Roman"/>
        </w:rPr>
      </w:pPr>
      <w:r w:rsidRPr="00BE4525">
        <w:rPr>
          <w:rFonts w:ascii="Times New Roman" w:hAnsi="Times New Roman" w:cs="Times New Roman"/>
        </w:rPr>
        <w:t xml:space="preserve">Mặc dù giá vốn hàng bán tăng qua từng năm (35% 2019-2020, và 52% 2020-2021), nhưng Hòa Phát cũng tăng tương ứng số lượng hàng tồn kho của mình để đáp ứng nhu cầu. Việc giá vốn tăng hàng năm nhưng vẫn duy trì được tốc độ bán hàng cho thấy Hòa Phát làm rất tốt trong việc tối ưu hóa hàng tồn kho của, mình, không quá cao để xảy ra ứ đọng, nhưng cũng không quá thấp để xảy ra tình trạng thiếu hàng. </w:t>
      </w:r>
    </w:p>
    <w:p w14:paraId="0B0F37E6" w14:textId="77777777" w:rsidR="00734055" w:rsidRPr="00734055" w:rsidRDefault="00734055" w:rsidP="00734055">
      <w:pPr>
        <w:spacing w:line="360" w:lineRule="auto"/>
        <w:jc w:val="both"/>
        <w:rPr>
          <w:rFonts w:ascii="Times New Roman" w:hAnsi="Times New Roman" w:cs="Times New Roman"/>
        </w:rPr>
      </w:pPr>
      <w:r w:rsidRPr="00734055">
        <w:rPr>
          <w:rFonts w:ascii="Times New Roman" w:hAnsi="Times New Roman" w:cs="Times New Roman"/>
          <w:noProof/>
        </w:rPr>
        <w:drawing>
          <wp:inline distT="0" distB="0" distL="0" distR="0" wp14:anchorId="03396747" wp14:editId="4C3BC5CA">
            <wp:extent cx="5732145" cy="517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I Industry.png"/>
                    <pic:cNvPicPr/>
                  </pic:nvPicPr>
                  <pic:blipFill>
                    <a:blip r:embed="rId7">
                      <a:extLst>
                        <a:ext uri="{28A0092B-C50C-407E-A947-70E740481C1C}">
                          <a14:useLocalDpi xmlns:a14="http://schemas.microsoft.com/office/drawing/2010/main" val="0"/>
                        </a:ext>
                      </a:extLst>
                    </a:blip>
                    <a:stretch>
                      <a:fillRect/>
                    </a:stretch>
                  </pic:blipFill>
                  <pic:spPr>
                    <a:xfrm>
                      <a:off x="0" y="0"/>
                      <a:ext cx="5732145" cy="5178425"/>
                    </a:xfrm>
                    <a:prstGeom prst="rect">
                      <a:avLst/>
                    </a:prstGeom>
                  </pic:spPr>
                </pic:pic>
              </a:graphicData>
            </a:graphic>
          </wp:inline>
        </w:drawing>
      </w:r>
    </w:p>
    <w:p w14:paraId="61E0165E" w14:textId="77777777" w:rsidR="00734055" w:rsidRPr="00BE4525" w:rsidRDefault="00734055" w:rsidP="00BE4525">
      <w:pPr>
        <w:pStyle w:val="ListParagraph"/>
        <w:numPr>
          <w:ilvl w:val="0"/>
          <w:numId w:val="17"/>
        </w:numPr>
        <w:spacing w:line="360" w:lineRule="auto"/>
        <w:jc w:val="both"/>
        <w:rPr>
          <w:rFonts w:ascii="Times New Roman" w:hAnsi="Times New Roman" w:cs="Times New Roman"/>
        </w:rPr>
      </w:pPr>
      <w:r w:rsidRPr="00BE4525">
        <w:rPr>
          <w:rFonts w:ascii="Times New Roman" w:hAnsi="Times New Roman" w:cs="Times New Roman"/>
        </w:rPr>
        <w:t xml:space="preserve">Tuy nhiên, khi so sánh với trung bình ngành, ta thấy tỉ số của Hòa Phát có chênh lệch. Trong toàn ngành, trung bình mỗi vòng quay hàng tồn kho cần 87 ngày, thấp hơn nhiều so với 113 của Hòa Phát. Nhưng ta cần lưu ý, Hòa Phát hoạt động ở quy mô rất lớn, lượng hàng bán ra nhiều hơn nhiều lần so với </w:t>
      </w:r>
      <w:r w:rsidRPr="00BE4525">
        <w:rPr>
          <w:rFonts w:ascii="Times New Roman" w:hAnsi="Times New Roman" w:cs="Times New Roman"/>
        </w:rPr>
        <w:lastRenderedPageBreak/>
        <w:t>các doanh nghiệp trong ngành, nên số liệu trên chưa đủ để nói đến hiệu quả quản trị hàng tồn kho của Hòa Phát.</w:t>
      </w:r>
    </w:p>
    <w:p w14:paraId="6CC70D9B" w14:textId="77777777" w:rsidR="00734055" w:rsidRPr="00734055" w:rsidRDefault="00734055" w:rsidP="00734055">
      <w:pPr>
        <w:pStyle w:val="ListParagraph"/>
        <w:numPr>
          <w:ilvl w:val="0"/>
          <w:numId w:val="10"/>
        </w:numPr>
        <w:spacing w:line="360" w:lineRule="auto"/>
        <w:jc w:val="both"/>
        <w:rPr>
          <w:rFonts w:ascii="Times New Roman" w:hAnsi="Times New Roman" w:cs="Times New Roman"/>
          <w:b/>
        </w:rPr>
      </w:pPr>
      <w:r w:rsidRPr="00734055">
        <w:rPr>
          <w:rFonts w:ascii="Times New Roman" w:hAnsi="Times New Roman" w:cs="Times New Roman"/>
          <w:b/>
        </w:rPr>
        <w:t>Vòng quay khoản phải thu</w:t>
      </w:r>
    </w:p>
    <w:p w14:paraId="2B61DE02" w14:textId="77777777" w:rsidR="00734055" w:rsidRPr="00734055" w:rsidRDefault="00734055" w:rsidP="00734055">
      <w:pPr>
        <w:spacing w:line="360" w:lineRule="auto"/>
        <w:jc w:val="both"/>
        <w:rPr>
          <w:rFonts w:ascii="Times New Roman" w:hAnsi="Times New Roman" w:cs="Times New Roman"/>
          <w:b/>
        </w:rPr>
      </w:pPr>
      <m:oMathPara>
        <m:oMath>
          <m:r>
            <w:rPr>
              <w:rFonts w:ascii="Cambria Math" w:hAnsi="Cambria Math" w:cs="Times New Roman"/>
            </w:rPr>
            <m:t>Receivable turnover=</m:t>
          </m:r>
          <m:f>
            <m:fPr>
              <m:ctrlPr>
                <w:rPr>
                  <w:rFonts w:ascii="Cambria Math" w:hAnsi="Cambria Math" w:cs="Times New Roman"/>
                  <w:i/>
                </w:rPr>
              </m:ctrlPr>
            </m:fPr>
            <m:num>
              <m:r>
                <w:rPr>
                  <w:rFonts w:ascii="Cambria Math" w:hAnsi="Cambria Math" w:cs="Times New Roman"/>
                </w:rPr>
                <m:t>Net Sales</m:t>
              </m:r>
            </m:num>
            <m:den>
              <m:r>
                <w:rPr>
                  <w:rFonts w:ascii="Cambria Math" w:hAnsi="Cambria Math" w:cs="Times New Roman"/>
                </w:rPr>
                <m:t>Average Receivable</m:t>
              </m:r>
            </m:den>
          </m:f>
        </m:oMath>
      </m:oMathPara>
    </w:p>
    <w:tbl>
      <w:tblPr>
        <w:tblW w:w="9142" w:type="dxa"/>
        <w:tblLook w:val="04A0" w:firstRow="1" w:lastRow="0" w:firstColumn="1" w:lastColumn="0" w:noHBand="0" w:noVBand="1"/>
      </w:tblPr>
      <w:tblGrid>
        <w:gridCol w:w="2352"/>
        <w:gridCol w:w="2352"/>
        <w:gridCol w:w="2352"/>
        <w:gridCol w:w="2086"/>
      </w:tblGrid>
      <w:tr w:rsidR="00BE4525" w:rsidRPr="00734055" w14:paraId="11439723" w14:textId="77777777" w:rsidTr="00760EE6">
        <w:trPr>
          <w:trHeight w:val="304"/>
        </w:trPr>
        <w:tc>
          <w:tcPr>
            <w:tcW w:w="2352" w:type="dxa"/>
            <w:tcBorders>
              <w:top w:val="single" w:sz="4" w:space="0" w:color="auto"/>
              <w:left w:val="single" w:sz="4" w:space="0" w:color="auto"/>
              <w:bottom w:val="single" w:sz="4" w:space="0" w:color="auto"/>
              <w:right w:val="single" w:sz="4" w:space="0" w:color="auto"/>
            </w:tcBorders>
            <w:shd w:val="clear" w:color="auto" w:fill="BDD6EE" w:themeFill="accent5" w:themeFillTint="66"/>
            <w:noWrap/>
            <w:vAlign w:val="bottom"/>
            <w:hideMark/>
          </w:tcPr>
          <w:p w14:paraId="648EBF60" w14:textId="77777777" w:rsidR="00734055" w:rsidRPr="00760EE6" w:rsidRDefault="00734055" w:rsidP="00760EE6">
            <w:pPr>
              <w:spacing w:after="0" w:line="360" w:lineRule="auto"/>
              <w:jc w:val="center"/>
              <w:rPr>
                <w:rFonts w:ascii="Times New Roman" w:eastAsia="Times New Roman" w:hAnsi="Times New Roman" w:cs="Times New Roman"/>
                <w:b/>
                <w:color w:val="000000"/>
              </w:rPr>
            </w:pPr>
            <w:r w:rsidRPr="00760EE6">
              <w:rPr>
                <w:rFonts w:ascii="Times New Roman" w:eastAsia="Times New Roman" w:hAnsi="Times New Roman" w:cs="Times New Roman"/>
                <w:b/>
                <w:color w:val="000000"/>
              </w:rPr>
              <w:t>Year</w:t>
            </w:r>
          </w:p>
        </w:tc>
        <w:tc>
          <w:tcPr>
            <w:tcW w:w="235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350BF1C" w14:textId="77777777" w:rsidR="00734055" w:rsidRPr="00734055" w:rsidRDefault="00734055" w:rsidP="00760EE6">
            <w:pPr>
              <w:spacing w:after="0" w:line="360" w:lineRule="auto"/>
              <w:jc w:val="center"/>
              <w:rPr>
                <w:rFonts w:ascii="Times New Roman" w:eastAsia="Times New Roman" w:hAnsi="Times New Roman" w:cs="Times New Roman"/>
                <w:b/>
                <w:color w:val="000000"/>
              </w:rPr>
            </w:pPr>
            <w:r w:rsidRPr="00734055">
              <w:rPr>
                <w:rFonts w:ascii="Times New Roman" w:eastAsia="Times New Roman" w:hAnsi="Times New Roman" w:cs="Times New Roman"/>
                <w:b/>
                <w:color w:val="000000"/>
              </w:rPr>
              <w:t>2019</w:t>
            </w:r>
          </w:p>
        </w:tc>
        <w:tc>
          <w:tcPr>
            <w:tcW w:w="2352"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5BC06AF7" w14:textId="77777777" w:rsidR="00734055" w:rsidRPr="00734055" w:rsidRDefault="00734055" w:rsidP="00760EE6">
            <w:pPr>
              <w:spacing w:after="0" w:line="360" w:lineRule="auto"/>
              <w:jc w:val="center"/>
              <w:rPr>
                <w:rFonts w:ascii="Times New Roman" w:eastAsia="Times New Roman" w:hAnsi="Times New Roman" w:cs="Times New Roman"/>
                <w:b/>
                <w:color w:val="000000"/>
              </w:rPr>
            </w:pPr>
            <w:r w:rsidRPr="00734055">
              <w:rPr>
                <w:rFonts w:ascii="Times New Roman" w:eastAsia="Times New Roman" w:hAnsi="Times New Roman" w:cs="Times New Roman"/>
                <w:b/>
                <w:color w:val="000000"/>
              </w:rPr>
              <w:t>2020</w:t>
            </w:r>
          </w:p>
        </w:tc>
        <w:tc>
          <w:tcPr>
            <w:tcW w:w="2086" w:type="dxa"/>
            <w:tcBorders>
              <w:top w:val="single" w:sz="4" w:space="0" w:color="auto"/>
              <w:left w:val="nil"/>
              <w:bottom w:val="single" w:sz="4" w:space="0" w:color="auto"/>
              <w:right w:val="single" w:sz="4" w:space="0" w:color="auto"/>
            </w:tcBorders>
            <w:shd w:val="clear" w:color="auto" w:fill="BDD6EE" w:themeFill="accent5" w:themeFillTint="66"/>
            <w:noWrap/>
            <w:vAlign w:val="bottom"/>
            <w:hideMark/>
          </w:tcPr>
          <w:p w14:paraId="7FD45EBE" w14:textId="77777777" w:rsidR="00734055" w:rsidRPr="00734055" w:rsidRDefault="00734055" w:rsidP="00760EE6">
            <w:pPr>
              <w:spacing w:after="0" w:line="360" w:lineRule="auto"/>
              <w:jc w:val="center"/>
              <w:rPr>
                <w:rFonts w:ascii="Times New Roman" w:eastAsia="Times New Roman" w:hAnsi="Times New Roman" w:cs="Times New Roman"/>
                <w:b/>
                <w:color w:val="000000"/>
              </w:rPr>
            </w:pPr>
            <w:r w:rsidRPr="00734055">
              <w:rPr>
                <w:rFonts w:ascii="Times New Roman" w:eastAsia="Times New Roman" w:hAnsi="Times New Roman" w:cs="Times New Roman"/>
                <w:b/>
                <w:color w:val="000000"/>
              </w:rPr>
              <w:t>2021</w:t>
            </w:r>
          </w:p>
        </w:tc>
      </w:tr>
      <w:tr w:rsidR="00BE4525" w:rsidRPr="00734055" w14:paraId="70CD932C" w14:textId="77777777" w:rsidTr="00760EE6">
        <w:trPr>
          <w:trHeight w:val="304"/>
        </w:trPr>
        <w:tc>
          <w:tcPr>
            <w:tcW w:w="2352" w:type="dxa"/>
            <w:tcBorders>
              <w:top w:val="nil"/>
              <w:left w:val="single" w:sz="4" w:space="0" w:color="auto"/>
              <w:bottom w:val="single" w:sz="4" w:space="0" w:color="auto"/>
              <w:right w:val="single" w:sz="4" w:space="0" w:color="auto"/>
            </w:tcBorders>
            <w:shd w:val="clear" w:color="auto" w:fill="BDD6EE" w:themeFill="accent5" w:themeFillTint="66"/>
            <w:noWrap/>
            <w:vAlign w:val="bottom"/>
            <w:hideMark/>
          </w:tcPr>
          <w:p w14:paraId="6909D3C8"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Average Receivable</w:t>
            </w:r>
          </w:p>
        </w:tc>
        <w:tc>
          <w:tcPr>
            <w:tcW w:w="2352" w:type="dxa"/>
            <w:tcBorders>
              <w:top w:val="nil"/>
              <w:left w:val="nil"/>
              <w:bottom w:val="single" w:sz="4" w:space="0" w:color="auto"/>
              <w:right w:val="single" w:sz="4" w:space="0" w:color="auto"/>
            </w:tcBorders>
            <w:shd w:val="clear" w:color="auto" w:fill="auto"/>
            <w:noWrap/>
            <w:vAlign w:val="bottom"/>
            <w:hideMark/>
          </w:tcPr>
          <w:p w14:paraId="390E9718" w14:textId="5F9A02FD"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3,791,031,595,344</w:t>
            </w:r>
          </w:p>
        </w:tc>
        <w:tc>
          <w:tcPr>
            <w:tcW w:w="2352" w:type="dxa"/>
            <w:tcBorders>
              <w:top w:val="nil"/>
              <w:left w:val="nil"/>
              <w:bottom w:val="single" w:sz="4" w:space="0" w:color="auto"/>
              <w:right w:val="single" w:sz="4" w:space="0" w:color="auto"/>
            </w:tcBorders>
            <w:shd w:val="clear" w:color="auto" w:fill="auto"/>
            <w:noWrap/>
            <w:vAlign w:val="bottom"/>
            <w:hideMark/>
          </w:tcPr>
          <w:p w14:paraId="7FC73BB9" w14:textId="32719C2C"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4,843,093,825,490</w:t>
            </w:r>
          </w:p>
        </w:tc>
        <w:tc>
          <w:tcPr>
            <w:tcW w:w="2086" w:type="dxa"/>
            <w:tcBorders>
              <w:top w:val="nil"/>
              <w:left w:val="nil"/>
              <w:bottom w:val="single" w:sz="4" w:space="0" w:color="auto"/>
              <w:right w:val="single" w:sz="4" w:space="0" w:color="auto"/>
            </w:tcBorders>
            <w:shd w:val="clear" w:color="auto" w:fill="auto"/>
            <w:noWrap/>
            <w:vAlign w:val="bottom"/>
            <w:hideMark/>
          </w:tcPr>
          <w:p w14:paraId="194B1767" w14:textId="4B810BEA"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6,893,735,628,468</w:t>
            </w:r>
          </w:p>
        </w:tc>
      </w:tr>
      <w:tr w:rsidR="00BE4525" w:rsidRPr="00734055" w14:paraId="42BE87D8" w14:textId="77777777" w:rsidTr="00760EE6">
        <w:trPr>
          <w:trHeight w:val="304"/>
        </w:trPr>
        <w:tc>
          <w:tcPr>
            <w:tcW w:w="2352" w:type="dxa"/>
            <w:tcBorders>
              <w:top w:val="nil"/>
              <w:left w:val="single" w:sz="4" w:space="0" w:color="auto"/>
              <w:bottom w:val="single" w:sz="4" w:space="0" w:color="auto"/>
              <w:right w:val="single" w:sz="4" w:space="0" w:color="auto"/>
            </w:tcBorders>
            <w:shd w:val="clear" w:color="auto" w:fill="BDD6EE" w:themeFill="accent5" w:themeFillTint="66"/>
            <w:noWrap/>
            <w:vAlign w:val="bottom"/>
            <w:hideMark/>
          </w:tcPr>
          <w:p w14:paraId="1993E723"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Net sales</w:t>
            </w:r>
          </w:p>
        </w:tc>
        <w:tc>
          <w:tcPr>
            <w:tcW w:w="2352" w:type="dxa"/>
            <w:tcBorders>
              <w:top w:val="nil"/>
              <w:left w:val="nil"/>
              <w:bottom w:val="single" w:sz="4" w:space="0" w:color="auto"/>
              <w:right w:val="single" w:sz="4" w:space="0" w:color="auto"/>
            </w:tcBorders>
            <w:shd w:val="clear" w:color="auto" w:fill="auto"/>
            <w:noWrap/>
            <w:vAlign w:val="bottom"/>
            <w:hideMark/>
          </w:tcPr>
          <w:p w14:paraId="5A16EFC6" w14:textId="30B2F83C"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63,658,192,673,791</w:t>
            </w:r>
          </w:p>
        </w:tc>
        <w:tc>
          <w:tcPr>
            <w:tcW w:w="2352" w:type="dxa"/>
            <w:tcBorders>
              <w:top w:val="nil"/>
              <w:left w:val="nil"/>
              <w:bottom w:val="single" w:sz="4" w:space="0" w:color="auto"/>
              <w:right w:val="single" w:sz="4" w:space="0" w:color="auto"/>
            </w:tcBorders>
            <w:shd w:val="clear" w:color="auto" w:fill="auto"/>
            <w:noWrap/>
            <w:vAlign w:val="bottom"/>
            <w:hideMark/>
          </w:tcPr>
          <w:p w14:paraId="3CF95266" w14:textId="5CE9E2AC"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90,118,503,426,717</w:t>
            </w:r>
          </w:p>
        </w:tc>
        <w:tc>
          <w:tcPr>
            <w:tcW w:w="2086" w:type="dxa"/>
            <w:tcBorders>
              <w:top w:val="nil"/>
              <w:left w:val="nil"/>
              <w:bottom w:val="single" w:sz="4" w:space="0" w:color="auto"/>
              <w:right w:val="single" w:sz="4" w:space="0" w:color="auto"/>
            </w:tcBorders>
            <w:shd w:val="clear" w:color="auto" w:fill="auto"/>
            <w:noWrap/>
            <w:vAlign w:val="bottom"/>
            <w:hideMark/>
          </w:tcPr>
          <w:p w14:paraId="43DAFA3B" w14:textId="13A9C843"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149,679,789,979,345</w:t>
            </w:r>
          </w:p>
        </w:tc>
      </w:tr>
      <w:tr w:rsidR="00BE4525" w:rsidRPr="00734055" w14:paraId="5017B5F9" w14:textId="77777777" w:rsidTr="00760EE6">
        <w:trPr>
          <w:trHeight w:val="304"/>
        </w:trPr>
        <w:tc>
          <w:tcPr>
            <w:tcW w:w="2352" w:type="dxa"/>
            <w:tcBorders>
              <w:top w:val="nil"/>
              <w:left w:val="single" w:sz="4" w:space="0" w:color="auto"/>
              <w:bottom w:val="single" w:sz="4" w:space="0" w:color="auto"/>
              <w:right w:val="single" w:sz="4" w:space="0" w:color="auto"/>
            </w:tcBorders>
            <w:shd w:val="clear" w:color="auto" w:fill="BDD6EE" w:themeFill="accent5" w:themeFillTint="66"/>
            <w:noWrap/>
            <w:vAlign w:val="bottom"/>
            <w:hideMark/>
          </w:tcPr>
          <w:p w14:paraId="226E3E37"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Receivable Turnover</w:t>
            </w:r>
          </w:p>
        </w:tc>
        <w:tc>
          <w:tcPr>
            <w:tcW w:w="2352" w:type="dxa"/>
            <w:tcBorders>
              <w:top w:val="nil"/>
              <w:left w:val="nil"/>
              <w:bottom w:val="single" w:sz="4" w:space="0" w:color="auto"/>
              <w:right w:val="single" w:sz="4" w:space="0" w:color="auto"/>
            </w:tcBorders>
            <w:shd w:val="clear" w:color="auto" w:fill="auto"/>
            <w:noWrap/>
            <w:vAlign w:val="bottom"/>
            <w:hideMark/>
          </w:tcPr>
          <w:p w14:paraId="7A558829" w14:textId="73747BC4"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16.79</w:t>
            </w:r>
          </w:p>
        </w:tc>
        <w:tc>
          <w:tcPr>
            <w:tcW w:w="2352" w:type="dxa"/>
            <w:tcBorders>
              <w:top w:val="nil"/>
              <w:left w:val="nil"/>
              <w:bottom w:val="single" w:sz="4" w:space="0" w:color="auto"/>
              <w:right w:val="single" w:sz="4" w:space="0" w:color="auto"/>
            </w:tcBorders>
            <w:shd w:val="clear" w:color="auto" w:fill="auto"/>
            <w:noWrap/>
            <w:vAlign w:val="bottom"/>
            <w:hideMark/>
          </w:tcPr>
          <w:p w14:paraId="3E559856" w14:textId="56BD0EB4"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18.61</w:t>
            </w:r>
          </w:p>
        </w:tc>
        <w:tc>
          <w:tcPr>
            <w:tcW w:w="2086" w:type="dxa"/>
            <w:tcBorders>
              <w:top w:val="nil"/>
              <w:left w:val="nil"/>
              <w:bottom w:val="single" w:sz="4" w:space="0" w:color="auto"/>
              <w:right w:val="single" w:sz="4" w:space="0" w:color="auto"/>
            </w:tcBorders>
            <w:shd w:val="clear" w:color="auto" w:fill="auto"/>
            <w:noWrap/>
            <w:vAlign w:val="bottom"/>
            <w:hideMark/>
          </w:tcPr>
          <w:p w14:paraId="74C1F66D" w14:textId="2DE9FD03"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21.71</w:t>
            </w:r>
          </w:p>
        </w:tc>
      </w:tr>
      <w:tr w:rsidR="00BE4525" w:rsidRPr="00734055" w14:paraId="61438A13" w14:textId="77777777" w:rsidTr="00760EE6">
        <w:trPr>
          <w:trHeight w:val="304"/>
        </w:trPr>
        <w:tc>
          <w:tcPr>
            <w:tcW w:w="2352" w:type="dxa"/>
            <w:tcBorders>
              <w:top w:val="nil"/>
              <w:left w:val="single" w:sz="4" w:space="0" w:color="auto"/>
              <w:bottom w:val="single" w:sz="4" w:space="0" w:color="auto"/>
              <w:right w:val="single" w:sz="4" w:space="0" w:color="auto"/>
            </w:tcBorders>
            <w:shd w:val="clear" w:color="auto" w:fill="BDD6EE" w:themeFill="accent5" w:themeFillTint="66"/>
            <w:noWrap/>
            <w:vAlign w:val="bottom"/>
            <w:hideMark/>
          </w:tcPr>
          <w:p w14:paraId="38ACED65" w14:textId="77777777" w:rsidR="00734055" w:rsidRPr="00734055" w:rsidRDefault="00734055" w:rsidP="00D30BBF">
            <w:pPr>
              <w:spacing w:after="0" w:line="360" w:lineRule="auto"/>
              <w:jc w:val="both"/>
              <w:rPr>
                <w:rFonts w:ascii="Times New Roman" w:eastAsia="Times New Roman" w:hAnsi="Times New Roman" w:cs="Times New Roman"/>
                <w:color w:val="000000"/>
              </w:rPr>
            </w:pPr>
            <w:r w:rsidRPr="00734055">
              <w:rPr>
                <w:rFonts w:ascii="Times New Roman" w:eastAsia="Times New Roman" w:hAnsi="Times New Roman" w:cs="Times New Roman"/>
                <w:color w:val="000000"/>
              </w:rPr>
              <w:t>DIR</w:t>
            </w:r>
          </w:p>
        </w:tc>
        <w:tc>
          <w:tcPr>
            <w:tcW w:w="2352" w:type="dxa"/>
            <w:tcBorders>
              <w:top w:val="nil"/>
              <w:left w:val="nil"/>
              <w:bottom w:val="single" w:sz="4" w:space="0" w:color="auto"/>
              <w:right w:val="single" w:sz="4" w:space="0" w:color="auto"/>
            </w:tcBorders>
            <w:shd w:val="clear" w:color="auto" w:fill="auto"/>
            <w:noWrap/>
            <w:vAlign w:val="bottom"/>
            <w:hideMark/>
          </w:tcPr>
          <w:p w14:paraId="5D1C10A9" w14:textId="049C2BF8"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21.44</w:t>
            </w:r>
          </w:p>
        </w:tc>
        <w:tc>
          <w:tcPr>
            <w:tcW w:w="2352" w:type="dxa"/>
            <w:tcBorders>
              <w:top w:val="nil"/>
              <w:left w:val="nil"/>
              <w:bottom w:val="single" w:sz="4" w:space="0" w:color="auto"/>
              <w:right w:val="single" w:sz="4" w:space="0" w:color="auto"/>
            </w:tcBorders>
            <w:shd w:val="clear" w:color="auto" w:fill="auto"/>
            <w:noWrap/>
            <w:vAlign w:val="bottom"/>
            <w:hideMark/>
          </w:tcPr>
          <w:p w14:paraId="18B7FC7D" w14:textId="764F6E55"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19.35</w:t>
            </w:r>
          </w:p>
        </w:tc>
        <w:tc>
          <w:tcPr>
            <w:tcW w:w="2086" w:type="dxa"/>
            <w:tcBorders>
              <w:top w:val="nil"/>
              <w:left w:val="nil"/>
              <w:bottom w:val="single" w:sz="4" w:space="0" w:color="auto"/>
              <w:right w:val="single" w:sz="4" w:space="0" w:color="auto"/>
            </w:tcBorders>
            <w:shd w:val="clear" w:color="auto" w:fill="auto"/>
            <w:noWrap/>
            <w:vAlign w:val="bottom"/>
            <w:hideMark/>
          </w:tcPr>
          <w:p w14:paraId="655DF9C3" w14:textId="60489748" w:rsidR="00734055" w:rsidRPr="00734055" w:rsidRDefault="00734055" w:rsidP="00734055">
            <w:pPr>
              <w:spacing w:after="0" w:line="360" w:lineRule="auto"/>
              <w:jc w:val="center"/>
              <w:rPr>
                <w:rFonts w:ascii="Times New Roman" w:eastAsia="Times New Roman" w:hAnsi="Times New Roman" w:cs="Times New Roman"/>
                <w:color w:val="000000"/>
              </w:rPr>
            </w:pPr>
            <w:r w:rsidRPr="00734055">
              <w:rPr>
                <w:rFonts w:ascii="Times New Roman" w:eastAsia="Times New Roman" w:hAnsi="Times New Roman" w:cs="Times New Roman"/>
                <w:color w:val="000000"/>
              </w:rPr>
              <w:t>16.58</w:t>
            </w:r>
          </w:p>
        </w:tc>
      </w:tr>
    </w:tbl>
    <w:p w14:paraId="7714EBBE" w14:textId="77777777" w:rsidR="00734055" w:rsidRPr="00734055" w:rsidRDefault="00734055" w:rsidP="00734055">
      <w:pPr>
        <w:spacing w:line="360" w:lineRule="auto"/>
        <w:jc w:val="both"/>
        <w:rPr>
          <w:rFonts w:ascii="Times New Roman" w:hAnsi="Times New Roman" w:cs="Times New Roman"/>
        </w:rPr>
      </w:pPr>
    </w:p>
    <w:p w14:paraId="78A4C6FD" w14:textId="77777777" w:rsidR="00734055" w:rsidRPr="00C52CEE" w:rsidRDefault="00734055" w:rsidP="00C52CEE">
      <w:pPr>
        <w:pStyle w:val="ListParagraph"/>
        <w:numPr>
          <w:ilvl w:val="0"/>
          <w:numId w:val="17"/>
        </w:numPr>
        <w:spacing w:line="360" w:lineRule="auto"/>
        <w:jc w:val="both"/>
        <w:rPr>
          <w:rFonts w:ascii="Times New Roman" w:hAnsi="Times New Roman" w:cs="Times New Roman"/>
        </w:rPr>
      </w:pPr>
      <w:r w:rsidRPr="00C52CEE">
        <w:rPr>
          <w:rFonts w:ascii="Times New Roman" w:hAnsi="Times New Roman" w:cs="Times New Roman"/>
        </w:rPr>
        <w:t xml:space="preserve">Vào năm 2021, số vòng quay khoản phải </w:t>
      </w:r>
      <w:proofErr w:type="gramStart"/>
      <w:r w:rsidRPr="00C52CEE">
        <w:rPr>
          <w:rFonts w:ascii="Times New Roman" w:hAnsi="Times New Roman" w:cs="Times New Roman"/>
        </w:rPr>
        <w:t>thu</w:t>
      </w:r>
      <w:proofErr w:type="gramEnd"/>
      <w:r w:rsidRPr="00C52CEE">
        <w:rPr>
          <w:rFonts w:ascii="Times New Roman" w:hAnsi="Times New Roman" w:cs="Times New Roman"/>
        </w:rPr>
        <w:t xml:space="preserve"> là 21.71 vòng, tương đương với 16.58 ngày. Có nghĩa là kỳ </w:t>
      </w:r>
      <w:proofErr w:type="gramStart"/>
      <w:r w:rsidRPr="00C52CEE">
        <w:rPr>
          <w:rFonts w:ascii="Times New Roman" w:hAnsi="Times New Roman" w:cs="Times New Roman"/>
        </w:rPr>
        <w:t>thu</w:t>
      </w:r>
      <w:proofErr w:type="gramEnd"/>
      <w:r w:rsidRPr="00C52CEE">
        <w:rPr>
          <w:rFonts w:ascii="Times New Roman" w:hAnsi="Times New Roman" w:cs="Times New Roman"/>
        </w:rPr>
        <w:t xml:space="preserve"> tiền trung bình trong năm cho các khoản phải thu là 16.5 ngày.</w:t>
      </w:r>
    </w:p>
    <w:p w14:paraId="6472D88F" w14:textId="77777777" w:rsidR="00734055" w:rsidRPr="00C52CEE" w:rsidRDefault="00734055" w:rsidP="00C52CEE">
      <w:pPr>
        <w:pStyle w:val="ListParagraph"/>
        <w:numPr>
          <w:ilvl w:val="0"/>
          <w:numId w:val="17"/>
        </w:numPr>
        <w:spacing w:line="360" w:lineRule="auto"/>
        <w:jc w:val="both"/>
        <w:rPr>
          <w:rFonts w:ascii="Times New Roman" w:hAnsi="Times New Roman" w:cs="Times New Roman"/>
        </w:rPr>
      </w:pPr>
      <w:r w:rsidRPr="00C52CEE">
        <w:rPr>
          <w:rFonts w:ascii="Times New Roman" w:hAnsi="Times New Roman" w:cs="Times New Roman"/>
        </w:rPr>
        <w:t>Số ngày thu tiền các khoản phải thu giảm mạnh qua các năm, 2 ngày vào 2019-2020, và giảm ~3 ngày vào năm 2021. Điều này cho thấy Hòa Phát thực hiện rất tốt việc thu tiền từ khách hàng, tránh được tình trạng bị chiếm dụng vốn/</w:t>
      </w:r>
    </w:p>
    <w:p w14:paraId="6AC361CD" w14:textId="77777777" w:rsidR="00734055" w:rsidRPr="00734055" w:rsidRDefault="00734055" w:rsidP="00734055">
      <w:pPr>
        <w:pStyle w:val="ListParagraph"/>
        <w:keepNext/>
        <w:keepLines/>
        <w:spacing w:before="40" w:after="0" w:line="360" w:lineRule="auto"/>
        <w:ind w:left="1080"/>
        <w:jc w:val="both"/>
        <w:outlineLvl w:val="1"/>
        <w:rPr>
          <w:rFonts w:ascii="Times New Roman" w:eastAsia="Times New Roman" w:hAnsi="Times New Roman" w:cs="Times New Roman"/>
          <w:b/>
          <w:iCs/>
          <w:color w:val="000000" w:themeColor="text1"/>
          <w:sz w:val="24"/>
          <w:szCs w:val="24"/>
        </w:rPr>
      </w:pPr>
    </w:p>
    <w:p w14:paraId="119431B3" w14:textId="77777777" w:rsidR="007F4FC0" w:rsidRPr="00734055" w:rsidRDefault="007F4FC0" w:rsidP="007F4FC0">
      <w:pPr>
        <w:pStyle w:val="ListParagraph"/>
        <w:numPr>
          <w:ilvl w:val="0"/>
          <w:numId w:val="9"/>
        </w:numPr>
        <w:rPr>
          <w:rFonts w:ascii="Times New Roman" w:hAnsi="Times New Roman" w:cs="Times New Roman"/>
          <w:b/>
          <w:bCs/>
          <w:sz w:val="24"/>
          <w:szCs w:val="24"/>
          <w:lang w:val="vi-VN"/>
        </w:rPr>
      </w:pPr>
      <w:r w:rsidRPr="00734055">
        <w:rPr>
          <w:rFonts w:ascii="Times New Roman" w:hAnsi="Times New Roman" w:cs="Times New Roman"/>
          <w:b/>
          <w:bCs/>
          <w:sz w:val="24"/>
          <w:szCs w:val="24"/>
        </w:rPr>
        <w:t>Ch</w:t>
      </w:r>
      <w:r w:rsidRPr="00734055">
        <w:rPr>
          <w:rFonts w:ascii="Times New Roman" w:hAnsi="Times New Roman" w:cs="Times New Roman"/>
          <w:b/>
          <w:bCs/>
          <w:sz w:val="24"/>
          <w:szCs w:val="24"/>
          <w:lang w:val="vi-VN"/>
        </w:rPr>
        <w:t>ính</w:t>
      </w:r>
      <w:r w:rsidRPr="00734055">
        <w:rPr>
          <w:rFonts w:ascii="Times New Roman" w:hAnsi="Times New Roman" w:cs="Times New Roman"/>
          <w:b/>
          <w:bCs/>
          <w:sz w:val="24"/>
          <w:szCs w:val="24"/>
        </w:rPr>
        <w:t xml:space="preserve"> </w:t>
      </w:r>
      <w:r w:rsidRPr="00734055">
        <w:rPr>
          <w:rFonts w:ascii="Times New Roman" w:hAnsi="Times New Roman" w:cs="Times New Roman"/>
          <w:b/>
          <w:bCs/>
          <w:sz w:val="24"/>
          <w:szCs w:val="24"/>
          <w:lang w:val="vi-VN"/>
        </w:rPr>
        <w:t xml:space="preserve">sách tài trợ của công ty      </w:t>
      </w:r>
    </w:p>
    <w:p w14:paraId="7D434CE8" w14:textId="77777777" w:rsidR="007F4FC0" w:rsidRPr="00734055" w:rsidRDefault="007F4FC0" w:rsidP="007F4FC0">
      <w:pPr>
        <w:pStyle w:val="ListParagraph"/>
        <w:jc w:val="right"/>
        <w:rPr>
          <w:rFonts w:ascii="Times New Roman" w:hAnsi="Times New Roman" w:cs="Times New Roman"/>
          <w:i/>
          <w:iCs/>
          <w:sz w:val="24"/>
          <w:szCs w:val="24"/>
          <w:lang w:val="vi-VN"/>
        </w:rPr>
      </w:pPr>
    </w:p>
    <w:p w14:paraId="19EA58EB" w14:textId="77777777" w:rsidR="007F4FC0" w:rsidRPr="00734055" w:rsidRDefault="007F4FC0" w:rsidP="007F4FC0">
      <w:pPr>
        <w:pStyle w:val="ListParagraph"/>
        <w:jc w:val="right"/>
        <w:rPr>
          <w:rFonts w:ascii="Times New Roman" w:hAnsi="Times New Roman" w:cs="Times New Roman"/>
          <w:i/>
          <w:iCs/>
          <w:sz w:val="24"/>
          <w:szCs w:val="24"/>
          <w:lang w:val="vi-VN"/>
        </w:rPr>
      </w:pPr>
      <w:r w:rsidRPr="00734055">
        <w:rPr>
          <w:rFonts w:ascii="Times New Roman" w:hAnsi="Times New Roman" w:cs="Times New Roman"/>
          <w:i/>
          <w:iCs/>
          <w:sz w:val="24"/>
          <w:szCs w:val="24"/>
          <w:lang w:val="vi-VN"/>
        </w:rPr>
        <w:t>Đơn vị: VND</w:t>
      </w:r>
    </w:p>
    <w:tbl>
      <w:tblPr>
        <w:tblStyle w:val="TableGrid"/>
        <w:tblW w:w="9781" w:type="dxa"/>
        <w:tblInd w:w="137" w:type="dxa"/>
        <w:shd w:val="clear" w:color="auto" w:fill="FFFFFF" w:themeFill="background1"/>
        <w:tblLayout w:type="fixed"/>
        <w:tblLook w:val="04A0" w:firstRow="1" w:lastRow="0" w:firstColumn="1" w:lastColumn="0" w:noHBand="0" w:noVBand="1"/>
      </w:tblPr>
      <w:tblGrid>
        <w:gridCol w:w="3223"/>
        <w:gridCol w:w="2164"/>
        <w:gridCol w:w="2230"/>
        <w:gridCol w:w="2164"/>
      </w:tblGrid>
      <w:tr w:rsidR="007F4FC0" w:rsidRPr="00734055" w14:paraId="0763A0FE" w14:textId="77777777" w:rsidTr="00760EE6">
        <w:trPr>
          <w:trHeight w:val="494"/>
        </w:trPr>
        <w:tc>
          <w:tcPr>
            <w:tcW w:w="3223" w:type="dxa"/>
            <w:shd w:val="clear" w:color="auto" w:fill="BDD6EE" w:themeFill="accent5" w:themeFillTint="66"/>
          </w:tcPr>
          <w:p w14:paraId="4E61F3EE" w14:textId="77777777" w:rsidR="007F4FC0" w:rsidRPr="00734055" w:rsidRDefault="007F4FC0" w:rsidP="0058342F">
            <w:pPr>
              <w:jc w:val="center"/>
              <w:rPr>
                <w:rFonts w:ascii="Times New Roman" w:hAnsi="Times New Roman" w:cs="Times New Roman"/>
                <w:b/>
                <w:bCs/>
                <w:sz w:val="24"/>
                <w:szCs w:val="24"/>
              </w:rPr>
            </w:pPr>
            <w:bookmarkStart w:id="0" w:name="_Hlk106657115"/>
            <w:r w:rsidRPr="00734055">
              <w:rPr>
                <w:rFonts w:ascii="Times New Roman" w:hAnsi="Times New Roman" w:cs="Times New Roman"/>
                <w:b/>
                <w:bCs/>
                <w:sz w:val="24"/>
                <w:szCs w:val="24"/>
              </w:rPr>
              <w:t>Chỉ tiêu</w:t>
            </w:r>
          </w:p>
        </w:tc>
        <w:tc>
          <w:tcPr>
            <w:tcW w:w="2164" w:type="dxa"/>
            <w:shd w:val="clear" w:color="auto" w:fill="BDD6EE" w:themeFill="accent5" w:themeFillTint="66"/>
          </w:tcPr>
          <w:p w14:paraId="1ED7D305" w14:textId="77777777" w:rsidR="007F4FC0" w:rsidRPr="00734055" w:rsidRDefault="007F4FC0" w:rsidP="0058342F">
            <w:pPr>
              <w:jc w:val="center"/>
              <w:rPr>
                <w:rFonts w:ascii="Times New Roman" w:hAnsi="Times New Roman" w:cs="Times New Roman"/>
                <w:b/>
                <w:bCs/>
                <w:sz w:val="24"/>
                <w:szCs w:val="24"/>
              </w:rPr>
            </w:pPr>
            <w:r w:rsidRPr="00734055">
              <w:rPr>
                <w:rFonts w:ascii="Times New Roman" w:hAnsi="Times New Roman" w:cs="Times New Roman"/>
                <w:b/>
                <w:bCs/>
                <w:sz w:val="24"/>
                <w:szCs w:val="24"/>
              </w:rPr>
              <w:t>Năm 2019</w:t>
            </w:r>
          </w:p>
        </w:tc>
        <w:tc>
          <w:tcPr>
            <w:tcW w:w="2230" w:type="dxa"/>
            <w:shd w:val="clear" w:color="auto" w:fill="BDD6EE" w:themeFill="accent5" w:themeFillTint="66"/>
          </w:tcPr>
          <w:p w14:paraId="58C72D53" w14:textId="77777777" w:rsidR="007F4FC0" w:rsidRPr="00734055" w:rsidRDefault="007F4FC0" w:rsidP="0058342F">
            <w:pPr>
              <w:rPr>
                <w:rFonts w:ascii="Times New Roman" w:hAnsi="Times New Roman" w:cs="Times New Roman"/>
                <w:b/>
                <w:bCs/>
                <w:sz w:val="24"/>
                <w:szCs w:val="24"/>
              </w:rPr>
            </w:pPr>
            <w:r w:rsidRPr="00734055">
              <w:rPr>
                <w:rFonts w:ascii="Times New Roman" w:hAnsi="Times New Roman" w:cs="Times New Roman"/>
                <w:b/>
                <w:bCs/>
                <w:sz w:val="24"/>
                <w:szCs w:val="24"/>
              </w:rPr>
              <w:t>Năm 2020</w:t>
            </w:r>
          </w:p>
        </w:tc>
        <w:tc>
          <w:tcPr>
            <w:tcW w:w="2164" w:type="dxa"/>
            <w:shd w:val="clear" w:color="auto" w:fill="BDD6EE" w:themeFill="accent5" w:themeFillTint="66"/>
          </w:tcPr>
          <w:p w14:paraId="6C22A011" w14:textId="77777777" w:rsidR="007F4FC0" w:rsidRPr="00734055" w:rsidRDefault="007F4FC0" w:rsidP="0058342F">
            <w:pPr>
              <w:jc w:val="center"/>
              <w:rPr>
                <w:rFonts w:ascii="Times New Roman" w:hAnsi="Times New Roman" w:cs="Times New Roman"/>
                <w:b/>
                <w:bCs/>
                <w:sz w:val="24"/>
                <w:szCs w:val="24"/>
              </w:rPr>
            </w:pPr>
            <w:r w:rsidRPr="00734055">
              <w:rPr>
                <w:rFonts w:ascii="Times New Roman" w:hAnsi="Times New Roman" w:cs="Times New Roman"/>
                <w:b/>
                <w:bCs/>
                <w:sz w:val="24"/>
                <w:szCs w:val="24"/>
              </w:rPr>
              <w:t>Năm 2021</w:t>
            </w:r>
          </w:p>
        </w:tc>
      </w:tr>
      <w:tr w:rsidR="007F4FC0" w:rsidRPr="00734055" w14:paraId="3C10E465" w14:textId="77777777" w:rsidTr="00760EE6">
        <w:trPr>
          <w:trHeight w:val="397"/>
        </w:trPr>
        <w:tc>
          <w:tcPr>
            <w:tcW w:w="3223" w:type="dxa"/>
            <w:shd w:val="clear" w:color="auto" w:fill="BDD6EE" w:themeFill="accent5" w:themeFillTint="66"/>
          </w:tcPr>
          <w:p w14:paraId="1423EAA5" w14:textId="77777777" w:rsidR="007F4FC0" w:rsidRPr="00734055" w:rsidRDefault="007F4FC0" w:rsidP="0058342F">
            <w:pPr>
              <w:rPr>
                <w:rFonts w:ascii="Times New Roman" w:hAnsi="Times New Roman" w:cs="Times New Roman"/>
                <w:b/>
                <w:bCs/>
                <w:sz w:val="24"/>
                <w:szCs w:val="24"/>
                <w:lang w:val="vi-VN"/>
              </w:rPr>
            </w:pPr>
            <w:bookmarkStart w:id="1" w:name="_Hlk106878779"/>
            <w:bookmarkStart w:id="2" w:name="_Hlk106657346"/>
            <w:r w:rsidRPr="00734055">
              <w:rPr>
                <w:rFonts w:ascii="Times New Roman" w:hAnsi="Times New Roman" w:cs="Times New Roman"/>
                <w:b/>
                <w:bCs/>
                <w:sz w:val="24"/>
                <w:szCs w:val="24"/>
              </w:rPr>
              <w:t>I.</w:t>
            </w:r>
            <w:r w:rsidRPr="00734055">
              <w:rPr>
                <w:rFonts w:ascii="Times New Roman" w:hAnsi="Times New Roman" w:cs="Times New Roman"/>
                <w:b/>
                <w:bCs/>
                <w:sz w:val="24"/>
                <w:szCs w:val="24"/>
                <w:lang w:val="vi-VN"/>
              </w:rPr>
              <w:t>VỐN LƯU ĐỘNG</w:t>
            </w:r>
          </w:p>
        </w:tc>
        <w:tc>
          <w:tcPr>
            <w:tcW w:w="2164" w:type="dxa"/>
            <w:shd w:val="clear" w:color="auto" w:fill="FFFFFF" w:themeFill="background1"/>
            <w:vAlign w:val="bottom"/>
          </w:tcPr>
          <w:p w14:paraId="40ED8286" w14:textId="77777777" w:rsidR="007F4FC0" w:rsidRPr="00734055" w:rsidRDefault="007F4FC0" w:rsidP="0058342F">
            <w:pPr>
              <w:jc w:val="both"/>
              <w:rPr>
                <w:rFonts w:ascii="Times New Roman" w:hAnsi="Times New Roman" w:cs="Times New Roman"/>
                <w:b/>
                <w:bCs/>
                <w:sz w:val="24"/>
                <w:szCs w:val="24"/>
              </w:rPr>
            </w:pPr>
            <w:bookmarkStart w:id="3" w:name="_Hlk106839519"/>
            <w:r w:rsidRPr="00734055">
              <w:rPr>
                <w:rFonts w:ascii="Times New Roman" w:hAnsi="Times New Roman" w:cs="Times New Roman"/>
                <w:b/>
                <w:bCs/>
                <w:sz w:val="24"/>
                <w:szCs w:val="24"/>
              </w:rPr>
              <w:t>3,452,738,721,917</w:t>
            </w:r>
            <w:bookmarkEnd w:id="3"/>
          </w:p>
        </w:tc>
        <w:tc>
          <w:tcPr>
            <w:tcW w:w="2230" w:type="dxa"/>
            <w:shd w:val="clear" w:color="auto" w:fill="FFFFFF" w:themeFill="background1"/>
            <w:vAlign w:val="bottom"/>
          </w:tcPr>
          <w:p w14:paraId="72B52C90" w14:textId="77777777" w:rsidR="007F4FC0" w:rsidRPr="00734055" w:rsidRDefault="007F4FC0" w:rsidP="0058342F">
            <w:pPr>
              <w:jc w:val="both"/>
              <w:rPr>
                <w:rFonts w:ascii="Times New Roman" w:hAnsi="Times New Roman" w:cs="Times New Roman"/>
                <w:b/>
                <w:bCs/>
                <w:sz w:val="24"/>
                <w:szCs w:val="24"/>
              </w:rPr>
            </w:pPr>
            <w:bookmarkStart w:id="4" w:name="_Hlk106839590"/>
            <w:r w:rsidRPr="00734055">
              <w:rPr>
                <w:rFonts w:ascii="Times New Roman" w:hAnsi="Times New Roman" w:cs="Times New Roman"/>
                <w:b/>
                <w:bCs/>
                <w:sz w:val="24"/>
                <w:szCs w:val="24"/>
              </w:rPr>
              <w:t>4,772,040,749,512</w:t>
            </w:r>
            <w:bookmarkEnd w:id="4"/>
          </w:p>
        </w:tc>
        <w:tc>
          <w:tcPr>
            <w:tcW w:w="2164" w:type="dxa"/>
            <w:shd w:val="clear" w:color="auto" w:fill="FFFFFF" w:themeFill="background1"/>
            <w:vAlign w:val="bottom"/>
          </w:tcPr>
          <w:p w14:paraId="2B7B8102" w14:textId="77777777" w:rsidR="007F4FC0" w:rsidRPr="00734055" w:rsidRDefault="007F4FC0" w:rsidP="0058342F">
            <w:pPr>
              <w:jc w:val="both"/>
              <w:rPr>
                <w:rFonts w:ascii="Times New Roman" w:hAnsi="Times New Roman" w:cs="Times New Roman"/>
                <w:b/>
                <w:bCs/>
                <w:sz w:val="24"/>
                <w:szCs w:val="24"/>
              </w:rPr>
            </w:pPr>
            <w:bookmarkStart w:id="5" w:name="_Hlk106878273"/>
            <w:r w:rsidRPr="00734055">
              <w:rPr>
                <w:rFonts w:ascii="Times New Roman" w:hAnsi="Times New Roman" w:cs="Times New Roman"/>
                <w:b/>
                <w:bCs/>
                <w:sz w:val="24"/>
                <w:szCs w:val="24"/>
              </w:rPr>
              <w:t>20,695,543,771,863</w:t>
            </w:r>
            <w:bookmarkEnd w:id="5"/>
          </w:p>
        </w:tc>
      </w:tr>
      <w:bookmarkEnd w:id="1"/>
      <w:tr w:rsidR="007F4FC0" w:rsidRPr="00734055" w14:paraId="0D9FF15F" w14:textId="77777777" w:rsidTr="00760EE6">
        <w:trPr>
          <w:trHeight w:val="315"/>
        </w:trPr>
        <w:tc>
          <w:tcPr>
            <w:tcW w:w="3223" w:type="dxa"/>
            <w:shd w:val="clear" w:color="auto" w:fill="BDD6EE" w:themeFill="accent5" w:themeFillTint="66"/>
          </w:tcPr>
          <w:p w14:paraId="6F16D925" w14:textId="77777777" w:rsidR="007F4FC0" w:rsidRPr="00734055" w:rsidRDefault="007F4FC0" w:rsidP="0058342F">
            <w:pPr>
              <w:pStyle w:val="ListParagraph"/>
              <w:numPr>
                <w:ilvl w:val="0"/>
                <w:numId w:val="1"/>
              </w:numPr>
              <w:rPr>
                <w:rFonts w:ascii="Times New Roman" w:hAnsi="Times New Roman" w:cs="Times New Roman"/>
                <w:sz w:val="24"/>
                <w:szCs w:val="24"/>
                <w:lang w:val="vi-VN"/>
              </w:rPr>
            </w:pPr>
            <w:r w:rsidRPr="00734055">
              <w:rPr>
                <w:rFonts w:ascii="Times New Roman" w:hAnsi="Times New Roman" w:cs="Times New Roman"/>
                <w:sz w:val="24"/>
                <w:szCs w:val="24"/>
                <w:lang w:val="vi-VN"/>
              </w:rPr>
              <w:t>Tài sản ngắn hạn</w:t>
            </w:r>
          </w:p>
        </w:tc>
        <w:tc>
          <w:tcPr>
            <w:tcW w:w="2164" w:type="dxa"/>
            <w:shd w:val="clear" w:color="auto" w:fill="FFFFFF" w:themeFill="background1"/>
          </w:tcPr>
          <w:p w14:paraId="5A955434"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30,436,936,909,894</w:t>
            </w:r>
          </w:p>
          <w:p w14:paraId="2DCC4128" w14:textId="77777777" w:rsidR="007F4FC0" w:rsidRPr="00734055" w:rsidRDefault="007F4FC0" w:rsidP="0058342F">
            <w:pPr>
              <w:jc w:val="both"/>
              <w:rPr>
                <w:rFonts w:ascii="Times New Roman" w:hAnsi="Times New Roman" w:cs="Times New Roman"/>
                <w:sz w:val="24"/>
                <w:szCs w:val="24"/>
              </w:rPr>
            </w:pPr>
          </w:p>
        </w:tc>
        <w:tc>
          <w:tcPr>
            <w:tcW w:w="2230" w:type="dxa"/>
            <w:shd w:val="clear" w:color="auto" w:fill="FFFFFF" w:themeFill="background1"/>
          </w:tcPr>
          <w:p w14:paraId="0FEC7573"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56,747,258,197,010</w:t>
            </w:r>
          </w:p>
          <w:p w14:paraId="7D626F0D" w14:textId="77777777" w:rsidR="007F4FC0" w:rsidRPr="00734055" w:rsidRDefault="007F4FC0" w:rsidP="0058342F">
            <w:pPr>
              <w:jc w:val="both"/>
              <w:rPr>
                <w:rFonts w:ascii="Times New Roman" w:hAnsi="Times New Roman" w:cs="Times New Roman"/>
                <w:sz w:val="24"/>
                <w:szCs w:val="24"/>
              </w:rPr>
            </w:pPr>
          </w:p>
        </w:tc>
        <w:tc>
          <w:tcPr>
            <w:tcW w:w="2164" w:type="dxa"/>
            <w:shd w:val="clear" w:color="auto" w:fill="FFFFFF" w:themeFill="background1"/>
          </w:tcPr>
          <w:p w14:paraId="444B415B"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94,154,859,648,304</w:t>
            </w:r>
          </w:p>
          <w:p w14:paraId="16170ED0" w14:textId="77777777" w:rsidR="007F4FC0" w:rsidRPr="00734055" w:rsidRDefault="007F4FC0" w:rsidP="0058342F">
            <w:pPr>
              <w:jc w:val="both"/>
              <w:rPr>
                <w:rFonts w:ascii="Times New Roman" w:hAnsi="Times New Roman" w:cs="Times New Roman"/>
                <w:sz w:val="24"/>
                <w:szCs w:val="24"/>
              </w:rPr>
            </w:pPr>
          </w:p>
        </w:tc>
      </w:tr>
      <w:tr w:rsidR="007F4FC0" w:rsidRPr="00734055" w14:paraId="2D9E58D9" w14:textId="77777777" w:rsidTr="00760EE6">
        <w:trPr>
          <w:trHeight w:val="196"/>
        </w:trPr>
        <w:tc>
          <w:tcPr>
            <w:tcW w:w="3223" w:type="dxa"/>
            <w:shd w:val="clear" w:color="auto" w:fill="BDD6EE" w:themeFill="accent5" w:themeFillTint="66"/>
          </w:tcPr>
          <w:p w14:paraId="4BFB78A4" w14:textId="77777777" w:rsidR="007F4FC0" w:rsidRPr="00734055" w:rsidRDefault="007F4FC0" w:rsidP="0058342F">
            <w:pPr>
              <w:pStyle w:val="ListParagraph"/>
              <w:numPr>
                <w:ilvl w:val="0"/>
                <w:numId w:val="1"/>
              </w:numPr>
              <w:rPr>
                <w:rFonts w:ascii="Times New Roman" w:hAnsi="Times New Roman" w:cs="Times New Roman"/>
                <w:sz w:val="24"/>
                <w:szCs w:val="24"/>
                <w:lang w:val="vi-VN"/>
              </w:rPr>
            </w:pPr>
            <w:r w:rsidRPr="00734055">
              <w:rPr>
                <w:rFonts w:ascii="Times New Roman" w:hAnsi="Times New Roman" w:cs="Times New Roman"/>
                <w:sz w:val="24"/>
                <w:szCs w:val="24"/>
                <w:lang w:val="vi-VN"/>
              </w:rPr>
              <w:t>Nợ ngắn hạn</w:t>
            </w:r>
          </w:p>
        </w:tc>
        <w:tc>
          <w:tcPr>
            <w:tcW w:w="2164" w:type="dxa"/>
            <w:shd w:val="clear" w:color="auto" w:fill="FFFFFF" w:themeFill="background1"/>
            <w:vAlign w:val="bottom"/>
          </w:tcPr>
          <w:p w14:paraId="09500F16"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26,984,198,187,977</w:t>
            </w:r>
          </w:p>
        </w:tc>
        <w:tc>
          <w:tcPr>
            <w:tcW w:w="2230" w:type="dxa"/>
            <w:shd w:val="clear" w:color="auto" w:fill="FFFFFF" w:themeFill="background1"/>
            <w:vAlign w:val="bottom"/>
          </w:tcPr>
          <w:p w14:paraId="5F5F7ADC"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51,975,217,447,498</w:t>
            </w:r>
          </w:p>
        </w:tc>
        <w:tc>
          <w:tcPr>
            <w:tcW w:w="2164" w:type="dxa"/>
            <w:shd w:val="clear" w:color="auto" w:fill="FFFFFF" w:themeFill="background1"/>
            <w:vAlign w:val="bottom"/>
          </w:tcPr>
          <w:p w14:paraId="6CF928C7"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73,459,315,876,441</w:t>
            </w:r>
          </w:p>
        </w:tc>
      </w:tr>
      <w:tr w:rsidR="007F4FC0" w:rsidRPr="00734055" w14:paraId="72941801" w14:textId="77777777" w:rsidTr="00760EE6">
        <w:trPr>
          <w:trHeight w:val="319"/>
        </w:trPr>
        <w:tc>
          <w:tcPr>
            <w:tcW w:w="3223" w:type="dxa"/>
            <w:shd w:val="clear" w:color="auto" w:fill="BDD6EE" w:themeFill="accent5" w:themeFillTint="66"/>
          </w:tcPr>
          <w:p w14:paraId="2EC34EBB" w14:textId="77777777" w:rsidR="007F4FC0" w:rsidRPr="00734055" w:rsidRDefault="007F4FC0" w:rsidP="0058342F">
            <w:pPr>
              <w:rPr>
                <w:rFonts w:ascii="Times New Roman" w:hAnsi="Times New Roman" w:cs="Times New Roman"/>
                <w:b/>
                <w:bCs/>
                <w:sz w:val="24"/>
                <w:szCs w:val="24"/>
                <w:lang w:val="vi-VN"/>
              </w:rPr>
            </w:pPr>
            <w:r w:rsidRPr="00734055">
              <w:rPr>
                <w:rFonts w:ascii="Times New Roman" w:hAnsi="Times New Roman" w:cs="Times New Roman"/>
                <w:b/>
                <w:bCs/>
                <w:sz w:val="24"/>
                <w:szCs w:val="24"/>
              </w:rPr>
              <w:t>II.</w:t>
            </w:r>
            <w:r w:rsidRPr="00734055">
              <w:rPr>
                <w:rFonts w:ascii="Times New Roman" w:hAnsi="Times New Roman" w:cs="Times New Roman"/>
                <w:b/>
                <w:bCs/>
                <w:sz w:val="24"/>
                <w:szCs w:val="24"/>
                <w:lang w:val="vi-VN"/>
              </w:rPr>
              <w:t>NHU CẦU VỐN LƯU ĐỘNG</w:t>
            </w:r>
          </w:p>
        </w:tc>
        <w:tc>
          <w:tcPr>
            <w:tcW w:w="2164" w:type="dxa"/>
            <w:shd w:val="clear" w:color="auto" w:fill="FFFFFF" w:themeFill="background1"/>
            <w:vAlign w:val="bottom"/>
          </w:tcPr>
          <w:p w14:paraId="15B023DE" w14:textId="77777777" w:rsidR="007F4FC0" w:rsidRPr="00734055" w:rsidRDefault="007F4FC0" w:rsidP="0058342F">
            <w:pPr>
              <w:jc w:val="both"/>
              <w:rPr>
                <w:rFonts w:ascii="Times New Roman" w:hAnsi="Times New Roman" w:cs="Times New Roman"/>
                <w:b/>
                <w:bCs/>
                <w:sz w:val="24"/>
                <w:szCs w:val="24"/>
              </w:rPr>
            </w:pPr>
            <w:r w:rsidRPr="00734055">
              <w:rPr>
                <w:rFonts w:ascii="Times New Roman" w:hAnsi="Times New Roman" w:cs="Times New Roman"/>
                <w:b/>
                <w:bCs/>
                <w:sz w:val="24"/>
                <w:szCs w:val="24"/>
              </w:rPr>
              <w:t>6,135,666,468,396</w:t>
            </w:r>
          </w:p>
        </w:tc>
        <w:tc>
          <w:tcPr>
            <w:tcW w:w="2230" w:type="dxa"/>
            <w:shd w:val="clear" w:color="auto" w:fill="FFFFFF" w:themeFill="background1"/>
            <w:vAlign w:val="bottom"/>
          </w:tcPr>
          <w:p w14:paraId="215CBD83" w14:textId="77777777" w:rsidR="007F4FC0" w:rsidRPr="00734055" w:rsidRDefault="007F4FC0" w:rsidP="0058342F">
            <w:pPr>
              <w:jc w:val="both"/>
              <w:rPr>
                <w:rFonts w:ascii="Times New Roman" w:hAnsi="Times New Roman" w:cs="Times New Roman"/>
                <w:b/>
                <w:bCs/>
                <w:color w:val="C00000"/>
                <w:sz w:val="24"/>
                <w:szCs w:val="24"/>
              </w:rPr>
            </w:pPr>
            <w:r w:rsidRPr="00734055">
              <w:rPr>
                <w:rFonts w:ascii="Times New Roman" w:hAnsi="Times New Roman" w:cs="Times New Roman"/>
                <w:b/>
                <w:bCs/>
                <w:color w:val="C00000"/>
                <w:sz w:val="24"/>
                <w:szCs w:val="24"/>
              </w:rPr>
              <w:t>-4,386,852,982,611</w:t>
            </w:r>
          </w:p>
        </w:tc>
        <w:tc>
          <w:tcPr>
            <w:tcW w:w="2164" w:type="dxa"/>
            <w:shd w:val="clear" w:color="auto" w:fill="FFFFFF" w:themeFill="background1"/>
            <w:vAlign w:val="bottom"/>
          </w:tcPr>
          <w:p w14:paraId="7DDF1776" w14:textId="77777777" w:rsidR="007F4FC0" w:rsidRPr="00734055" w:rsidRDefault="007F4FC0" w:rsidP="0058342F">
            <w:pPr>
              <w:jc w:val="both"/>
              <w:rPr>
                <w:rFonts w:ascii="Times New Roman" w:hAnsi="Times New Roman" w:cs="Times New Roman"/>
                <w:b/>
                <w:bCs/>
                <w:sz w:val="24"/>
                <w:szCs w:val="24"/>
              </w:rPr>
            </w:pPr>
            <w:r w:rsidRPr="00734055">
              <w:rPr>
                <w:rFonts w:ascii="Times New Roman" w:hAnsi="Times New Roman" w:cs="Times New Roman"/>
                <w:b/>
                <w:bCs/>
                <w:sz w:val="24"/>
                <w:szCs w:val="24"/>
              </w:rPr>
              <w:t>6,049,531,646,499</w:t>
            </w:r>
          </w:p>
        </w:tc>
      </w:tr>
      <w:tr w:rsidR="007F4FC0" w:rsidRPr="00734055" w14:paraId="364443D7" w14:textId="77777777" w:rsidTr="00760EE6">
        <w:trPr>
          <w:trHeight w:val="397"/>
        </w:trPr>
        <w:tc>
          <w:tcPr>
            <w:tcW w:w="3223" w:type="dxa"/>
            <w:shd w:val="clear" w:color="auto" w:fill="BDD6EE" w:themeFill="accent5" w:themeFillTint="66"/>
          </w:tcPr>
          <w:p w14:paraId="3669CE3B" w14:textId="77777777" w:rsidR="007F4FC0" w:rsidRPr="00734055" w:rsidRDefault="007F4FC0" w:rsidP="0058342F">
            <w:pPr>
              <w:rPr>
                <w:rFonts w:ascii="Times New Roman" w:hAnsi="Times New Roman" w:cs="Times New Roman"/>
                <w:sz w:val="24"/>
                <w:szCs w:val="24"/>
                <w:lang w:val="vi-VN"/>
              </w:rPr>
            </w:pPr>
            <w:r w:rsidRPr="00734055">
              <w:rPr>
                <w:rFonts w:ascii="Times New Roman" w:hAnsi="Times New Roman" w:cs="Times New Roman"/>
                <w:sz w:val="24"/>
                <w:szCs w:val="24"/>
              </w:rPr>
              <w:t>1.</w:t>
            </w:r>
            <w:r w:rsidRPr="00734055">
              <w:rPr>
                <w:rFonts w:ascii="Times New Roman" w:hAnsi="Times New Roman" w:cs="Times New Roman"/>
                <w:sz w:val="24"/>
                <w:szCs w:val="24"/>
                <w:lang w:val="vi-VN"/>
              </w:rPr>
              <w:t>Hàng tồn kho</w:t>
            </w:r>
          </w:p>
        </w:tc>
        <w:tc>
          <w:tcPr>
            <w:tcW w:w="2164" w:type="dxa"/>
            <w:shd w:val="clear" w:color="auto" w:fill="FFFFFF" w:themeFill="background1"/>
            <w:vAlign w:val="bottom"/>
          </w:tcPr>
          <w:p w14:paraId="14198E9E"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19,411,922,748,095</w:t>
            </w:r>
          </w:p>
        </w:tc>
        <w:tc>
          <w:tcPr>
            <w:tcW w:w="2230" w:type="dxa"/>
            <w:shd w:val="clear" w:color="auto" w:fill="FFFFFF" w:themeFill="background1"/>
            <w:vAlign w:val="bottom"/>
          </w:tcPr>
          <w:p w14:paraId="33810D6E"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26,286,822,229,202</w:t>
            </w:r>
          </w:p>
        </w:tc>
        <w:tc>
          <w:tcPr>
            <w:tcW w:w="2164" w:type="dxa"/>
            <w:shd w:val="clear" w:color="auto" w:fill="FFFFFF" w:themeFill="background1"/>
            <w:vAlign w:val="bottom"/>
          </w:tcPr>
          <w:p w14:paraId="78ECFA1E"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42,134,493,932,210</w:t>
            </w:r>
          </w:p>
        </w:tc>
      </w:tr>
      <w:tr w:rsidR="007F4FC0" w:rsidRPr="00734055" w14:paraId="5AF06227" w14:textId="77777777" w:rsidTr="00760EE6">
        <w:trPr>
          <w:trHeight w:val="397"/>
        </w:trPr>
        <w:tc>
          <w:tcPr>
            <w:tcW w:w="3223" w:type="dxa"/>
            <w:shd w:val="clear" w:color="auto" w:fill="BDD6EE" w:themeFill="accent5" w:themeFillTint="66"/>
          </w:tcPr>
          <w:p w14:paraId="73EB5B28" w14:textId="77777777" w:rsidR="007F4FC0" w:rsidRPr="00734055" w:rsidRDefault="007F4FC0" w:rsidP="0058342F">
            <w:pPr>
              <w:rPr>
                <w:rFonts w:ascii="Times New Roman" w:hAnsi="Times New Roman" w:cs="Times New Roman"/>
                <w:sz w:val="24"/>
                <w:szCs w:val="24"/>
                <w:lang w:val="vi-VN"/>
              </w:rPr>
            </w:pPr>
            <w:r w:rsidRPr="00734055">
              <w:rPr>
                <w:rFonts w:ascii="Times New Roman" w:hAnsi="Times New Roman" w:cs="Times New Roman"/>
                <w:sz w:val="24"/>
                <w:szCs w:val="24"/>
              </w:rPr>
              <w:t>2.</w:t>
            </w:r>
            <w:r w:rsidRPr="00734055">
              <w:rPr>
                <w:rFonts w:ascii="Times New Roman" w:hAnsi="Times New Roman" w:cs="Times New Roman"/>
                <w:sz w:val="24"/>
                <w:szCs w:val="24"/>
                <w:lang w:val="vi-VN"/>
              </w:rPr>
              <w:t>Các khoản phải thu ngắn hạn</w:t>
            </w:r>
          </w:p>
        </w:tc>
        <w:tc>
          <w:tcPr>
            <w:tcW w:w="2164" w:type="dxa"/>
            <w:shd w:val="clear" w:color="auto" w:fill="FFFFFF" w:themeFill="background1"/>
            <w:vAlign w:val="bottom"/>
          </w:tcPr>
          <w:p w14:paraId="2714F562"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3,561,397,190,688</w:t>
            </w:r>
          </w:p>
        </w:tc>
        <w:tc>
          <w:tcPr>
            <w:tcW w:w="2230" w:type="dxa"/>
            <w:shd w:val="clear" w:color="auto" w:fill="FFFFFF" w:themeFill="background1"/>
            <w:vAlign w:val="bottom"/>
          </w:tcPr>
          <w:p w14:paraId="6A168126"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6,124,790,460,291</w:t>
            </w:r>
          </w:p>
        </w:tc>
        <w:tc>
          <w:tcPr>
            <w:tcW w:w="2164" w:type="dxa"/>
            <w:shd w:val="clear" w:color="auto" w:fill="FFFFFF" w:themeFill="background1"/>
            <w:vAlign w:val="bottom"/>
          </w:tcPr>
          <w:p w14:paraId="7C6572C1"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7,662,680,796,645</w:t>
            </w:r>
          </w:p>
        </w:tc>
      </w:tr>
      <w:tr w:rsidR="007F4FC0" w:rsidRPr="00734055" w14:paraId="7F0B7C93" w14:textId="77777777" w:rsidTr="00760EE6">
        <w:trPr>
          <w:trHeight w:val="397"/>
        </w:trPr>
        <w:tc>
          <w:tcPr>
            <w:tcW w:w="3223" w:type="dxa"/>
            <w:shd w:val="clear" w:color="auto" w:fill="BDD6EE" w:themeFill="accent5" w:themeFillTint="66"/>
          </w:tcPr>
          <w:p w14:paraId="52F25EBD" w14:textId="77777777" w:rsidR="007F4FC0" w:rsidRPr="00734055" w:rsidRDefault="007F4FC0" w:rsidP="0058342F">
            <w:pPr>
              <w:rPr>
                <w:rFonts w:ascii="Times New Roman" w:hAnsi="Times New Roman" w:cs="Times New Roman"/>
                <w:sz w:val="24"/>
                <w:szCs w:val="24"/>
                <w:lang w:val="vi-VN"/>
              </w:rPr>
            </w:pPr>
            <w:r w:rsidRPr="00734055">
              <w:rPr>
                <w:rFonts w:ascii="Times New Roman" w:hAnsi="Times New Roman" w:cs="Times New Roman"/>
                <w:sz w:val="24"/>
                <w:szCs w:val="24"/>
              </w:rPr>
              <w:t>3.</w:t>
            </w:r>
            <w:r w:rsidRPr="00734055">
              <w:rPr>
                <w:rFonts w:ascii="Times New Roman" w:hAnsi="Times New Roman" w:cs="Times New Roman"/>
                <w:sz w:val="24"/>
                <w:szCs w:val="24"/>
                <w:lang w:val="vi-VN"/>
              </w:rPr>
              <w:t>Các khoản phải trả ngắn hạn</w:t>
            </w:r>
          </w:p>
        </w:tc>
        <w:tc>
          <w:tcPr>
            <w:tcW w:w="2164" w:type="dxa"/>
            <w:shd w:val="clear" w:color="auto" w:fill="FFFFFF" w:themeFill="background1"/>
            <w:vAlign w:val="bottom"/>
          </w:tcPr>
          <w:p w14:paraId="37295A11"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16,837,653,470,387</w:t>
            </w:r>
          </w:p>
        </w:tc>
        <w:tc>
          <w:tcPr>
            <w:tcW w:w="2230" w:type="dxa"/>
            <w:shd w:val="clear" w:color="auto" w:fill="FFFFFF" w:themeFill="background1"/>
            <w:vAlign w:val="bottom"/>
          </w:tcPr>
          <w:p w14:paraId="48711D1C"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36,798,465,672,104</w:t>
            </w:r>
          </w:p>
        </w:tc>
        <w:tc>
          <w:tcPr>
            <w:tcW w:w="2164" w:type="dxa"/>
            <w:shd w:val="clear" w:color="auto" w:fill="FFFFFF" w:themeFill="background1"/>
            <w:vAlign w:val="bottom"/>
          </w:tcPr>
          <w:p w14:paraId="36769A55" w14:textId="77777777" w:rsidR="007F4FC0" w:rsidRPr="00734055" w:rsidRDefault="007F4FC0" w:rsidP="0058342F">
            <w:pPr>
              <w:jc w:val="both"/>
              <w:rPr>
                <w:rFonts w:ascii="Times New Roman" w:hAnsi="Times New Roman" w:cs="Times New Roman"/>
                <w:sz w:val="24"/>
                <w:szCs w:val="24"/>
              </w:rPr>
            </w:pPr>
            <w:r w:rsidRPr="00734055">
              <w:rPr>
                <w:rFonts w:ascii="Times New Roman" w:hAnsi="Times New Roman" w:cs="Times New Roman"/>
                <w:sz w:val="24"/>
                <w:szCs w:val="24"/>
              </w:rPr>
              <w:t>43,747,643,082,356</w:t>
            </w:r>
          </w:p>
        </w:tc>
      </w:tr>
      <w:tr w:rsidR="007F4FC0" w:rsidRPr="00734055" w14:paraId="3610BA66" w14:textId="77777777" w:rsidTr="00760EE6">
        <w:trPr>
          <w:trHeight w:val="405"/>
        </w:trPr>
        <w:tc>
          <w:tcPr>
            <w:tcW w:w="3223" w:type="dxa"/>
            <w:shd w:val="clear" w:color="auto" w:fill="BDD6EE" w:themeFill="accent5" w:themeFillTint="66"/>
          </w:tcPr>
          <w:p w14:paraId="76B72177" w14:textId="77777777" w:rsidR="007F4FC0" w:rsidRPr="00734055" w:rsidRDefault="007F4FC0" w:rsidP="0058342F">
            <w:pPr>
              <w:rPr>
                <w:rFonts w:ascii="Times New Roman" w:hAnsi="Times New Roman" w:cs="Times New Roman"/>
                <w:b/>
                <w:bCs/>
                <w:sz w:val="24"/>
                <w:szCs w:val="24"/>
              </w:rPr>
            </w:pPr>
            <w:r w:rsidRPr="00734055">
              <w:rPr>
                <w:rFonts w:ascii="Times New Roman" w:hAnsi="Times New Roman" w:cs="Times New Roman"/>
                <w:b/>
                <w:bCs/>
                <w:sz w:val="24"/>
                <w:szCs w:val="24"/>
              </w:rPr>
              <w:t>III.</w:t>
            </w:r>
            <w:r w:rsidRPr="00734055">
              <w:rPr>
                <w:rFonts w:ascii="Times New Roman" w:hAnsi="Times New Roman" w:cs="Times New Roman"/>
                <w:b/>
                <w:bCs/>
                <w:sz w:val="24"/>
                <w:szCs w:val="24"/>
                <w:lang w:val="vi-VN"/>
              </w:rPr>
              <w:t>VỐN LƯU ĐỘNG – NHU CẦU VỐN</w:t>
            </w:r>
            <w:r w:rsidRPr="00734055">
              <w:rPr>
                <w:rFonts w:ascii="Times New Roman" w:hAnsi="Times New Roman" w:cs="Times New Roman"/>
                <w:b/>
                <w:bCs/>
                <w:sz w:val="24"/>
                <w:szCs w:val="24"/>
              </w:rPr>
              <w:t xml:space="preserve"> LƯU ĐỘNG </w:t>
            </w:r>
          </w:p>
        </w:tc>
        <w:tc>
          <w:tcPr>
            <w:tcW w:w="2164" w:type="dxa"/>
            <w:shd w:val="clear" w:color="auto" w:fill="FFFFFF" w:themeFill="background1"/>
            <w:vAlign w:val="bottom"/>
          </w:tcPr>
          <w:p w14:paraId="6A8BBB0E" w14:textId="77777777" w:rsidR="007F4FC0" w:rsidRPr="00734055" w:rsidRDefault="007F4FC0" w:rsidP="0058342F">
            <w:pPr>
              <w:jc w:val="both"/>
              <w:rPr>
                <w:rFonts w:ascii="Times New Roman" w:hAnsi="Times New Roman" w:cs="Times New Roman"/>
                <w:b/>
                <w:bCs/>
                <w:sz w:val="24"/>
                <w:szCs w:val="24"/>
              </w:rPr>
            </w:pPr>
            <w:r w:rsidRPr="00734055">
              <w:rPr>
                <w:rFonts w:ascii="Times New Roman" w:hAnsi="Times New Roman" w:cs="Times New Roman"/>
                <w:b/>
                <w:bCs/>
                <w:color w:val="C00000"/>
                <w:sz w:val="24"/>
                <w:szCs w:val="24"/>
              </w:rPr>
              <w:t>-2,682,927,746,479</w:t>
            </w:r>
          </w:p>
        </w:tc>
        <w:tc>
          <w:tcPr>
            <w:tcW w:w="2230" w:type="dxa"/>
            <w:shd w:val="clear" w:color="auto" w:fill="FFFFFF" w:themeFill="background1"/>
            <w:vAlign w:val="bottom"/>
          </w:tcPr>
          <w:p w14:paraId="0D93E66D" w14:textId="77777777" w:rsidR="007F4FC0" w:rsidRPr="00734055" w:rsidRDefault="007F4FC0" w:rsidP="0058342F">
            <w:pPr>
              <w:jc w:val="both"/>
              <w:rPr>
                <w:rFonts w:ascii="Times New Roman" w:hAnsi="Times New Roman" w:cs="Times New Roman"/>
                <w:b/>
                <w:bCs/>
                <w:sz w:val="24"/>
                <w:szCs w:val="24"/>
              </w:rPr>
            </w:pPr>
            <w:r w:rsidRPr="00734055">
              <w:rPr>
                <w:rFonts w:ascii="Times New Roman" w:hAnsi="Times New Roman" w:cs="Times New Roman"/>
                <w:b/>
                <w:bCs/>
                <w:sz w:val="24"/>
                <w:szCs w:val="24"/>
              </w:rPr>
              <w:t>9,158,893,732,123</w:t>
            </w:r>
          </w:p>
        </w:tc>
        <w:tc>
          <w:tcPr>
            <w:tcW w:w="2164" w:type="dxa"/>
            <w:shd w:val="clear" w:color="auto" w:fill="FFFFFF" w:themeFill="background1"/>
            <w:vAlign w:val="bottom"/>
          </w:tcPr>
          <w:p w14:paraId="7DFB8B02" w14:textId="77777777" w:rsidR="007F4FC0" w:rsidRPr="00734055" w:rsidRDefault="007F4FC0" w:rsidP="0058342F">
            <w:pPr>
              <w:jc w:val="both"/>
              <w:rPr>
                <w:rFonts w:ascii="Times New Roman" w:hAnsi="Times New Roman" w:cs="Times New Roman"/>
                <w:b/>
                <w:bCs/>
                <w:sz w:val="24"/>
                <w:szCs w:val="24"/>
              </w:rPr>
            </w:pPr>
            <w:r w:rsidRPr="00734055">
              <w:rPr>
                <w:rFonts w:ascii="Times New Roman" w:hAnsi="Times New Roman" w:cs="Times New Roman"/>
                <w:b/>
                <w:bCs/>
                <w:sz w:val="24"/>
                <w:szCs w:val="24"/>
              </w:rPr>
              <w:t>14,646,012,125,364</w:t>
            </w:r>
          </w:p>
        </w:tc>
      </w:tr>
      <w:bookmarkEnd w:id="0"/>
      <w:bookmarkEnd w:id="2"/>
    </w:tbl>
    <w:p w14:paraId="3ACB9978" w14:textId="77777777" w:rsidR="007F4FC0" w:rsidRPr="00734055" w:rsidRDefault="007F4FC0" w:rsidP="007F4FC0">
      <w:pPr>
        <w:rPr>
          <w:rFonts w:ascii="Times New Roman" w:hAnsi="Times New Roman" w:cs="Times New Roman"/>
          <w:sz w:val="24"/>
          <w:szCs w:val="24"/>
        </w:rPr>
      </w:pPr>
    </w:p>
    <w:p w14:paraId="2FCB7633" w14:textId="77777777" w:rsidR="007F4FC0" w:rsidRPr="00734055" w:rsidRDefault="007F4FC0" w:rsidP="007F4FC0">
      <w:pPr>
        <w:rPr>
          <w:rFonts w:ascii="Times New Roman" w:hAnsi="Times New Roman" w:cs="Times New Roman"/>
          <w:sz w:val="24"/>
          <w:szCs w:val="24"/>
        </w:rPr>
      </w:pPr>
    </w:p>
    <w:tbl>
      <w:tblPr>
        <w:tblW w:w="9913" w:type="dxa"/>
        <w:tblInd w:w="-152" w:type="dxa"/>
        <w:shd w:val="clear" w:color="auto" w:fill="FFFFFF" w:themeFill="background1"/>
        <w:tblLook w:val="04A0" w:firstRow="1" w:lastRow="0" w:firstColumn="1" w:lastColumn="0" w:noHBand="0" w:noVBand="1"/>
      </w:tblPr>
      <w:tblGrid>
        <w:gridCol w:w="2970"/>
        <w:gridCol w:w="2275"/>
        <w:gridCol w:w="994"/>
        <w:gridCol w:w="2268"/>
        <w:gridCol w:w="1181"/>
        <w:gridCol w:w="225"/>
      </w:tblGrid>
      <w:tr w:rsidR="007F4FC0" w:rsidRPr="00734055" w14:paraId="7B3CF13F" w14:textId="77777777" w:rsidTr="00760EE6">
        <w:trPr>
          <w:gridAfter w:val="1"/>
          <w:wAfter w:w="225" w:type="dxa"/>
          <w:trHeight w:val="258"/>
        </w:trPr>
        <w:tc>
          <w:tcPr>
            <w:tcW w:w="2970" w:type="dxa"/>
            <w:vMerge w:val="restart"/>
            <w:tcBorders>
              <w:top w:val="single" w:sz="8" w:space="0" w:color="auto"/>
              <w:left w:val="single" w:sz="8" w:space="0" w:color="auto"/>
              <w:right w:val="single" w:sz="8" w:space="0" w:color="auto"/>
            </w:tcBorders>
            <w:shd w:val="clear" w:color="auto" w:fill="BDD6EE" w:themeFill="accent5" w:themeFillTint="66"/>
            <w:vAlign w:val="center"/>
            <w:hideMark/>
          </w:tcPr>
          <w:p w14:paraId="2B8241B2"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 Chỉ tiêu</w:t>
            </w:r>
          </w:p>
          <w:p w14:paraId="3F1F01DC"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color w:val="000000"/>
                <w:sz w:val="24"/>
                <w:szCs w:val="24"/>
              </w:rPr>
              <w:t> </w:t>
            </w:r>
          </w:p>
        </w:tc>
        <w:tc>
          <w:tcPr>
            <w:tcW w:w="6718" w:type="dxa"/>
            <w:gridSpan w:val="4"/>
            <w:tcBorders>
              <w:top w:val="single" w:sz="8" w:space="0" w:color="auto"/>
              <w:left w:val="nil"/>
              <w:bottom w:val="single" w:sz="8" w:space="0" w:color="auto"/>
              <w:right w:val="single" w:sz="8" w:space="0" w:color="000000"/>
            </w:tcBorders>
            <w:shd w:val="clear" w:color="auto" w:fill="BDD6EE" w:themeFill="accent5" w:themeFillTint="66"/>
            <w:vAlign w:val="center"/>
            <w:hideMark/>
          </w:tcPr>
          <w:p w14:paraId="2397379B"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Chênh lệch</w:t>
            </w:r>
          </w:p>
        </w:tc>
      </w:tr>
      <w:tr w:rsidR="007F4FC0" w:rsidRPr="00734055" w14:paraId="6F9F9440" w14:textId="77777777" w:rsidTr="00760EE6">
        <w:trPr>
          <w:gridAfter w:val="1"/>
          <w:wAfter w:w="225" w:type="dxa"/>
          <w:trHeight w:val="163"/>
        </w:trPr>
        <w:tc>
          <w:tcPr>
            <w:tcW w:w="2970" w:type="dxa"/>
            <w:vMerge/>
            <w:tcBorders>
              <w:left w:val="single" w:sz="8" w:space="0" w:color="auto"/>
              <w:right w:val="single" w:sz="8" w:space="0" w:color="auto"/>
            </w:tcBorders>
            <w:shd w:val="clear" w:color="auto" w:fill="BDD6EE" w:themeFill="accent5" w:themeFillTint="66"/>
            <w:vAlign w:val="center"/>
            <w:hideMark/>
          </w:tcPr>
          <w:p w14:paraId="6C000A13"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p>
        </w:tc>
        <w:tc>
          <w:tcPr>
            <w:tcW w:w="3269" w:type="dxa"/>
            <w:gridSpan w:val="2"/>
            <w:tcBorders>
              <w:top w:val="single" w:sz="8" w:space="0" w:color="auto"/>
              <w:left w:val="nil"/>
              <w:bottom w:val="single" w:sz="8" w:space="0" w:color="auto"/>
              <w:right w:val="single" w:sz="8" w:space="0" w:color="000000"/>
            </w:tcBorders>
            <w:shd w:val="clear" w:color="auto" w:fill="BDD6EE" w:themeFill="accent5" w:themeFillTint="66"/>
            <w:vAlign w:val="center"/>
            <w:hideMark/>
          </w:tcPr>
          <w:p w14:paraId="588F7569"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Giai đoạn 2019-2020</w:t>
            </w:r>
          </w:p>
        </w:tc>
        <w:tc>
          <w:tcPr>
            <w:tcW w:w="3449" w:type="dxa"/>
            <w:gridSpan w:val="2"/>
            <w:tcBorders>
              <w:top w:val="single" w:sz="8" w:space="0" w:color="auto"/>
              <w:left w:val="nil"/>
              <w:bottom w:val="single" w:sz="8" w:space="0" w:color="auto"/>
              <w:right w:val="single" w:sz="8" w:space="0" w:color="000000"/>
            </w:tcBorders>
            <w:shd w:val="clear" w:color="auto" w:fill="BDD6EE" w:themeFill="accent5" w:themeFillTint="66"/>
            <w:vAlign w:val="center"/>
            <w:hideMark/>
          </w:tcPr>
          <w:p w14:paraId="12981663"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Giai đoạn 2020-2021</w:t>
            </w:r>
          </w:p>
        </w:tc>
      </w:tr>
      <w:tr w:rsidR="007F4FC0" w:rsidRPr="00734055" w14:paraId="57A54410" w14:textId="77777777" w:rsidTr="00760EE6">
        <w:trPr>
          <w:gridAfter w:val="1"/>
          <w:wAfter w:w="225" w:type="dxa"/>
          <w:trHeight w:val="163"/>
        </w:trPr>
        <w:tc>
          <w:tcPr>
            <w:tcW w:w="2970" w:type="dxa"/>
            <w:vMerge/>
            <w:tcBorders>
              <w:left w:val="single" w:sz="8" w:space="0" w:color="auto"/>
              <w:bottom w:val="single" w:sz="8" w:space="0" w:color="auto"/>
              <w:right w:val="single" w:sz="8" w:space="0" w:color="auto"/>
            </w:tcBorders>
            <w:shd w:val="clear" w:color="auto" w:fill="BDD6EE" w:themeFill="accent5" w:themeFillTint="66"/>
            <w:vAlign w:val="center"/>
            <w:hideMark/>
          </w:tcPr>
          <w:p w14:paraId="5807559B"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p>
        </w:tc>
        <w:tc>
          <w:tcPr>
            <w:tcW w:w="2275" w:type="dxa"/>
            <w:tcBorders>
              <w:top w:val="nil"/>
              <w:left w:val="nil"/>
              <w:bottom w:val="single" w:sz="8" w:space="0" w:color="auto"/>
              <w:right w:val="single" w:sz="8" w:space="0" w:color="auto"/>
            </w:tcBorders>
            <w:shd w:val="clear" w:color="auto" w:fill="BDD6EE" w:themeFill="accent5" w:themeFillTint="66"/>
            <w:vAlign w:val="center"/>
            <w:hideMark/>
          </w:tcPr>
          <w:p w14:paraId="2C6C0CFA"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Số tiền</w:t>
            </w:r>
          </w:p>
        </w:tc>
        <w:tc>
          <w:tcPr>
            <w:tcW w:w="994" w:type="dxa"/>
            <w:tcBorders>
              <w:top w:val="nil"/>
              <w:left w:val="nil"/>
              <w:bottom w:val="single" w:sz="8" w:space="0" w:color="auto"/>
              <w:right w:val="single" w:sz="8" w:space="0" w:color="auto"/>
            </w:tcBorders>
            <w:shd w:val="clear" w:color="auto" w:fill="BDD6EE" w:themeFill="accent5" w:themeFillTint="66"/>
            <w:vAlign w:val="center"/>
            <w:hideMark/>
          </w:tcPr>
          <w:p w14:paraId="483A9B5A"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Tỷ lệ (%)</w:t>
            </w:r>
          </w:p>
        </w:tc>
        <w:tc>
          <w:tcPr>
            <w:tcW w:w="2268" w:type="dxa"/>
            <w:tcBorders>
              <w:top w:val="nil"/>
              <w:left w:val="nil"/>
              <w:bottom w:val="single" w:sz="8" w:space="0" w:color="auto"/>
              <w:right w:val="single" w:sz="8" w:space="0" w:color="auto"/>
            </w:tcBorders>
            <w:shd w:val="clear" w:color="auto" w:fill="BDD6EE" w:themeFill="accent5" w:themeFillTint="66"/>
            <w:vAlign w:val="center"/>
            <w:hideMark/>
          </w:tcPr>
          <w:p w14:paraId="0B669EF2"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lang w:val="vi-VN"/>
              </w:rPr>
              <w:t xml:space="preserve">Số </w:t>
            </w:r>
            <w:r w:rsidRPr="00734055">
              <w:rPr>
                <w:rFonts w:ascii="Times New Roman" w:eastAsia="Times New Roman" w:hAnsi="Times New Roman" w:cs="Times New Roman"/>
                <w:b/>
                <w:bCs/>
                <w:color w:val="000000"/>
                <w:sz w:val="24"/>
                <w:szCs w:val="24"/>
              </w:rPr>
              <w:t>Tiền</w:t>
            </w:r>
          </w:p>
        </w:tc>
        <w:tc>
          <w:tcPr>
            <w:tcW w:w="1181" w:type="dxa"/>
            <w:tcBorders>
              <w:top w:val="nil"/>
              <w:left w:val="nil"/>
              <w:bottom w:val="single" w:sz="8" w:space="0" w:color="auto"/>
              <w:right w:val="single" w:sz="8" w:space="0" w:color="auto"/>
            </w:tcBorders>
            <w:shd w:val="clear" w:color="auto" w:fill="BDD6EE" w:themeFill="accent5" w:themeFillTint="66"/>
            <w:vAlign w:val="center"/>
            <w:hideMark/>
          </w:tcPr>
          <w:p w14:paraId="7AEC55D2"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Tỷ lệ (%)</w:t>
            </w:r>
          </w:p>
        </w:tc>
      </w:tr>
      <w:tr w:rsidR="007F4FC0" w:rsidRPr="00734055" w14:paraId="415CBC48" w14:textId="77777777" w:rsidTr="00760EE6">
        <w:trPr>
          <w:gridAfter w:val="1"/>
          <w:wAfter w:w="225" w:type="dxa"/>
          <w:trHeight w:val="476"/>
        </w:trPr>
        <w:tc>
          <w:tcPr>
            <w:tcW w:w="2970" w:type="dxa"/>
            <w:vMerge w:val="restart"/>
            <w:tcBorders>
              <w:top w:val="nil"/>
              <w:left w:val="single" w:sz="8" w:space="0" w:color="auto"/>
              <w:bottom w:val="single" w:sz="8" w:space="0" w:color="000000"/>
              <w:right w:val="single" w:sz="8" w:space="0" w:color="auto"/>
            </w:tcBorders>
            <w:shd w:val="clear" w:color="auto" w:fill="BDD6EE" w:themeFill="accent5" w:themeFillTint="66"/>
            <w:vAlign w:val="center"/>
            <w:hideMark/>
          </w:tcPr>
          <w:p w14:paraId="7A30ED81" w14:textId="77777777" w:rsidR="007F4FC0" w:rsidRPr="00734055" w:rsidRDefault="007F4FC0" w:rsidP="0058342F">
            <w:pPr>
              <w:spacing w:after="0" w:line="240" w:lineRule="auto"/>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I.VỐN LƯU ĐỘNG</w:t>
            </w:r>
          </w:p>
        </w:tc>
        <w:tc>
          <w:tcPr>
            <w:tcW w:w="2275"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14:paraId="421469F2"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bookmarkStart w:id="6" w:name="_Hlk106839622"/>
            <w:r w:rsidRPr="00734055">
              <w:rPr>
                <w:rFonts w:ascii="Times New Roman" w:eastAsia="Times New Roman" w:hAnsi="Times New Roman" w:cs="Times New Roman"/>
                <w:b/>
                <w:bCs/>
                <w:color w:val="000000"/>
                <w:sz w:val="24"/>
                <w:szCs w:val="24"/>
              </w:rPr>
              <w:t>1,319,302,027,595</w:t>
            </w:r>
            <w:bookmarkEnd w:id="6"/>
          </w:p>
        </w:tc>
        <w:tc>
          <w:tcPr>
            <w:tcW w:w="994"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14:paraId="24313AF6"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bookmarkStart w:id="7" w:name="_Hlk106839691"/>
            <w:r w:rsidRPr="00734055">
              <w:rPr>
                <w:rFonts w:ascii="Times New Roman" w:eastAsia="Times New Roman" w:hAnsi="Times New Roman" w:cs="Times New Roman"/>
                <w:b/>
                <w:bCs/>
                <w:color w:val="000000"/>
                <w:sz w:val="24"/>
                <w:szCs w:val="24"/>
              </w:rPr>
              <w:t>38%</w:t>
            </w:r>
            <w:bookmarkEnd w:id="7"/>
          </w:p>
        </w:tc>
        <w:tc>
          <w:tcPr>
            <w:tcW w:w="2268"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14:paraId="0FAFC53D"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bookmarkStart w:id="8" w:name="_Hlk106878339"/>
            <w:r w:rsidRPr="00734055">
              <w:rPr>
                <w:rFonts w:ascii="Times New Roman" w:eastAsia="Times New Roman" w:hAnsi="Times New Roman" w:cs="Times New Roman"/>
                <w:b/>
                <w:bCs/>
                <w:color w:val="000000"/>
                <w:sz w:val="24"/>
                <w:szCs w:val="24"/>
              </w:rPr>
              <w:t>15,923,503,022,351</w:t>
            </w:r>
            <w:bookmarkEnd w:id="8"/>
          </w:p>
        </w:tc>
        <w:tc>
          <w:tcPr>
            <w:tcW w:w="1181"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14:paraId="652E6EC7"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334%</w:t>
            </w:r>
          </w:p>
        </w:tc>
      </w:tr>
      <w:tr w:rsidR="007F4FC0" w:rsidRPr="00734055" w14:paraId="6261B2DD" w14:textId="77777777" w:rsidTr="00760EE6">
        <w:trPr>
          <w:trHeight w:val="163"/>
        </w:trPr>
        <w:tc>
          <w:tcPr>
            <w:tcW w:w="2970" w:type="dxa"/>
            <w:vMerge/>
            <w:tcBorders>
              <w:top w:val="nil"/>
              <w:left w:val="single" w:sz="8" w:space="0" w:color="auto"/>
              <w:bottom w:val="single" w:sz="8" w:space="0" w:color="000000"/>
              <w:right w:val="single" w:sz="8" w:space="0" w:color="auto"/>
            </w:tcBorders>
            <w:shd w:val="clear" w:color="auto" w:fill="BDD6EE" w:themeFill="accent5" w:themeFillTint="66"/>
            <w:vAlign w:val="center"/>
            <w:hideMark/>
          </w:tcPr>
          <w:p w14:paraId="1DAFF6E4" w14:textId="77777777" w:rsidR="007F4FC0" w:rsidRPr="00734055" w:rsidRDefault="007F4FC0" w:rsidP="0058342F">
            <w:pPr>
              <w:spacing w:after="0" w:line="240" w:lineRule="auto"/>
              <w:rPr>
                <w:rFonts w:ascii="Times New Roman" w:eastAsia="Times New Roman" w:hAnsi="Times New Roman" w:cs="Times New Roman"/>
                <w:b/>
                <w:bCs/>
                <w:color w:val="000000"/>
                <w:sz w:val="24"/>
                <w:szCs w:val="24"/>
              </w:rPr>
            </w:pPr>
          </w:p>
        </w:tc>
        <w:tc>
          <w:tcPr>
            <w:tcW w:w="2275"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14:paraId="029F4F6A"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p>
        </w:tc>
        <w:tc>
          <w:tcPr>
            <w:tcW w:w="994"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14:paraId="34B64D08"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p>
        </w:tc>
        <w:tc>
          <w:tcPr>
            <w:tcW w:w="2268"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14:paraId="50B5F63D"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p>
        </w:tc>
        <w:tc>
          <w:tcPr>
            <w:tcW w:w="1181"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14:paraId="6FB453D4"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p>
        </w:tc>
        <w:tc>
          <w:tcPr>
            <w:tcW w:w="225" w:type="dxa"/>
            <w:tcBorders>
              <w:top w:val="nil"/>
              <w:left w:val="nil"/>
              <w:bottom w:val="nil"/>
              <w:right w:val="nil"/>
            </w:tcBorders>
            <w:shd w:val="clear" w:color="auto" w:fill="FFFFFF" w:themeFill="background1"/>
            <w:noWrap/>
            <w:vAlign w:val="bottom"/>
            <w:hideMark/>
          </w:tcPr>
          <w:p w14:paraId="7400EBC4" w14:textId="77777777" w:rsidR="007F4FC0" w:rsidRPr="00734055" w:rsidRDefault="007F4FC0" w:rsidP="0058342F">
            <w:pPr>
              <w:spacing w:after="0" w:line="240" w:lineRule="auto"/>
              <w:jc w:val="right"/>
              <w:rPr>
                <w:rFonts w:ascii="Times New Roman" w:eastAsia="Times New Roman" w:hAnsi="Times New Roman" w:cs="Times New Roman"/>
                <w:color w:val="000000"/>
                <w:sz w:val="24"/>
                <w:szCs w:val="24"/>
              </w:rPr>
            </w:pPr>
          </w:p>
        </w:tc>
      </w:tr>
      <w:tr w:rsidR="007F4FC0" w:rsidRPr="00734055" w14:paraId="48A9EE23" w14:textId="77777777" w:rsidTr="00760EE6">
        <w:trPr>
          <w:trHeight w:val="289"/>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5917C171" w14:textId="77777777" w:rsidR="007F4FC0" w:rsidRPr="00734055" w:rsidRDefault="007F4FC0" w:rsidP="0058342F">
            <w:pPr>
              <w:spacing w:after="0" w:line="240" w:lineRule="auto"/>
              <w:rPr>
                <w:rFonts w:ascii="Times New Roman" w:eastAsia="Times New Roman" w:hAnsi="Times New Roman" w:cs="Times New Roman"/>
                <w:color w:val="000000"/>
                <w:sz w:val="24"/>
                <w:szCs w:val="24"/>
              </w:rPr>
            </w:pPr>
            <w:bookmarkStart w:id="9" w:name="_Hlk106840607"/>
            <w:r w:rsidRPr="00734055">
              <w:rPr>
                <w:rFonts w:ascii="Times New Roman" w:eastAsia="Times New Roman" w:hAnsi="Times New Roman" w:cs="Times New Roman"/>
                <w:color w:val="000000"/>
                <w:sz w:val="24"/>
                <w:szCs w:val="24"/>
                <w:lang w:val="vi-VN"/>
              </w:rPr>
              <w:t>Tài sản ngắn hạn</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7F65013C"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26,310,321,287,116</w:t>
            </w:r>
          </w:p>
        </w:tc>
        <w:tc>
          <w:tcPr>
            <w:tcW w:w="994" w:type="dxa"/>
            <w:tcBorders>
              <w:top w:val="nil"/>
              <w:left w:val="nil"/>
              <w:bottom w:val="single" w:sz="8" w:space="0" w:color="auto"/>
              <w:right w:val="single" w:sz="8" w:space="0" w:color="auto"/>
            </w:tcBorders>
            <w:shd w:val="clear" w:color="auto" w:fill="FFFFFF" w:themeFill="background1"/>
            <w:vAlign w:val="center"/>
            <w:hideMark/>
          </w:tcPr>
          <w:p w14:paraId="60ED5E4B"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86%</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0D475B0F"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bookmarkStart w:id="10" w:name="_Hlk106896201"/>
            <w:r w:rsidRPr="00734055">
              <w:rPr>
                <w:rFonts w:ascii="Times New Roman" w:eastAsia="Times New Roman" w:hAnsi="Times New Roman" w:cs="Times New Roman"/>
                <w:color w:val="000000"/>
                <w:sz w:val="24"/>
                <w:szCs w:val="24"/>
              </w:rPr>
              <w:t>37,407,601,451,294</w:t>
            </w:r>
            <w:bookmarkEnd w:id="10"/>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057D12F0"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66%</w:t>
            </w:r>
          </w:p>
        </w:tc>
        <w:tc>
          <w:tcPr>
            <w:tcW w:w="225" w:type="dxa"/>
            <w:shd w:val="clear" w:color="auto" w:fill="FFFFFF" w:themeFill="background1"/>
            <w:vAlign w:val="center"/>
            <w:hideMark/>
          </w:tcPr>
          <w:p w14:paraId="2A4C356A"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tr w:rsidR="007F4FC0" w:rsidRPr="00734055" w14:paraId="2D224D51" w14:textId="77777777" w:rsidTr="00760EE6">
        <w:trPr>
          <w:trHeight w:val="163"/>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3A218B42" w14:textId="77777777" w:rsidR="007F4FC0" w:rsidRPr="00734055" w:rsidRDefault="007F4FC0" w:rsidP="0058342F">
            <w:pPr>
              <w:spacing w:after="0" w:line="240" w:lineRule="auto"/>
              <w:rPr>
                <w:rFonts w:ascii="Times New Roman" w:eastAsia="Times New Roman" w:hAnsi="Times New Roman" w:cs="Times New Roman"/>
                <w:color w:val="000000"/>
                <w:sz w:val="24"/>
                <w:szCs w:val="24"/>
              </w:rPr>
            </w:pPr>
            <w:bookmarkStart w:id="11" w:name="_Hlk106840785"/>
            <w:bookmarkEnd w:id="9"/>
            <w:r w:rsidRPr="00734055">
              <w:rPr>
                <w:rFonts w:ascii="Times New Roman" w:eastAsia="Times New Roman" w:hAnsi="Times New Roman" w:cs="Times New Roman"/>
                <w:color w:val="000000"/>
                <w:sz w:val="24"/>
                <w:szCs w:val="24"/>
                <w:lang w:val="vi-VN"/>
              </w:rPr>
              <w:t>Nợ ngắn hạn</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33E834F3"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24,991,019,259,521</w:t>
            </w:r>
          </w:p>
        </w:tc>
        <w:tc>
          <w:tcPr>
            <w:tcW w:w="994" w:type="dxa"/>
            <w:tcBorders>
              <w:top w:val="nil"/>
              <w:left w:val="nil"/>
              <w:bottom w:val="single" w:sz="8" w:space="0" w:color="auto"/>
              <w:right w:val="single" w:sz="8" w:space="0" w:color="auto"/>
            </w:tcBorders>
            <w:shd w:val="clear" w:color="auto" w:fill="FFFFFF" w:themeFill="background1"/>
            <w:vAlign w:val="center"/>
            <w:hideMark/>
          </w:tcPr>
          <w:p w14:paraId="6E441D2D"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93%</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46202B74"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21,484,098,428,943</w:t>
            </w:r>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5B2FCE64"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41%</w:t>
            </w:r>
          </w:p>
        </w:tc>
        <w:tc>
          <w:tcPr>
            <w:tcW w:w="225" w:type="dxa"/>
            <w:shd w:val="clear" w:color="auto" w:fill="FFFFFF" w:themeFill="background1"/>
            <w:vAlign w:val="center"/>
            <w:hideMark/>
          </w:tcPr>
          <w:p w14:paraId="540DB695"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bookmarkEnd w:id="11"/>
      <w:tr w:rsidR="007F4FC0" w:rsidRPr="00734055" w14:paraId="0C956321" w14:textId="77777777" w:rsidTr="00760EE6">
        <w:trPr>
          <w:trHeight w:val="304"/>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17FCF871" w14:textId="77777777" w:rsidR="007F4FC0" w:rsidRPr="00734055" w:rsidRDefault="007F4FC0" w:rsidP="0058342F">
            <w:pPr>
              <w:spacing w:after="0" w:line="240" w:lineRule="auto"/>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II.NHU CẦU VỐN LƯU ĐỘNG</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5ED3BC9F" w14:textId="77777777" w:rsidR="007F4FC0" w:rsidRPr="00734055" w:rsidRDefault="007F4FC0" w:rsidP="0058342F">
            <w:pPr>
              <w:spacing w:after="0" w:line="240" w:lineRule="auto"/>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lang w:val="vi-VN"/>
              </w:rPr>
              <w:t>-</w:t>
            </w:r>
            <w:bookmarkStart w:id="12" w:name="_Hlk106841111"/>
            <w:r w:rsidRPr="00734055">
              <w:rPr>
                <w:rFonts w:ascii="Times New Roman" w:eastAsia="Times New Roman" w:hAnsi="Times New Roman" w:cs="Times New Roman"/>
                <w:b/>
                <w:bCs/>
                <w:color w:val="000000"/>
                <w:sz w:val="24"/>
                <w:szCs w:val="24"/>
              </w:rPr>
              <w:t>10,522,519,451,007</w:t>
            </w:r>
            <w:bookmarkEnd w:id="12"/>
          </w:p>
        </w:tc>
        <w:tc>
          <w:tcPr>
            <w:tcW w:w="994" w:type="dxa"/>
            <w:tcBorders>
              <w:top w:val="nil"/>
              <w:left w:val="nil"/>
              <w:bottom w:val="single" w:sz="8" w:space="0" w:color="auto"/>
              <w:right w:val="single" w:sz="8" w:space="0" w:color="auto"/>
            </w:tcBorders>
            <w:shd w:val="clear" w:color="auto" w:fill="FFFFFF" w:themeFill="background1"/>
            <w:vAlign w:val="center"/>
            <w:hideMark/>
          </w:tcPr>
          <w:p w14:paraId="7BF81B17"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-171%</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783440CE"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bookmarkStart w:id="13" w:name="_Hlk106897082"/>
            <w:r w:rsidRPr="00734055">
              <w:rPr>
                <w:rFonts w:ascii="Times New Roman" w:eastAsia="Times New Roman" w:hAnsi="Times New Roman" w:cs="Times New Roman"/>
                <w:b/>
                <w:bCs/>
                <w:color w:val="000000"/>
                <w:sz w:val="24"/>
                <w:szCs w:val="24"/>
              </w:rPr>
              <w:t>10,436,384,629,110</w:t>
            </w:r>
            <w:bookmarkEnd w:id="13"/>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07A71DFE"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-238%</w:t>
            </w:r>
          </w:p>
        </w:tc>
        <w:tc>
          <w:tcPr>
            <w:tcW w:w="225" w:type="dxa"/>
            <w:shd w:val="clear" w:color="auto" w:fill="FFFFFF" w:themeFill="background1"/>
            <w:vAlign w:val="center"/>
            <w:hideMark/>
          </w:tcPr>
          <w:p w14:paraId="31365631"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tr w:rsidR="007F4FC0" w:rsidRPr="00734055" w14:paraId="1E6C23B4" w14:textId="77777777" w:rsidTr="00760EE6">
        <w:trPr>
          <w:trHeight w:val="304"/>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5A08ADD9" w14:textId="77777777" w:rsidR="007F4FC0" w:rsidRPr="00734055" w:rsidRDefault="007F4FC0" w:rsidP="0058342F">
            <w:pPr>
              <w:spacing w:after="0" w:line="240" w:lineRule="auto"/>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1.Hàng tồn kho</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1A0234E7"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6,874,899,481,107</w:t>
            </w:r>
          </w:p>
        </w:tc>
        <w:tc>
          <w:tcPr>
            <w:tcW w:w="994" w:type="dxa"/>
            <w:tcBorders>
              <w:top w:val="nil"/>
              <w:left w:val="nil"/>
              <w:bottom w:val="single" w:sz="8" w:space="0" w:color="auto"/>
              <w:right w:val="single" w:sz="8" w:space="0" w:color="auto"/>
            </w:tcBorders>
            <w:shd w:val="clear" w:color="auto" w:fill="FFFFFF" w:themeFill="background1"/>
            <w:vAlign w:val="center"/>
            <w:hideMark/>
          </w:tcPr>
          <w:p w14:paraId="61B437F1"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35%</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59D2F0F7"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15,847,671,703,008</w:t>
            </w:r>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0C731A76"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60%</w:t>
            </w:r>
          </w:p>
        </w:tc>
        <w:tc>
          <w:tcPr>
            <w:tcW w:w="225" w:type="dxa"/>
            <w:shd w:val="clear" w:color="auto" w:fill="FFFFFF" w:themeFill="background1"/>
            <w:vAlign w:val="center"/>
            <w:hideMark/>
          </w:tcPr>
          <w:p w14:paraId="36CAD578"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tr w:rsidR="007F4FC0" w:rsidRPr="00734055" w14:paraId="6ECE06CF" w14:textId="77777777" w:rsidTr="00760EE6">
        <w:trPr>
          <w:trHeight w:val="431"/>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35A27254" w14:textId="77777777" w:rsidR="007F4FC0" w:rsidRPr="00734055" w:rsidRDefault="007F4FC0" w:rsidP="0058342F">
            <w:pPr>
              <w:spacing w:after="0" w:line="240" w:lineRule="auto"/>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2.Các khoản phải thu ngắn hạn</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3408D45D"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bookmarkStart w:id="14" w:name="_Hlk106841338"/>
            <w:r w:rsidRPr="00734055">
              <w:rPr>
                <w:rFonts w:ascii="Times New Roman" w:eastAsia="Times New Roman" w:hAnsi="Times New Roman" w:cs="Times New Roman"/>
                <w:color w:val="000000"/>
                <w:sz w:val="24"/>
                <w:szCs w:val="24"/>
              </w:rPr>
              <w:t>2,563,393,269,603</w:t>
            </w:r>
            <w:bookmarkEnd w:id="14"/>
          </w:p>
        </w:tc>
        <w:tc>
          <w:tcPr>
            <w:tcW w:w="994" w:type="dxa"/>
            <w:tcBorders>
              <w:top w:val="nil"/>
              <w:left w:val="nil"/>
              <w:bottom w:val="single" w:sz="8" w:space="0" w:color="auto"/>
              <w:right w:val="single" w:sz="8" w:space="0" w:color="auto"/>
            </w:tcBorders>
            <w:shd w:val="clear" w:color="auto" w:fill="FFFFFF" w:themeFill="background1"/>
            <w:vAlign w:val="center"/>
            <w:hideMark/>
          </w:tcPr>
          <w:p w14:paraId="51C7B113"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72%</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74E11611"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1,537,890,336,354</w:t>
            </w:r>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7A188727"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25%</w:t>
            </w:r>
          </w:p>
        </w:tc>
        <w:tc>
          <w:tcPr>
            <w:tcW w:w="225" w:type="dxa"/>
            <w:shd w:val="clear" w:color="auto" w:fill="FFFFFF" w:themeFill="background1"/>
            <w:vAlign w:val="center"/>
            <w:hideMark/>
          </w:tcPr>
          <w:p w14:paraId="1A05E279"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tr w:rsidR="007F4FC0" w:rsidRPr="00734055" w14:paraId="6B4FE35A" w14:textId="77777777" w:rsidTr="00760EE6">
        <w:trPr>
          <w:trHeight w:val="304"/>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70E81EA5" w14:textId="77777777" w:rsidR="007F4FC0" w:rsidRPr="00734055" w:rsidRDefault="007F4FC0" w:rsidP="0058342F">
            <w:pPr>
              <w:spacing w:after="0" w:line="240" w:lineRule="auto"/>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3.Các khoản phải trả ngắn hạn</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13EC8C11"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19,960,812,201,717</w:t>
            </w:r>
          </w:p>
        </w:tc>
        <w:tc>
          <w:tcPr>
            <w:tcW w:w="994" w:type="dxa"/>
            <w:tcBorders>
              <w:top w:val="nil"/>
              <w:left w:val="nil"/>
              <w:bottom w:val="single" w:sz="8" w:space="0" w:color="auto"/>
              <w:right w:val="single" w:sz="8" w:space="0" w:color="auto"/>
            </w:tcBorders>
            <w:shd w:val="clear" w:color="auto" w:fill="FFFFFF" w:themeFill="background1"/>
            <w:vAlign w:val="center"/>
            <w:hideMark/>
          </w:tcPr>
          <w:p w14:paraId="74C61FD8"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119%</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6FC0A018"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6,949,177,410,252</w:t>
            </w:r>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4BCAB806" w14:textId="77777777" w:rsidR="007F4FC0" w:rsidRPr="00734055" w:rsidRDefault="007F4FC0" w:rsidP="0058342F">
            <w:pPr>
              <w:spacing w:after="0" w:line="240" w:lineRule="auto"/>
              <w:jc w:val="center"/>
              <w:rPr>
                <w:rFonts w:ascii="Times New Roman" w:eastAsia="Times New Roman" w:hAnsi="Times New Roman" w:cs="Times New Roman"/>
                <w:color w:val="000000"/>
                <w:sz w:val="24"/>
                <w:szCs w:val="24"/>
              </w:rPr>
            </w:pPr>
            <w:r w:rsidRPr="00734055">
              <w:rPr>
                <w:rFonts w:ascii="Times New Roman" w:eastAsia="Times New Roman" w:hAnsi="Times New Roman" w:cs="Times New Roman"/>
                <w:color w:val="000000"/>
                <w:sz w:val="24"/>
                <w:szCs w:val="24"/>
              </w:rPr>
              <w:t>19%</w:t>
            </w:r>
          </w:p>
        </w:tc>
        <w:tc>
          <w:tcPr>
            <w:tcW w:w="225" w:type="dxa"/>
            <w:shd w:val="clear" w:color="auto" w:fill="FFFFFF" w:themeFill="background1"/>
            <w:vAlign w:val="center"/>
            <w:hideMark/>
          </w:tcPr>
          <w:p w14:paraId="3B028909"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tr w:rsidR="007F4FC0" w:rsidRPr="00734055" w14:paraId="796D7A7A" w14:textId="77777777" w:rsidTr="00760EE6">
        <w:trPr>
          <w:trHeight w:val="431"/>
        </w:trPr>
        <w:tc>
          <w:tcPr>
            <w:tcW w:w="2970" w:type="dxa"/>
            <w:tcBorders>
              <w:top w:val="nil"/>
              <w:left w:val="single" w:sz="8" w:space="0" w:color="auto"/>
              <w:bottom w:val="single" w:sz="8" w:space="0" w:color="auto"/>
              <w:right w:val="single" w:sz="8" w:space="0" w:color="auto"/>
            </w:tcBorders>
            <w:shd w:val="clear" w:color="auto" w:fill="BDD6EE" w:themeFill="accent5" w:themeFillTint="66"/>
            <w:vAlign w:val="center"/>
            <w:hideMark/>
          </w:tcPr>
          <w:p w14:paraId="72D1DFAA" w14:textId="77777777" w:rsidR="007F4FC0" w:rsidRPr="00734055" w:rsidRDefault="007F4FC0" w:rsidP="0058342F">
            <w:pPr>
              <w:spacing w:after="0" w:line="240" w:lineRule="auto"/>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 xml:space="preserve">III.VỐN LƯU ĐỘNG – NHU CẦU VỐN LƯU ĐỘNG </w:t>
            </w:r>
          </w:p>
        </w:tc>
        <w:tc>
          <w:tcPr>
            <w:tcW w:w="2275" w:type="dxa"/>
            <w:tcBorders>
              <w:top w:val="nil"/>
              <w:left w:val="nil"/>
              <w:bottom w:val="single" w:sz="8" w:space="0" w:color="auto"/>
              <w:right w:val="single" w:sz="8" w:space="0" w:color="auto"/>
            </w:tcBorders>
            <w:shd w:val="clear" w:color="auto" w:fill="FFFFFF" w:themeFill="background1"/>
            <w:vAlign w:val="center"/>
            <w:hideMark/>
          </w:tcPr>
          <w:p w14:paraId="787E7337"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11,841,821,478,602</w:t>
            </w:r>
          </w:p>
        </w:tc>
        <w:tc>
          <w:tcPr>
            <w:tcW w:w="994" w:type="dxa"/>
            <w:tcBorders>
              <w:top w:val="nil"/>
              <w:left w:val="nil"/>
              <w:bottom w:val="single" w:sz="8" w:space="0" w:color="auto"/>
              <w:right w:val="single" w:sz="8" w:space="0" w:color="auto"/>
            </w:tcBorders>
            <w:shd w:val="clear" w:color="auto" w:fill="FFFFFF" w:themeFill="background1"/>
            <w:vAlign w:val="center"/>
            <w:hideMark/>
          </w:tcPr>
          <w:p w14:paraId="26170BEE"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-441%</w:t>
            </w:r>
          </w:p>
        </w:tc>
        <w:tc>
          <w:tcPr>
            <w:tcW w:w="2268" w:type="dxa"/>
            <w:tcBorders>
              <w:top w:val="nil"/>
              <w:left w:val="nil"/>
              <w:bottom w:val="single" w:sz="8" w:space="0" w:color="auto"/>
              <w:right w:val="single" w:sz="8" w:space="0" w:color="auto"/>
            </w:tcBorders>
            <w:shd w:val="clear" w:color="auto" w:fill="FFFFFF" w:themeFill="background1"/>
            <w:vAlign w:val="center"/>
            <w:hideMark/>
          </w:tcPr>
          <w:p w14:paraId="5D31622E"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5,487,118,393,241</w:t>
            </w:r>
          </w:p>
        </w:tc>
        <w:tc>
          <w:tcPr>
            <w:tcW w:w="1181" w:type="dxa"/>
            <w:tcBorders>
              <w:top w:val="nil"/>
              <w:left w:val="nil"/>
              <w:bottom w:val="single" w:sz="8" w:space="0" w:color="auto"/>
              <w:right w:val="single" w:sz="8" w:space="0" w:color="auto"/>
            </w:tcBorders>
            <w:shd w:val="clear" w:color="auto" w:fill="FFFFFF" w:themeFill="background1"/>
            <w:vAlign w:val="center"/>
            <w:hideMark/>
          </w:tcPr>
          <w:p w14:paraId="4A906BCE" w14:textId="77777777" w:rsidR="007F4FC0" w:rsidRPr="00734055" w:rsidRDefault="007F4FC0" w:rsidP="0058342F">
            <w:pPr>
              <w:spacing w:after="0" w:line="240" w:lineRule="auto"/>
              <w:jc w:val="center"/>
              <w:rPr>
                <w:rFonts w:ascii="Times New Roman" w:eastAsia="Times New Roman" w:hAnsi="Times New Roman" w:cs="Times New Roman"/>
                <w:b/>
                <w:bCs/>
                <w:color w:val="000000"/>
                <w:sz w:val="24"/>
                <w:szCs w:val="24"/>
              </w:rPr>
            </w:pPr>
            <w:r w:rsidRPr="00734055">
              <w:rPr>
                <w:rFonts w:ascii="Times New Roman" w:eastAsia="Times New Roman" w:hAnsi="Times New Roman" w:cs="Times New Roman"/>
                <w:b/>
                <w:bCs/>
                <w:color w:val="000000"/>
                <w:sz w:val="24"/>
                <w:szCs w:val="24"/>
              </w:rPr>
              <w:t>60%</w:t>
            </w:r>
          </w:p>
        </w:tc>
        <w:tc>
          <w:tcPr>
            <w:tcW w:w="225" w:type="dxa"/>
            <w:shd w:val="clear" w:color="auto" w:fill="FFFFFF" w:themeFill="background1"/>
            <w:vAlign w:val="center"/>
            <w:hideMark/>
          </w:tcPr>
          <w:p w14:paraId="2184A9A9" w14:textId="77777777" w:rsidR="007F4FC0" w:rsidRPr="00734055" w:rsidRDefault="007F4FC0" w:rsidP="0058342F">
            <w:pPr>
              <w:spacing w:after="0" w:line="240" w:lineRule="auto"/>
              <w:rPr>
                <w:rFonts w:ascii="Times New Roman" w:eastAsia="Times New Roman" w:hAnsi="Times New Roman" w:cs="Times New Roman"/>
                <w:sz w:val="24"/>
                <w:szCs w:val="24"/>
              </w:rPr>
            </w:pPr>
          </w:p>
        </w:tc>
      </w:tr>
    </w:tbl>
    <w:p w14:paraId="61A0A3D6" w14:textId="77777777" w:rsidR="000B61C7" w:rsidRPr="00734055" w:rsidRDefault="007F4FC0" w:rsidP="000B61C7">
      <w:pPr>
        <w:rPr>
          <w:rFonts w:ascii="Times New Roman" w:hAnsi="Times New Roman" w:cs="Times New Roman"/>
          <w:i/>
          <w:iCs/>
          <w:sz w:val="24"/>
          <w:szCs w:val="24"/>
        </w:rPr>
      </w:pPr>
      <w:r w:rsidRPr="00734055">
        <w:rPr>
          <w:rFonts w:ascii="Times New Roman" w:hAnsi="Times New Roman" w:cs="Times New Roman"/>
          <w:i/>
          <w:iCs/>
          <w:sz w:val="24"/>
          <w:szCs w:val="24"/>
          <w:lang w:val="vi-VN"/>
        </w:rPr>
        <w:t xml:space="preserve">                                           </w:t>
      </w:r>
      <w:r w:rsidR="000B61C7" w:rsidRPr="00734055">
        <w:rPr>
          <w:rFonts w:ascii="Times New Roman" w:hAnsi="Times New Roman" w:cs="Times New Roman"/>
          <w:i/>
          <w:iCs/>
          <w:sz w:val="24"/>
          <w:szCs w:val="24"/>
        </w:rPr>
        <w:t xml:space="preserve">  </w:t>
      </w:r>
    </w:p>
    <w:p w14:paraId="173D6F7A" w14:textId="4BCEC475" w:rsidR="007F4FC0" w:rsidRPr="00734055" w:rsidRDefault="000B61C7" w:rsidP="007F4FC0">
      <w:pPr>
        <w:rPr>
          <w:rFonts w:ascii="Times New Roman" w:hAnsi="Times New Roman" w:cs="Times New Roman"/>
          <w:i/>
          <w:iCs/>
          <w:sz w:val="24"/>
          <w:szCs w:val="24"/>
          <w:lang w:val="vi-VN"/>
        </w:rPr>
      </w:pPr>
      <w:r w:rsidRPr="00734055">
        <w:rPr>
          <w:rFonts w:ascii="Times New Roman" w:hAnsi="Times New Roman" w:cs="Times New Roman"/>
          <w:i/>
          <w:iCs/>
          <w:sz w:val="24"/>
          <w:szCs w:val="24"/>
        </w:rPr>
        <w:t xml:space="preserve">                                                       </w:t>
      </w:r>
      <w:r w:rsidR="007F4FC0" w:rsidRPr="00734055">
        <w:rPr>
          <w:rFonts w:ascii="Times New Roman" w:hAnsi="Times New Roman" w:cs="Times New Roman"/>
          <w:b/>
          <w:bCs/>
          <w:i/>
          <w:iCs/>
          <w:sz w:val="24"/>
          <w:szCs w:val="24"/>
          <w:lang w:val="vi-VN"/>
        </w:rPr>
        <w:t xml:space="preserve"> Chính sách tài trợ của Hòa Phát</w:t>
      </w:r>
    </w:p>
    <w:p w14:paraId="2AEA474E" w14:textId="77777777" w:rsidR="007F4FC0" w:rsidRPr="00734055" w:rsidRDefault="007F4FC0" w:rsidP="007F4FC0">
      <w:pPr>
        <w:rPr>
          <w:rFonts w:ascii="Times New Roman" w:hAnsi="Times New Roman" w:cs="Times New Roman"/>
          <w:iCs/>
          <w:sz w:val="24"/>
          <w:szCs w:val="24"/>
          <w:u w:val="single"/>
          <w:lang w:val="vi-VN"/>
        </w:rPr>
      </w:pPr>
      <w:r w:rsidRPr="00734055">
        <w:rPr>
          <w:rFonts w:ascii="Times New Roman" w:hAnsi="Times New Roman" w:cs="Times New Roman"/>
          <w:iCs/>
          <w:sz w:val="24"/>
          <w:szCs w:val="24"/>
          <w:u w:val="single"/>
          <w:lang w:val="vi-VN"/>
        </w:rPr>
        <w:t xml:space="preserve">Trong đó: </w:t>
      </w:r>
    </w:p>
    <w:p w14:paraId="78BE46B6" w14:textId="77777777" w:rsidR="007F4FC0" w:rsidRPr="00734055" w:rsidRDefault="007F4FC0" w:rsidP="007F4FC0">
      <w:pPr>
        <w:jc w:val="center"/>
        <w:rPr>
          <w:rFonts w:ascii="Times New Roman" w:hAnsi="Times New Roman" w:cs="Times New Roman"/>
          <w:i/>
          <w:sz w:val="24"/>
          <w:szCs w:val="24"/>
        </w:rPr>
      </w:pPr>
      <w:r w:rsidRPr="00734055">
        <w:rPr>
          <w:rFonts w:ascii="Times New Roman" w:hAnsi="Times New Roman" w:cs="Times New Roman"/>
          <w:i/>
          <w:sz w:val="24"/>
          <w:szCs w:val="24"/>
          <w:lang w:val="vi-VN"/>
        </w:rPr>
        <w:t>Vốn lưu động (VLĐ) = Tài sản ngắn hạn – Nợ ngắn hạn</w:t>
      </w:r>
    </w:p>
    <w:p w14:paraId="36ABA9FB" w14:textId="77777777" w:rsidR="007F4FC0" w:rsidRPr="00734055" w:rsidRDefault="007F4FC0" w:rsidP="007F4FC0">
      <w:pPr>
        <w:ind w:right="-306" w:hanging="142"/>
        <w:jc w:val="center"/>
        <w:rPr>
          <w:rFonts w:ascii="Times New Roman" w:hAnsi="Times New Roman" w:cs="Times New Roman"/>
          <w:i/>
          <w:sz w:val="24"/>
          <w:szCs w:val="24"/>
          <w:lang w:val="vi-VN"/>
        </w:rPr>
      </w:pPr>
      <w:r w:rsidRPr="00734055">
        <w:rPr>
          <w:rFonts w:ascii="Times New Roman" w:hAnsi="Times New Roman" w:cs="Times New Roman"/>
          <w:i/>
          <w:sz w:val="24"/>
          <w:szCs w:val="24"/>
          <w:lang w:val="vi-VN"/>
        </w:rPr>
        <w:t>Nhu cầu vốn lưu động (NCVLĐ) = Hàng tồn kho + Các khoản phải thu ngắn hạn – Các khoản phải trả ngắn hạn</w:t>
      </w:r>
    </w:p>
    <w:p w14:paraId="72A4D161" w14:textId="77777777" w:rsidR="007F4FC0" w:rsidRPr="00734055" w:rsidRDefault="007F4FC0" w:rsidP="007F4FC0">
      <w:pPr>
        <w:pStyle w:val="ListParagraph"/>
        <w:numPr>
          <w:ilvl w:val="0"/>
          <w:numId w:val="8"/>
        </w:numPr>
        <w:jc w:val="both"/>
        <w:rPr>
          <w:rFonts w:ascii="Times New Roman" w:hAnsi="Times New Roman" w:cs="Times New Roman"/>
          <w:b/>
          <w:bCs/>
          <w:sz w:val="24"/>
          <w:szCs w:val="24"/>
          <w:lang w:val="vi-VN"/>
        </w:rPr>
      </w:pPr>
      <w:r w:rsidRPr="00734055">
        <w:rPr>
          <w:rFonts w:ascii="Times New Roman" w:hAnsi="Times New Roman" w:cs="Times New Roman"/>
          <w:b/>
          <w:bCs/>
          <w:sz w:val="24"/>
          <w:szCs w:val="24"/>
          <w:lang w:val="vi-VN"/>
        </w:rPr>
        <w:t>Giai đoạn 2019 – 2020:</w:t>
      </w:r>
    </w:p>
    <w:p w14:paraId="5CD78045" w14:textId="77777777" w:rsidR="006F525E" w:rsidRPr="00734055" w:rsidRDefault="007F4FC0" w:rsidP="007F4FC0">
      <w:pPr>
        <w:numPr>
          <w:ilvl w:val="0"/>
          <w:numId w:val="3"/>
        </w:numPr>
        <w:ind w:right="-23"/>
        <w:contextualSpacing/>
        <w:jc w:val="both"/>
        <w:rPr>
          <w:rFonts w:ascii="Times New Roman" w:hAnsi="Times New Roman" w:cs="Times New Roman"/>
          <w:sz w:val="24"/>
          <w:szCs w:val="24"/>
          <w:lang w:val="vi-VN"/>
        </w:rPr>
      </w:pPr>
      <w:r w:rsidRPr="00734055">
        <w:rPr>
          <w:rFonts w:ascii="Times New Roman" w:hAnsi="Times New Roman" w:cs="Times New Roman"/>
          <w:b/>
          <w:bCs/>
          <w:sz w:val="24"/>
          <w:szCs w:val="24"/>
          <w:lang w:val="vi-VN"/>
        </w:rPr>
        <w:t xml:space="preserve">Vốn lưu động </w:t>
      </w:r>
      <w:r w:rsidRPr="00734055">
        <w:rPr>
          <w:rFonts w:ascii="Times New Roman" w:hAnsi="Times New Roman" w:cs="Times New Roman"/>
          <w:sz w:val="24"/>
          <w:szCs w:val="24"/>
          <w:lang w:val="vi-VN"/>
        </w:rPr>
        <w:t xml:space="preserve">: </w:t>
      </w:r>
    </w:p>
    <w:p w14:paraId="02A2C31F" w14:textId="77777777" w:rsidR="006F525E" w:rsidRPr="009E5EBA" w:rsidRDefault="007F4FC0" w:rsidP="009E5EBA">
      <w:pPr>
        <w:pStyle w:val="ListParagraph"/>
        <w:numPr>
          <w:ilvl w:val="0"/>
          <w:numId w:val="19"/>
        </w:numPr>
        <w:ind w:right="-23"/>
        <w:jc w:val="both"/>
        <w:rPr>
          <w:rFonts w:ascii="Times New Roman" w:hAnsi="Times New Roman" w:cs="Times New Roman"/>
          <w:sz w:val="24"/>
          <w:szCs w:val="24"/>
          <w:lang w:val="vi-VN"/>
        </w:rPr>
      </w:pPr>
      <w:r w:rsidRPr="009E5EBA">
        <w:rPr>
          <w:rFonts w:ascii="Times New Roman" w:hAnsi="Times New Roman" w:cs="Times New Roman"/>
          <w:sz w:val="24"/>
          <w:szCs w:val="24"/>
          <w:lang w:val="vi-VN"/>
        </w:rPr>
        <w:t xml:space="preserve">Chính sách tài trợ của công ty ở hai năm là hợp lý vì VLĐ năm 2019 là 3,452,738,721,917. Năm 2020 là  4,772,040,749,512  -  tăng 1,319,302,027,595 ( tỉ lệ 38%)  . </w:t>
      </w:r>
    </w:p>
    <w:p w14:paraId="6D23B4E0" w14:textId="77777777" w:rsidR="006F525E" w:rsidRPr="009E5EBA" w:rsidRDefault="00591A21" w:rsidP="009E5EBA">
      <w:pPr>
        <w:pStyle w:val="ListParagraph"/>
        <w:numPr>
          <w:ilvl w:val="0"/>
          <w:numId w:val="19"/>
        </w:numPr>
        <w:ind w:right="-23"/>
        <w:jc w:val="both"/>
        <w:rPr>
          <w:rFonts w:ascii="Times New Roman" w:hAnsi="Times New Roman" w:cs="Times New Roman"/>
          <w:sz w:val="24"/>
          <w:szCs w:val="24"/>
          <w:lang w:val="vi-VN"/>
        </w:rPr>
      </w:pPr>
      <w:r w:rsidRPr="009E5EBA">
        <w:rPr>
          <w:rFonts w:ascii="Times New Roman" w:hAnsi="Times New Roman" w:cs="Times New Roman"/>
          <w:sz w:val="24"/>
          <w:szCs w:val="24"/>
        </w:rPr>
        <w:t>N</w:t>
      </w:r>
      <w:r w:rsidR="007F4FC0" w:rsidRPr="009E5EBA">
        <w:rPr>
          <w:rFonts w:ascii="Times New Roman" w:hAnsi="Times New Roman" w:cs="Times New Roman"/>
          <w:sz w:val="24"/>
          <w:szCs w:val="24"/>
          <w:lang w:val="vi-VN"/>
        </w:rPr>
        <w:t xml:space="preserve">ăm 2019 và 2020 công ty đều đảm bảo nguyên tắc cân bằng tài chính, đem lại sự ổn định và </w:t>
      </w:r>
      <w:proofErr w:type="gramStart"/>
      <w:r w:rsidR="007F4FC0" w:rsidRPr="009E5EBA">
        <w:rPr>
          <w:rFonts w:ascii="Times New Roman" w:hAnsi="Times New Roman" w:cs="Times New Roman"/>
          <w:sz w:val="24"/>
          <w:szCs w:val="24"/>
          <w:lang w:val="vi-VN"/>
        </w:rPr>
        <w:t>an</w:t>
      </w:r>
      <w:proofErr w:type="gramEnd"/>
      <w:r w:rsidR="007F4FC0" w:rsidRPr="009E5EBA">
        <w:rPr>
          <w:rFonts w:ascii="Times New Roman" w:hAnsi="Times New Roman" w:cs="Times New Roman"/>
          <w:sz w:val="24"/>
          <w:szCs w:val="24"/>
          <w:lang w:val="vi-VN"/>
        </w:rPr>
        <w:t xml:space="preserve"> toàn về mặt tài chính cho doanh nghiệp.</w:t>
      </w:r>
      <w:bookmarkStart w:id="15" w:name="_Hlk106878110"/>
    </w:p>
    <w:p w14:paraId="47B5E094" w14:textId="77777777" w:rsidR="006F525E" w:rsidRPr="009E5EBA" w:rsidRDefault="007F4FC0" w:rsidP="009E5EBA">
      <w:pPr>
        <w:pStyle w:val="ListParagraph"/>
        <w:numPr>
          <w:ilvl w:val="0"/>
          <w:numId w:val="19"/>
        </w:numPr>
        <w:ind w:right="-23"/>
        <w:jc w:val="both"/>
        <w:rPr>
          <w:rFonts w:ascii="Times New Roman" w:hAnsi="Times New Roman" w:cs="Times New Roman"/>
          <w:sz w:val="24"/>
          <w:szCs w:val="24"/>
          <w:lang w:val="vi-VN"/>
        </w:rPr>
      </w:pPr>
      <w:r w:rsidRPr="009E5EBA">
        <w:rPr>
          <w:rFonts w:ascii="Times New Roman" w:hAnsi="Times New Roman" w:cs="Times New Roman"/>
          <w:sz w:val="24"/>
          <w:szCs w:val="24"/>
          <w:lang w:val="vi-VN"/>
        </w:rPr>
        <w:t>VLĐ năm 2020 so với năm 2019 tăng</w:t>
      </w:r>
      <w:r w:rsidR="00757C25" w:rsidRPr="009E5EBA">
        <w:rPr>
          <w:rFonts w:ascii="Times New Roman" w:hAnsi="Times New Roman" w:cs="Times New Roman"/>
          <w:sz w:val="24"/>
          <w:szCs w:val="24"/>
        </w:rPr>
        <w:t xml:space="preserve"> 38%</w:t>
      </w:r>
      <w:r w:rsidRPr="009E5EBA">
        <w:rPr>
          <w:rFonts w:ascii="Times New Roman" w:hAnsi="Times New Roman" w:cs="Times New Roman"/>
          <w:sz w:val="24"/>
          <w:szCs w:val="24"/>
          <w:lang w:val="vi-VN"/>
        </w:rPr>
        <w:t xml:space="preserve"> do ảnh hưởng của các nhân tố:</w:t>
      </w:r>
      <w:r w:rsidR="006F525E" w:rsidRPr="009E5EBA">
        <w:rPr>
          <w:rFonts w:ascii="Times New Roman" w:hAnsi="Times New Roman" w:cs="Times New Roman"/>
          <w:sz w:val="24"/>
          <w:szCs w:val="24"/>
        </w:rPr>
        <w:t xml:space="preserve"> </w:t>
      </w:r>
      <w:r w:rsidRPr="009E5EBA">
        <w:rPr>
          <w:rFonts w:ascii="Times New Roman" w:hAnsi="Times New Roman" w:cs="Times New Roman"/>
          <w:sz w:val="24"/>
          <w:szCs w:val="24"/>
          <w:lang w:val="vi-VN"/>
        </w:rPr>
        <w:t>Do tài sản ngắn hạn năm 2020 so với năm 2019 tăn</w:t>
      </w:r>
      <w:r w:rsidR="00D86B2F" w:rsidRPr="009E5EBA">
        <w:rPr>
          <w:rFonts w:ascii="Times New Roman" w:hAnsi="Times New Roman" w:cs="Times New Roman"/>
          <w:sz w:val="24"/>
          <w:szCs w:val="24"/>
        </w:rPr>
        <w:t>g lên 86%.</w:t>
      </w:r>
      <w:r w:rsidRPr="009E5EBA">
        <w:rPr>
          <w:rFonts w:ascii="Times New Roman" w:hAnsi="Times New Roman" w:cs="Times New Roman"/>
          <w:sz w:val="24"/>
          <w:szCs w:val="24"/>
          <w:lang w:val="vi-VN"/>
        </w:rPr>
        <w:t xml:space="preserve"> Nợ ngắn hạn 2020 so 2019 tăng </w:t>
      </w:r>
      <w:r w:rsidR="00D86B2F" w:rsidRPr="009E5EBA">
        <w:rPr>
          <w:rFonts w:ascii="Times New Roman" w:hAnsi="Times New Roman" w:cs="Times New Roman"/>
          <w:sz w:val="24"/>
          <w:szCs w:val="24"/>
        </w:rPr>
        <w:t>93%.</w:t>
      </w:r>
    </w:p>
    <w:p w14:paraId="2BE7BAED" w14:textId="2492E366" w:rsidR="007F4FC0" w:rsidRPr="00734055" w:rsidRDefault="007F4FC0" w:rsidP="006F525E">
      <w:pPr>
        <w:pStyle w:val="ListParagraph"/>
        <w:numPr>
          <w:ilvl w:val="0"/>
          <w:numId w:val="14"/>
        </w:numPr>
        <w:ind w:right="-23"/>
        <w:jc w:val="both"/>
        <w:rPr>
          <w:rFonts w:ascii="Times New Roman" w:hAnsi="Times New Roman" w:cs="Times New Roman"/>
          <w:sz w:val="24"/>
          <w:szCs w:val="24"/>
          <w:lang w:val="vi-VN"/>
        </w:rPr>
      </w:pPr>
      <w:bookmarkStart w:id="16" w:name="_GoBack"/>
      <w:bookmarkEnd w:id="16"/>
      <w:r w:rsidRPr="00734055">
        <w:rPr>
          <w:rFonts w:ascii="Times New Roman" w:hAnsi="Times New Roman" w:cs="Times New Roman"/>
          <w:sz w:val="24"/>
          <w:szCs w:val="24"/>
          <w:lang w:val="vi-VN"/>
        </w:rPr>
        <w:t>VLĐ 2020 tăng lên do sự t</w:t>
      </w:r>
      <w:r w:rsidR="001A7633" w:rsidRPr="00734055">
        <w:rPr>
          <w:rFonts w:ascii="Times New Roman" w:hAnsi="Times New Roman" w:cs="Times New Roman"/>
          <w:sz w:val="24"/>
          <w:szCs w:val="24"/>
        </w:rPr>
        <w:t>ăng</w:t>
      </w:r>
      <w:r w:rsidRPr="00734055">
        <w:rPr>
          <w:rFonts w:ascii="Times New Roman" w:hAnsi="Times New Roman" w:cs="Times New Roman"/>
          <w:sz w:val="24"/>
          <w:szCs w:val="24"/>
          <w:lang w:val="vi-VN"/>
        </w:rPr>
        <w:t xml:space="preserve"> lên của tài sản ngắn hạn lớn hơn sự tăng lên của Nợ ngắn hạn. </w:t>
      </w:r>
    </w:p>
    <w:p w14:paraId="73FAE332" w14:textId="77777777" w:rsidR="007F4FC0" w:rsidRPr="00734055" w:rsidRDefault="007F4FC0" w:rsidP="007F4FC0">
      <w:pPr>
        <w:pStyle w:val="ListParagraph"/>
        <w:ind w:right="-1865"/>
        <w:jc w:val="both"/>
        <w:rPr>
          <w:rFonts w:ascii="Times New Roman" w:hAnsi="Times New Roman" w:cs="Times New Roman"/>
          <w:sz w:val="24"/>
          <w:szCs w:val="24"/>
          <w:lang w:val="vi-VN"/>
        </w:rPr>
      </w:pPr>
    </w:p>
    <w:p w14:paraId="7AEAF1D7" w14:textId="77777777" w:rsidR="007F4FC0" w:rsidRPr="00734055" w:rsidRDefault="007F4FC0" w:rsidP="007F4FC0">
      <w:pPr>
        <w:pStyle w:val="ListParagraph"/>
        <w:numPr>
          <w:ilvl w:val="0"/>
          <w:numId w:val="3"/>
        </w:numPr>
        <w:ind w:right="-1865"/>
        <w:jc w:val="both"/>
        <w:rPr>
          <w:rFonts w:ascii="Times New Roman" w:hAnsi="Times New Roman" w:cs="Times New Roman"/>
          <w:sz w:val="24"/>
          <w:szCs w:val="24"/>
          <w:lang w:val="vi-VN"/>
        </w:rPr>
      </w:pPr>
      <w:r w:rsidRPr="00734055">
        <w:rPr>
          <w:rFonts w:ascii="Times New Roman" w:hAnsi="Times New Roman" w:cs="Times New Roman"/>
          <w:b/>
          <w:bCs/>
          <w:sz w:val="24"/>
          <w:szCs w:val="24"/>
          <w:lang w:val="vi-VN"/>
        </w:rPr>
        <w:t>Nhu cầu VLĐ</w:t>
      </w:r>
      <w:r w:rsidRPr="00734055">
        <w:rPr>
          <w:rFonts w:ascii="Times New Roman" w:hAnsi="Times New Roman" w:cs="Times New Roman"/>
          <w:sz w:val="24"/>
          <w:szCs w:val="24"/>
          <w:lang w:val="vi-VN"/>
        </w:rPr>
        <w:t xml:space="preserve"> năm 2020 so với năm 2019 </w:t>
      </w:r>
      <w:r w:rsidRPr="00734055">
        <w:rPr>
          <w:rFonts w:ascii="Times New Roman" w:hAnsi="Times New Roman" w:cs="Times New Roman"/>
          <w:i/>
          <w:iCs/>
          <w:sz w:val="24"/>
          <w:szCs w:val="24"/>
          <w:lang w:val="vi-VN"/>
        </w:rPr>
        <w:t>giảm</w:t>
      </w:r>
      <w:r w:rsidRPr="00734055">
        <w:rPr>
          <w:rFonts w:ascii="Times New Roman" w:hAnsi="Times New Roman" w:cs="Times New Roman"/>
          <w:sz w:val="24"/>
          <w:szCs w:val="24"/>
          <w:lang w:val="vi-VN"/>
        </w:rPr>
        <w:t xml:space="preserve"> 10,522,519,451,007 là do ảnh hưởng của ba nhân tố :</w:t>
      </w:r>
    </w:p>
    <w:p w14:paraId="756FDBC8" w14:textId="40AB2E70" w:rsidR="008A1068" w:rsidRPr="008A1068" w:rsidRDefault="007F4FC0" w:rsidP="008A1068">
      <w:pPr>
        <w:pStyle w:val="ListParagraph"/>
        <w:numPr>
          <w:ilvl w:val="0"/>
          <w:numId w:val="6"/>
        </w:numPr>
        <w:ind w:right="-164"/>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 xml:space="preserve">Do hàng tồn kho </w:t>
      </w:r>
      <w:bookmarkStart w:id="17" w:name="_Hlk106841848"/>
      <w:r w:rsidRPr="00734055">
        <w:rPr>
          <w:rFonts w:ascii="Times New Roman" w:hAnsi="Times New Roman" w:cs="Times New Roman"/>
          <w:sz w:val="24"/>
          <w:szCs w:val="24"/>
          <w:lang w:val="vi-VN"/>
        </w:rPr>
        <w:t>năm 2020 so với năm 2019 tăng lên 35%</w:t>
      </w:r>
      <w:bookmarkEnd w:id="17"/>
      <w:r w:rsidRPr="00734055">
        <w:rPr>
          <w:rFonts w:ascii="Times New Roman" w:hAnsi="Times New Roman" w:cs="Times New Roman"/>
          <w:sz w:val="24"/>
          <w:szCs w:val="24"/>
          <w:lang w:val="vi-VN"/>
        </w:rPr>
        <w:t>.</w:t>
      </w:r>
      <w:r w:rsidR="008A1068" w:rsidRPr="008A1068">
        <w:t xml:space="preserve"> </w:t>
      </w:r>
      <w:r w:rsidR="008A1068" w:rsidRPr="008A1068">
        <w:rPr>
          <w:rFonts w:ascii="Times New Roman" w:hAnsi="Times New Roman" w:cs="Times New Roman"/>
          <w:sz w:val="24"/>
          <w:szCs w:val="24"/>
          <w:lang w:val="vi-VN"/>
        </w:rPr>
        <w:t>Hàng tồn kho tăng lên nói có thể do</w:t>
      </w:r>
    </w:p>
    <w:p w14:paraId="5F4F8EC0" w14:textId="77777777" w:rsidR="008A1068" w:rsidRPr="008A1068" w:rsidRDefault="008A1068" w:rsidP="008A1068">
      <w:pPr>
        <w:pStyle w:val="ListParagraph"/>
        <w:ind w:left="786" w:right="-164"/>
        <w:jc w:val="both"/>
        <w:rPr>
          <w:rFonts w:ascii="Times New Roman" w:hAnsi="Times New Roman" w:cs="Times New Roman"/>
          <w:sz w:val="24"/>
          <w:szCs w:val="24"/>
          <w:lang w:val="vi-VN"/>
        </w:rPr>
      </w:pPr>
      <w:r w:rsidRPr="008A1068">
        <w:rPr>
          <w:rFonts w:ascii="Times New Roman" w:hAnsi="Times New Roman" w:cs="Times New Roman"/>
          <w:sz w:val="24"/>
          <w:szCs w:val="24"/>
          <w:lang w:val="vi-VN"/>
        </w:rPr>
        <w:t>quy mô của công ty tăng hoặc chính sách công ty là tích trữ hàng để chờ cơ hội bán ra.</w:t>
      </w:r>
    </w:p>
    <w:p w14:paraId="0A2448C6" w14:textId="659F181B" w:rsidR="008A1068" w:rsidRPr="008A1068" w:rsidRDefault="008A1068" w:rsidP="008A1068">
      <w:pPr>
        <w:pStyle w:val="ListParagraph"/>
        <w:numPr>
          <w:ilvl w:val="0"/>
          <w:numId w:val="6"/>
        </w:numPr>
        <w:ind w:right="-164"/>
        <w:jc w:val="both"/>
        <w:rPr>
          <w:rFonts w:ascii="Times New Roman" w:hAnsi="Times New Roman" w:cs="Times New Roman"/>
          <w:sz w:val="24"/>
          <w:szCs w:val="24"/>
          <w:lang w:val="vi-VN"/>
        </w:rPr>
      </w:pPr>
      <w:r w:rsidRPr="008A1068">
        <w:rPr>
          <w:rFonts w:ascii="Times New Roman" w:hAnsi="Times New Roman" w:cs="Times New Roman"/>
          <w:sz w:val="24"/>
          <w:szCs w:val="24"/>
          <w:lang w:val="vi-VN"/>
        </w:rPr>
        <w:lastRenderedPageBreak/>
        <w:t>Do các khoản phải thu ngắn hạn năm 2020 so với 2019 tăng lên 72%. Việc tăng các khoản phải</w:t>
      </w:r>
    </w:p>
    <w:p w14:paraId="2D08926C" w14:textId="77777777" w:rsidR="008A1068" w:rsidRPr="008A1068" w:rsidRDefault="008A1068" w:rsidP="008A1068">
      <w:pPr>
        <w:pStyle w:val="ListParagraph"/>
        <w:ind w:left="786" w:right="-164"/>
        <w:jc w:val="both"/>
        <w:rPr>
          <w:rFonts w:ascii="Times New Roman" w:hAnsi="Times New Roman" w:cs="Times New Roman"/>
          <w:sz w:val="24"/>
          <w:szCs w:val="24"/>
          <w:lang w:val="vi-VN"/>
        </w:rPr>
      </w:pPr>
      <w:r w:rsidRPr="008A1068">
        <w:rPr>
          <w:rFonts w:ascii="Times New Roman" w:hAnsi="Times New Roman" w:cs="Times New Roman"/>
          <w:sz w:val="24"/>
          <w:szCs w:val="24"/>
          <w:lang w:val="vi-VN"/>
        </w:rPr>
        <w:t>thu nói trên là do chính sách kinh doanh của công ty bán hàng theo phương thức trả chậm, đồng</w:t>
      </w:r>
    </w:p>
    <w:p w14:paraId="3CE5FF71" w14:textId="77777777" w:rsidR="008A1068" w:rsidRPr="008A1068" w:rsidRDefault="008A1068" w:rsidP="008A1068">
      <w:pPr>
        <w:pStyle w:val="ListParagraph"/>
        <w:ind w:left="786" w:right="-164"/>
        <w:jc w:val="both"/>
        <w:rPr>
          <w:rFonts w:ascii="Times New Roman" w:hAnsi="Times New Roman" w:cs="Times New Roman"/>
          <w:sz w:val="24"/>
          <w:szCs w:val="24"/>
          <w:lang w:val="vi-VN"/>
        </w:rPr>
      </w:pPr>
      <w:r w:rsidRPr="008A1068">
        <w:rPr>
          <w:rFonts w:ascii="Times New Roman" w:hAnsi="Times New Roman" w:cs="Times New Roman"/>
          <w:sz w:val="24"/>
          <w:szCs w:val="24"/>
          <w:lang w:val="vi-VN"/>
        </w:rPr>
        <w:t>nghĩa với việc Hòa Phát phải chấp nhận bị khách hàng chiếm dụng vốn nhiều hơn. Việc kiểm</w:t>
      </w:r>
    </w:p>
    <w:p w14:paraId="77AA28E4" w14:textId="33B1A7DA" w:rsidR="007F4FC0" w:rsidRPr="008A1068" w:rsidRDefault="008A1068" w:rsidP="008A1068">
      <w:pPr>
        <w:pStyle w:val="ListParagraph"/>
        <w:ind w:left="786" w:right="-164"/>
        <w:jc w:val="both"/>
        <w:rPr>
          <w:rFonts w:ascii="Times New Roman" w:hAnsi="Times New Roman" w:cs="Times New Roman"/>
          <w:sz w:val="24"/>
          <w:szCs w:val="24"/>
          <w:lang w:val="vi-VN"/>
        </w:rPr>
      </w:pPr>
      <w:r w:rsidRPr="008A1068">
        <w:rPr>
          <w:rFonts w:ascii="Times New Roman" w:hAnsi="Times New Roman" w:cs="Times New Roman"/>
          <w:sz w:val="24"/>
          <w:szCs w:val="24"/>
          <w:lang w:val="vi-VN"/>
        </w:rPr>
        <w:t>soát rủi ro thu nợ trong bối cảnh doanh số bán hàng tăng là thách thức cho Hòa Phát.</w:t>
      </w:r>
      <w:bookmarkStart w:id="18" w:name="_Hlk106910164"/>
    </w:p>
    <w:bookmarkEnd w:id="18"/>
    <w:p w14:paraId="02A42705" w14:textId="77777777" w:rsidR="008A1068" w:rsidRPr="008A1068" w:rsidRDefault="007F4FC0" w:rsidP="008A1068">
      <w:pPr>
        <w:pStyle w:val="ListParagraph"/>
        <w:numPr>
          <w:ilvl w:val="0"/>
          <w:numId w:val="6"/>
        </w:numPr>
        <w:ind w:right="-23"/>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 xml:space="preserve">Do các khoản phải trả ngắn hạn năm 2020 so với năm 2019 tăng lên 119%. </w:t>
      </w:r>
      <w:r w:rsidR="008A1068" w:rsidRPr="008A1068">
        <w:rPr>
          <w:rFonts w:ascii="Times New Roman" w:hAnsi="Times New Roman" w:cs="Times New Roman"/>
          <w:sz w:val="24"/>
          <w:szCs w:val="24"/>
          <w:lang w:val="vi-VN"/>
        </w:rPr>
        <w:t>Sự tăng lên này là</w:t>
      </w:r>
    </w:p>
    <w:p w14:paraId="55EF9CC7" w14:textId="4C02262D" w:rsidR="007F4FC0" w:rsidRPr="00734055" w:rsidRDefault="008A1068" w:rsidP="000A108D">
      <w:pPr>
        <w:pStyle w:val="ListParagraph"/>
        <w:ind w:left="786" w:right="-23"/>
        <w:jc w:val="both"/>
        <w:rPr>
          <w:rFonts w:ascii="Times New Roman" w:hAnsi="Times New Roman" w:cs="Times New Roman"/>
          <w:sz w:val="24"/>
          <w:szCs w:val="24"/>
          <w:lang w:val="vi-VN"/>
        </w:rPr>
      </w:pPr>
      <w:r w:rsidRPr="008A1068">
        <w:rPr>
          <w:rFonts w:ascii="Times New Roman" w:hAnsi="Times New Roman" w:cs="Times New Roman"/>
          <w:sz w:val="24"/>
          <w:szCs w:val="24"/>
          <w:lang w:val="vi-VN"/>
        </w:rPr>
        <w:t>do Công ty phải tăng vay tài chính để “nuôi” phần vốn bị khách hàng chiếm dụng</w:t>
      </w:r>
      <w:r>
        <w:rPr>
          <w:rFonts w:ascii="Times New Roman" w:hAnsi="Times New Roman" w:cs="Times New Roman"/>
          <w:sz w:val="24"/>
          <w:szCs w:val="24"/>
          <w:lang w:val="vi-VN"/>
        </w:rPr>
        <w:t>.</w:t>
      </w:r>
    </w:p>
    <w:p w14:paraId="645E5223" w14:textId="21C547AF" w:rsidR="007F4FC0" w:rsidRPr="00734055" w:rsidRDefault="007F4FC0" w:rsidP="007F4FC0">
      <w:pPr>
        <w:pStyle w:val="ListParagraph"/>
        <w:numPr>
          <w:ilvl w:val="0"/>
          <w:numId w:val="4"/>
        </w:numPr>
        <w:ind w:right="-164"/>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N</w:t>
      </w:r>
      <w:r w:rsidR="009B2911" w:rsidRPr="00734055">
        <w:rPr>
          <w:rFonts w:ascii="Times New Roman" w:hAnsi="Times New Roman" w:cs="Times New Roman"/>
          <w:sz w:val="24"/>
          <w:szCs w:val="24"/>
        </w:rPr>
        <w:t>hu</w:t>
      </w:r>
      <w:r w:rsidRPr="00734055">
        <w:rPr>
          <w:rFonts w:ascii="Times New Roman" w:hAnsi="Times New Roman" w:cs="Times New Roman"/>
          <w:sz w:val="24"/>
          <w:szCs w:val="24"/>
          <w:lang w:val="vi-VN"/>
        </w:rPr>
        <w:t xml:space="preserve"> cầu VLĐ năm 2020 giảm là do sự tăng lên của các khoản phải thu ngắn hạn và hàng tồn kho nhỏ hơn số tăng lên do các khoản phải trả. </w:t>
      </w:r>
    </w:p>
    <w:p w14:paraId="1181EC5F" w14:textId="77777777" w:rsidR="007F4FC0" w:rsidRPr="00734055" w:rsidRDefault="007F4FC0" w:rsidP="007F4FC0">
      <w:pPr>
        <w:pStyle w:val="ListParagraph"/>
        <w:jc w:val="both"/>
        <w:rPr>
          <w:rFonts w:ascii="Times New Roman" w:hAnsi="Times New Roman" w:cs="Times New Roman"/>
          <w:sz w:val="24"/>
          <w:szCs w:val="24"/>
          <w:lang w:val="vi-VN"/>
        </w:rPr>
      </w:pPr>
    </w:p>
    <w:p w14:paraId="57365A5D" w14:textId="77777777" w:rsidR="009B2911" w:rsidRPr="00734055" w:rsidRDefault="007F4FC0" w:rsidP="007F4FC0">
      <w:pPr>
        <w:pStyle w:val="ListParagraph"/>
        <w:numPr>
          <w:ilvl w:val="0"/>
          <w:numId w:val="3"/>
        </w:numPr>
        <w:ind w:right="-164"/>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Năm 2019 VLĐ nhỏ hơn nhu cầu VLĐ của công ty nên VLĐ không đủ bù đắp cho nhu cầu VLĐ , khả năng thanh toán của doanh nghiệp thấp</w:t>
      </w:r>
      <w:r w:rsidR="00D86B2F" w:rsidRPr="00734055">
        <w:rPr>
          <w:rFonts w:ascii="Times New Roman" w:hAnsi="Times New Roman" w:cs="Times New Roman"/>
          <w:sz w:val="24"/>
          <w:szCs w:val="24"/>
        </w:rPr>
        <w:t>, chưa đảm bảo sự ổn định cho hoạt động sản xuất kinh doanh.</w:t>
      </w:r>
      <w:r w:rsidRPr="00734055">
        <w:rPr>
          <w:rFonts w:ascii="Times New Roman" w:hAnsi="Times New Roman" w:cs="Times New Roman"/>
          <w:sz w:val="24"/>
          <w:szCs w:val="24"/>
          <w:lang w:val="vi-VN"/>
        </w:rPr>
        <w:t xml:space="preserve"> </w:t>
      </w:r>
    </w:p>
    <w:p w14:paraId="4055C251" w14:textId="7F4AF687" w:rsidR="007F4FC0" w:rsidRPr="00734055" w:rsidRDefault="009B2911" w:rsidP="00EA09D9">
      <w:pPr>
        <w:pStyle w:val="ListParagraph"/>
        <w:numPr>
          <w:ilvl w:val="0"/>
          <w:numId w:val="3"/>
        </w:numPr>
        <w:ind w:right="-164"/>
        <w:jc w:val="both"/>
        <w:rPr>
          <w:rFonts w:ascii="Times New Roman" w:hAnsi="Times New Roman" w:cs="Times New Roman"/>
          <w:sz w:val="24"/>
          <w:szCs w:val="24"/>
          <w:lang w:val="vi-VN"/>
        </w:rPr>
      </w:pPr>
      <w:r w:rsidRPr="00734055">
        <w:rPr>
          <w:rFonts w:ascii="Times New Roman" w:hAnsi="Times New Roman" w:cs="Times New Roman"/>
          <w:sz w:val="24"/>
          <w:szCs w:val="24"/>
        </w:rPr>
        <w:t>Đế</w:t>
      </w:r>
      <w:r w:rsidR="007F4FC0" w:rsidRPr="00734055">
        <w:rPr>
          <w:rFonts w:ascii="Times New Roman" w:hAnsi="Times New Roman" w:cs="Times New Roman"/>
          <w:sz w:val="24"/>
          <w:szCs w:val="24"/>
          <w:lang w:val="vi-VN"/>
        </w:rPr>
        <w:t xml:space="preserve">n năm 2020 thì VLĐ không chỉ đáp ứng được nhu cầu VLĐ mà còn dư ra ( 9,158,893,732,123) , cho thấy rằng năm này, công ty có khả năng chuyển đổi tài sản ngắn hạn thành tiền một cách dễ dàng để thanh toán các khoản nợ khi tới hạn. Điều này nhằm đảm bảo bộ máy vận hành được tiếp tục. </w:t>
      </w:r>
      <w:bookmarkEnd w:id="15"/>
    </w:p>
    <w:p w14:paraId="350C740B" w14:textId="77777777" w:rsidR="007F4FC0" w:rsidRPr="00734055" w:rsidRDefault="007F4FC0" w:rsidP="007F4FC0">
      <w:pPr>
        <w:pStyle w:val="ListParagraph"/>
        <w:ind w:left="360" w:right="-164"/>
        <w:jc w:val="both"/>
        <w:rPr>
          <w:rFonts w:ascii="Times New Roman" w:hAnsi="Times New Roman" w:cs="Times New Roman"/>
          <w:sz w:val="24"/>
          <w:szCs w:val="24"/>
          <w:lang w:val="vi-VN"/>
        </w:rPr>
      </w:pPr>
    </w:p>
    <w:p w14:paraId="39CCA2F0" w14:textId="77777777" w:rsidR="007F4FC0" w:rsidRPr="00734055" w:rsidRDefault="007F4FC0" w:rsidP="007F4FC0">
      <w:pPr>
        <w:pStyle w:val="ListParagraph"/>
        <w:numPr>
          <w:ilvl w:val="0"/>
          <w:numId w:val="8"/>
        </w:numPr>
        <w:ind w:right="-1581"/>
        <w:jc w:val="both"/>
        <w:rPr>
          <w:rFonts w:ascii="Times New Roman" w:hAnsi="Times New Roman" w:cs="Times New Roman"/>
          <w:b/>
          <w:bCs/>
          <w:sz w:val="24"/>
          <w:szCs w:val="24"/>
          <w:lang w:val="vi-VN"/>
        </w:rPr>
      </w:pPr>
      <w:r w:rsidRPr="00734055">
        <w:rPr>
          <w:rFonts w:ascii="Times New Roman" w:hAnsi="Times New Roman" w:cs="Times New Roman"/>
          <w:b/>
          <w:bCs/>
          <w:sz w:val="24"/>
          <w:szCs w:val="24"/>
          <w:lang w:val="vi-VN"/>
        </w:rPr>
        <w:t xml:space="preserve">Giai đoạn 2020 – 2021: </w:t>
      </w:r>
    </w:p>
    <w:p w14:paraId="4FCB3063" w14:textId="77777777" w:rsidR="006F525E" w:rsidRPr="00734055" w:rsidRDefault="007F4FC0" w:rsidP="006F525E">
      <w:pPr>
        <w:numPr>
          <w:ilvl w:val="0"/>
          <w:numId w:val="3"/>
        </w:numPr>
        <w:ind w:right="-306"/>
        <w:contextualSpacing/>
        <w:jc w:val="both"/>
        <w:rPr>
          <w:rFonts w:ascii="Times New Roman" w:hAnsi="Times New Roman" w:cs="Times New Roman"/>
          <w:sz w:val="24"/>
          <w:szCs w:val="24"/>
          <w:lang w:val="vi-VN"/>
        </w:rPr>
      </w:pPr>
      <w:r w:rsidRPr="00734055">
        <w:rPr>
          <w:rFonts w:ascii="Times New Roman" w:hAnsi="Times New Roman" w:cs="Times New Roman"/>
          <w:b/>
          <w:bCs/>
          <w:sz w:val="24"/>
          <w:szCs w:val="24"/>
          <w:lang w:val="vi-VN"/>
        </w:rPr>
        <w:t xml:space="preserve">Vốn lưu động </w:t>
      </w:r>
      <w:r w:rsidRPr="00734055">
        <w:rPr>
          <w:rFonts w:ascii="Times New Roman" w:hAnsi="Times New Roman" w:cs="Times New Roman"/>
          <w:sz w:val="24"/>
          <w:szCs w:val="24"/>
          <w:lang w:val="vi-VN"/>
        </w:rPr>
        <w:t xml:space="preserve">: </w:t>
      </w:r>
    </w:p>
    <w:p w14:paraId="7CB31AE4" w14:textId="6BBD0EF0" w:rsidR="006F525E" w:rsidRPr="00097A2F" w:rsidRDefault="007F4FC0" w:rsidP="00097A2F">
      <w:pPr>
        <w:pStyle w:val="ListParagraph"/>
        <w:numPr>
          <w:ilvl w:val="0"/>
          <w:numId w:val="6"/>
        </w:numPr>
        <w:ind w:right="-306"/>
        <w:jc w:val="both"/>
        <w:rPr>
          <w:rFonts w:ascii="Times New Roman" w:hAnsi="Times New Roman" w:cs="Times New Roman"/>
          <w:sz w:val="24"/>
          <w:szCs w:val="24"/>
          <w:lang w:val="vi-VN"/>
        </w:rPr>
      </w:pPr>
      <w:r w:rsidRPr="00097A2F">
        <w:rPr>
          <w:rFonts w:ascii="Times New Roman" w:hAnsi="Times New Roman" w:cs="Times New Roman"/>
          <w:sz w:val="24"/>
          <w:szCs w:val="24"/>
          <w:lang w:val="vi-VN"/>
        </w:rPr>
        <w:t>Chính sách tài trợ của công ty ở hai năm là hợp lý vì VLĐ năm 2020 là 4,772,040,749,512</w:t>
      </w:r>
      <w:r w:rsidR="004E0F6D" w:rsidRPr="00097A2F">
        <w:rPr>
          <w:rFonts w:ascii="Times New Roman" w:hAnsi="Times New Roman" w:cs="Times New Roman"/>
          <w:sz w:val="24"/>
          <w:szCs w:val="24"/>
          <w:lang w:val="vi-VN"/>
        </w:rPr>
        <w:t>.</w:t>
      </w:r>
      <w:r w:rsidRPr="00097A2F">
        <w:rPr>
          <w:rFonts w:ascii="Times New Roman" w:hAnsi="Times New Roman" w:cs="Times New Roman"/>
          <w:sz w:val="24"/>
          <w:szCs w:val="24"/>
          <w:lang w:val="vi-VN"/>
        </w:rPr>
        <w:t xml:space="preserve"> Năm 2021 là 20,695,543,771,863 – tăng 15,923,503,022,351 ( tỉ lệ 334 %)  .</w:t>
      </w:r>
    </w:p>
    <w:p w14:paraId="1C78C3CA" w14:textId="77777777" w:rsidR="006F525E" w:rsidRPr="00097A2F" w:rsidRDefault="007F4FC0" w:rsidP="00097A2F">
      <w:pPr>
        <w:pStyle w:val="ListParagraph"/>
        <w:numPr>
          <w:ilvl w:val="0"/>
          <w:numId w:val="6"/>
        </w:numPr>
        <w:ind w:right="-306"/>
        <w:jc w:val="both"/>
        <w:rPr>
          <w:rFonts w:ascii="Times New Roman" w:hAnsi="Times New Roman" w:cs="Times New Roman"/>
          <w:sz w:val="24"/>
          <w:szCs w:val="24"/>
          <w:lang w:val="vi-VN"/>
        </w:rPr>
      </w:pPr>
      <w:r w:rsidRPr="00097A2F">
        <w:rPr>
          <w:rFonts w:ascii="Times New Roman" w:hAnsi="Times New Roman" w:cs="Times New Roman"/>
          <w:sz w:val="24"/>
          <w:szCs w:val="24"/>
          <w:lang w:val="vi-VN"/>
        </w:rPr>
        <w:t>Như vậy , năm 2020 và 2021 công ty khá an toàn về mặt tài chính, thậm chí năm 2021 , VLĐ của công ty tăng rất mạnh ( gấp 3 lần)</w:t>
      </w:r>
    </w:p>
    <w:p w14:paraId="40F9DC6C" w14:textId="26AB80CB" w:rsidR="007F4FC0" w:rsidRPr="00097A2F" w:rsidRDefault="007F4FC0" w:rsidP="00097A2F">
      <w:pPr>
        <w:pStyle w:val="ListParagraph"/>
        <w:numPr>
          <w:ilvl w:val="0"/>
          <w:numId w:val="6"/>
        </w:numPr>
        <w:ind w:right="-306"/>
        <w:jc w:val="both"/>
        <w:rPr>
          <w:rFonts w:ascii="Times New Roman" w:hAnsi="Times New Roman" w:cs="Times New Roman"/>
          <w:sz w:val="24"/>
          <w:szCs w:val="24"/>
          <w:lang w:val="vi-VN"/>
        </w:rPr>
      </w:pPr>
      <w:r w:rsidRPr="00097A2F">
        <w:rPr>
          <w:rFonts w:ascii="Times New Roman" w:hAnsi="Times New Roman" w:cs="Times New Roman"/>
          <w:sz w:val="24"/>
          <w:szCs w:val="24"/>
          <w:lang w:val="vi-VN"/>
        </w:rPr>
        <w:t xml:space="preserve">VLĐ năm 2021 so với năm 2020 tăng do ảnh hưởng của các nhân tố: Do tài sản ngắn hạn năm 2021 so với năm 2020 tăng lên 66%. Nợ ngắn hạn 2021 so 2020 tăng 41%. </w:t>
      </w:r>
    </w:p>
    <w:p w14:paraId="4C89F1DA" w14:textId="77777777" w:rsidR="007F4FC0" w:rsidRPr="00734055" w:rsidRDefault="007F4FC0" w:rsidP="007F4FC0">
      <w:pPr>
        <w:numPr>
          <w:ilvl w:val="0"/>
          <w:numId w:val="5"/>
        </w:numPr>
        <w:ind w:right="-1865"/>
        <w:contextualSpacing/>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 xml:space="preserve">VLĐ 2021 tăng lên do sự tắng lên của tài sản ngắn hạn lớn hơn sự tăng lên của Nợ ngắn hạn. </w:t>
      </w:r>
    </w:p>
    <w:p w14:paraId="63101122" w14:textId="77777777" w:rsidR="007F4FC0" w:rsidRPr="00734055" w:rsidRDefault="007F4FC0" w:rsidP="007F4FC0">
      <w:pPr>
        <w:ind w:left="720" w:right="-1865"/>
        <w:contextualSpacing/>
        <w:jc w:val="both"/>
        <w:rPr>
          <w:rFonts w:ascii="Times New Roman" w:hAnsi="Times New Roman" w:cs="Times New Roman"/>
          <w:sz w:val="24"/>
          <w:szCs w:val="24"/>
          <w:lang w:val="vi-VN"/>
        </w:rPr>
      </w:pPr>
    </w:p>
    <w:p w14:paraId="7A6E367D" w14:textId="3EA81F67" w:rsidR="007F4FC0" w:rsidRPr="00734055" w:rsidRDefault="007F4FC0" w:rsidP="007F4FC0">
      <w:pPr>
        <w:numPr>
          <w:ilvl w:val="0"/>
          <w:numId w:val="3"/>
        </w:numPr>
        <w:ind w:right="-1865"/>
        <w:contextualSpacing/>
        <w:jc w:val="both"/>
        <w:rPr>
          <w:rFonts w:ascii="Times New Roman" w:hAnsi="Times New Roman" w:cs="Times New Roman"/>
          <w:sz w:val="24"/>
          <w:szCs w:val="24"/>
          <w:lang w:val="vi-VN"/>
        </w:rPr>
      </w:pPr>
      <w:r w:rsidRPr="00734055">
        <w:rPr>
          <w:rFonts w:ascii="Times New Roman" w:hAnsi="Times New Roman" w:cs="Times New Roman"/>
          <w:b/>
          <w:bCs/>
          <w:sz w:val="24"/>
          <w:szCs w:val="24"/>
          <w:lang w:val="vi-VN"/>
        </w:rPr>
        <w:t>Nhu cầu VLĐ</w:t>
      </w:r>
      <w:r w:rsidRPr="00734055">
        <w:rPr>
          <w:rFonts w:ascii="Times New Roman" w:hAnsi="Times New Roman" w:cs="Times New Roman"/>
          <w:sz w:val="24"/>
          <w:szCs w:val="24"/>
          <w:lang w:val="vi-VN"/>
        </w:rPr>
        <w:t xml:space="preserve"> năm 2021 so với năm 2020 </w:t>
      </w:r>
      <w:r w:rsidRPr="00734055">
        <w:rPr>
          <w:rFonts w:ascii="Times New Roman" w:hAnsi="Times New Roman" w:cs="Times New Roman"/>
          <w:i/>
          <w:iCs/>
          <w:sz w:val="24"/>
          <w:szCs w:val="24"/>
          <w:lang w:val="vi-VN"/>
        </w:rPr>
        <w:t>tăng</w:t>
      </w:r>
      <w:r w:rsidRPr="00734055">
        <w:rPr>
          <w:rFonts w:ascii="Times New Roman" w:hAnsi="Times New Roman" w:cs="Times New Roman"/>
          <w:sz w:val="24"/>
          <w:szCs w:val="24"/>
          <w:lang w:val="vi-VN"/>
        </w:rPr>
        <w:t xml:space="preserve">  10,436,384,629,110 là do ảnh hưởng của ba nhân tố</w:t>
      </w:r>
      <w:r w:rsidR="00681886">
        <w:rPr>
          <w:rFonts w:ascii="Times New Roman" w:hAnsi="Times New Roman" w:cs="Times New Roman"/>
          <w:sz w:val="24"/>
          <w:szCs w:val="24"/>
          <w:lang w:val="vi-VN"/>
        </w:rPr>
        <w:t xml:space="preserve"> :</w:t>
      </w:r>
    </w:p>
    <w:p w14:paraId="4559431C" w14:textId="77777777" w:rsidR="000B5850" w:rsidRDefault="007F4FC0" w:rsidP="000B5850">
      <w:pPr>
        <w:numPr>
          <w:ilvl w:val="0"/>
          <w:numId w:val="6"/>
        </w:numPr>
        <w:ind w:right="-23"/>
        <w:contextualSpacing/>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Hàng tồn kho năm 2021 so với năm 2020 tăng lên 60%</w:t>
      </w:r>
      <w:r w:rsidR="000B5850">
        <w:rPr>
          <w:rFonts w:ascii="Times New Roman" w:hAnsi="Times New Roman" w:cs="Times New Roman"/>
          <w:sz w:val="24"/>
          <w:szCs w:val="24"/>
          <w:lang w:val="vi-VN"/>
        </w:rPr>
        <w:t>.</w:t>
      </w:r>
    </w:p>
    <w:p w14:paraId="712D6440" w14:textId="4EAFFA78" w:rsidR="007F4FC0" w:rsidRPr="00734055" w:rsidRDefault="000B5850" w:rsidP="000B5850">
      <w:pPr>
        <w:ind w:left="786" w:right="-23"/>
        <w:contextualSpacing/>
        <w:jc w:val="both"/>
        <w:rPr>
          <w:rFonts w:ascii="Times New Roman" w:hAnsi="Times New Roman" w:cs="Times New Roman"/>
          <w:sz w:val="24"/>
          <w:szCs w:val="24"/>
          <w:lang w:val="vi-VN"/>
        </w:rPr>
      </w:pPr>
      <w:r w:rsidRPr="000B5850">
        <w:rPr>
          <w:rFonts w:ascii="Times New Roman" w:hAnsi="Times New Roman" w:cs="Times New Roman"/>
          <w:sz w:val="24"/>
          <w:szCs w:val="24"/>
          <w:lang w:val="vi-VN"/>
        </w:rPr>
        <w:t>Thép là lĩnh vực cốt lõi của Hòa Phát với tỉ trọng hơn 80%. Sở dĩ hàng tồn kho tăng mạnh là vì năm 2021, giá nguyên vật liệu sản xuất thép toàn cầu tăng bất thường, diễn biến phức tạp. Để đảm bảo cho xuất khẩu, công ty phải chuẩn bị nguyên liệu chắc chắn để thực hiện hợp đồng, sẵn sàng ứng phó những rủi ro về giá</w:t>
      </w:r>
      <w:r>
        <w:rPr>
          <w:rFonts w:ascii="Times New Roman" w:hAnsi="Times New Roman" w:cs="Times New Roman"/>
          <w:sz w:val="24"/>
          <w:szCs w:val="24"/>
          <w:lang w:val="vi-VN"/>
        </w:rPr>
        <w:t>.</w:t>
      </w:r>
    </w:p>
    <w:p w14:paraId="45CD6E90" w14:textId="50EF8B4A" w:rsidR="007F4FC0" w:rsidRPr="00CE4118" w:rsidRDefault="007F4FC0" w:rsidP="00CE4118">
      <w:pPr>
        <w:pStyle w:val="ListParagraph"/>
        <w:numPr>
          <w:ilvl w:val="0"/>
          <w:numId w:val="6"/>
        </w:numPr>
        <w:rPr>
          <w:rFonts w:ascii="Times New Roman" w:hAnsi="Times New Roman" w:cs="Times New Roman"/>
          <w:sz w:val="24"/>
          <w:szCs w:val="24"/>
          <w:lang w:val="vi-VN"/>
        </w:rPr>
      </w:pPr>
      <w:r w:rsidRPr="00734055">
        <w:rPr>
          <w:rFonts w:ascii="Times New Roman" w:hAnsi="Times New Roman" w:cs="Times New Roman"/>
          <w:sz w:val="24"/>
          <w:szCs w:val="24"/>
          <w:lang w:val="vi-VN"/>
        </w:rPr>
        <w:t>Do kiểm soát tốt rủi ro thu nợ, các khoản phải thu ngắn hạn của Hòa Phát năm 2021 so với 2020 chỉ tăng lên 25%.</w:t>
      </w:r>
    </w:p>
    <w:p w14:paraId="58E208A2" w14:textId="77777777" w:rsidR="005347EB" w:rsidRDefault="007F4FC0" w:rsidP="00CE4118">
      <w:pPr>
        <w:numPr>
          <w:ilvl w:val="0"/>
          <w:numId w:val="6"/>
        </w:numPr>
        <w:ind w:right="-23"/>
        <w:contextualSpacing/>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t xml:space="preserve">Do các khoản phải trả ngắn hạn năm 2021 so với năm 2020 tăng lên 19%. </w:t>
      </w:r>
    </w:p>
    <w:p w14:paraId="1E55B33D" w14:textId="4EE11924" w:rsidR="007F4FC0" w:rsidRPr="00CE4118" w:rsidRDefault="005F64E2" w:rsidP="005F64E2">
      <w:pPr>
        <w:ind w:left="426" w:right="-23"/>
        <w:contextualSpacing/>
        <w:jc w:val="both"/>
        <w:rPr>
          <w:rFonts w:ascii="Times New Roman" w:hAnsi="Times New Roman" w:cs="Times New Roman"/>
          <w:sz w:val="24"/>
          <w:szCs w:val="24"/>
          <w:lang w:val="vi-VN"/>
        </w:rPr>
      </w:pPr>
      <w:r>
        <w:rPr>
          <w:rFonts w:ascii="Times New Roman" w:hAnsi="Times New Roman" w:cs="Times New Roman"/>
          <w:sz w:val="24"/>
          <w:szCs w:val="24"/>
          <w:lang w:val="vi-VN"/>
        </w:rPr>
        <w:t>=&gt;</w:t>
      </w:r>
      <w:r w:rsidR="005347EB">
        <w:rPr>
          <w:rFonts w:ascii="Times New Roman" w:hAnsi="Times New Roman" w:cs="Times New Roman"/>
          <w:sz w:val="24"/>
          <w:szCs w:val="24"/>
          <w:lang w:val="vi-VN"/>
        </w:rPr>
        <w:t xml:space="preserve"> </w:t>
      </w:r>
      <w:r w:rsidR="009B2911" w:rsidRPr="00CE4118">
        <w:rPr>
          <w:rFonts w:ascii="Times New Roman" w:hAnsi="Times New Roman" w:cs="Times New Roman"/>
          <w:sz w:val="24"/>
          <w:szCs w:val="24"/>
        </w:rPr>
        <w:t>S</w:t>
      </w:r>
      <w:r w:rsidR="007F4FC0" w:rsidRPr="00CE4118">
        <w:rPr>
          <w:rFonts w:ascii="Times New Roman" w:hAnsi="Times New Roman" w:cs="Times New Roman"/>
          <w:sz w:val="24"/>
          <w:szCs w:val="24"/>
          <w:lang w:val="vi-VN"/>
        </w:rPr>
        <w:t>ố tăng lên của các khoản phải thu ngắn hạn và hàng tồn kho lớn hơn số tăng lên do các khoản phải trả</w:t>
      </w:r>
      <w:r w:rsidR="009B2911" w:rsidRPr="00CE4118">
        <w:rPr>
          <w:rFonts w:ascii="Times New Roman" w:hAnsi="Times New Roman" w:cs="Times New Roman"/>
          <w:sz w:val="24"/>
          <w:szCs w:val="24"/>
        </w:rPr>
        <w:t>, điề</w:t>
      </w:r>
      <w:r w:rsidR="009E7D32">
        <w:rPr>
          <w:rFonts w:ascii="Times New Roman" w:hAnsi="Times New Roman" w:cs="Times New Roman"/>
          <w:sz w:val="24"/>
          <w:szCs w:val="24"/>
        </w:rPr>
        <w:t>u này làm cho</w:t>
      </w:r>
      <w:r w:rsidR="009B2911" w:rsidRPr="00CE4118">
        <w:rPr>
          <w:rFonts w:ascii="Times New Roman" w:hAnsi="Times New Roman" w:cs="Times New Roman"/>
          <w:sz w:val="24"/>
          <w:szCs w:val="24"/>
        </w:rPr>
        <w:t xml:space="preserve"> nhu cầu VLĐ tăng lên.</w:t>
      </w:r>
    </w:p>
    <w:p w14:paraId="58C9E587" w14:textId="77777777" w:rsidR="007F4FC0" w:rsidRPr="00734055" w:rsidRDefault="007F4FC0" w:rsidP="007F4FC0">
      <w:pPr>
        <w:ind w:left="720"/>
        <w:contextualSpacing/>
        <w:jc w:val="both"/>
        <w:rPr>
          <w:rFonts w:ascii="Times New Roman" w:hAnsi="Times New Roman" w:cs="Times New Roman"/>
          <w:sz w:val="24"/>
          <w:szCs w:val="24"/>
          <w:lang w:val="vi-VN"/>
        </w:rPr>
      </w:pPr>
    </w:p>
    <w:p w14:paraId="547758FD" w14:textId="77777777" w:rsidR="007F4FC0" w:rsidRPr="00734055" w:rsidRDefault="007F4FC0" w:rsidP="007F4FC0">
      <w:pPr>
        <w:numPr>
          <w:ilvl w:val="0"/>
          <w:numId w:val="3"/>
        </w:numPr>
        <w:ind w:right="-165"/>
        <w:contextualSpacing/>
        <w:jc w:val="both"/>
        <w:rPr>
          <w:rFonts w:ascii="Times New Roman" w:hAnsi="Times New Roman" w:cs="Times New Roman"/>
          <w:sz w:val="24"/>
          <w:szCs w:val="24"/>
          <w:lang w:val="vi-VN"/>
        </w:rPr>
      </w:pPr>
      <w:r w:rsidRPr="00734055">
        <w:rPr>
          <w:rFonts w:ascii="Times New Roman" w:hAnsi="Times New Roman" w:cs="Times New Roman"/>
          <w:sz w:val="24"/>
          <w:szCs w:val="24"/>
          <w:lang w:val="vi-VN"/>
        </w:rPr>
        <w:lastRenderedPageBreak/>
        <w:t xml:space="preserve">Cả hai năm 2020 và 2021, VLĐ đều lớn hơn nhu cầu VLĐ của công ty =&gt; Cho thấy rằng VLĐ dư sức bù đắp cho nhu cầu VLĐ , khả năng thanh toán của doanh nghiệp cao. </w:t>
      </w:r>
    </w:p>
    <w:p w14:paraId="25640CB9" w14:textId="77777777" w:rsidR="007F4FC0" w:rsidRPr="00734055" w:rsidRDefault="007F4FC0" w:rsidP="007F4FC0">
      <w:pPr>
        <w:rPr>
          <w:rFonts w:ascii="Times New Roman" w:hAnsi="Times New Roman" w:cs="Times New Roman"/>
          <w:sz w:val="24"/>
          <w:szCs w:val="24"/>
          <w:lang w:val="vi-VN"/>
        </w:rPr>
      </w:pPr>
    </w:p>
    <w:p w14:paraId="0A48DCCE" w14:textId="29FABC94" w:rsidR="007F4FC0" w:rsidRPr="00734055" w:rsidRDefault="007F4FC0" w:rsidP="007F4FC0">
      <w:pPr>
        <w:pStyle w:val="ListParagraph"/>
        <w:numPr>
          <w:ilvl w:val="0"/>
          <w:numId w:val="2"/>
        </w:numPr>
        <w:rPr>
          <w:rFonts w:ascii="Times New Roman" w:hAnsi="Times New Roman" w:cs="Times New Roman"/>
          <w:b/>
          <w:bCs/>
          <w:sz w:val="28"/>
          <w:szCs w:val="28"/>
          <w:lang w:val="vi-VN"/>
        </w:rPr>
      </w:pPr>
      <w:r w:rsidRPr="00734055">
        <w:rPr>
          <w:rFonts w:ascii="Times New Roman" w:hAnsi="Times New Roman" w:cs="Times New Roman"/>
          <w:b/>
          <w:bCs/>
          <w:sz w:val="28"/>
          <w:szCs w:val="28"/>
          <w:lang w:val="vi-VN"/>
        </w:rPr>
        <w:t>Phân tích thu nhập trên cổ phần (EPS)</w:t>
      </w:r>
      <w:r w:rsidR="00757C25" w:rsidRPr="00734055">
        <w:rPr>
          <w:rFonts w:ascii="Times New Roman" w:hAnsi="Times New Roman" w:cs="Times New Roman"/>
          <w:b/>
          <w:bCs/>
          <w:sz w:val="28"/>
          <w:szCs w:val="28"/>
        </w:rPr>
        <w:t xml:space="preserve"> và chỉ số P/E</w:t>
      </w:r>
      <w:r w:rsidRPr="00734055">
        <w:rPr>
          <w:rFonts w:ascii="Times New Roman" w:hAnsi="Times New Roman" w:cs="Times New Roman"/>
          <w:b/>
          <w:bCs/>
          <w:sz w:val="28"/>
          <w:szCs w:val="28"/>
          <w:lang w:val="vi-VN"/>
        </w:rPr>
        <w:t xml:space="preserve"> qua các năm 2019-2021 </w:t>
      </w:r>
    </w:p>
    <w:p w14:paraId="284B8086" w14:textId="77777777" w:rsidR="007F4FC0" w:rsidRPr="00734055" w:rsidRDefault="007F4FC0" w:rsidP="007F4FC0">
      <w:pPr>
        <w:pStyle w:val="ListParagraph"/>
        <w:rPr>
          <w:rFonts w:ascii="Times New Roman" w:hAnsi="Times New Roman" w:cs="Times New Roman"/>
          <w:b/>
          <w:bCs/>
          <w:sz w:val="24"/>
          <w:szCs w:val="24"/>
          <w:lang w:val="vi-VN"/>
        </w:rPr>
      </w:pPr>
    </w:p>
    <w:tbl>
      <w:tblPr>
        <w:tblStyle w:val="TableGrid"/>
        <w:tblW w:w="9612" w:type="dxa"/>
        <w:tblInd w:w="279" w:type="dxa"/>
        <w:tblLook w:val="04A0" w:firstRow="1" w:lastRow="0" w:firstColumn="1" w:lastColumn="0" w:noHBand="0" w:noVBand="1"/>
      </w:tblPr>
      <w:tblGrid>
        <w:gridCol w:w="2943"/>
        <w:gridCol w:w="2160"/>
        <w:gridCol w:w="2268"/>
        <w:gridCol w:w="2241"/>
      </w:tblGrid>
      <w:tr w:rsidR="007F4FC0" w:rsidRPr="00734055" w14:paraId="4394F9A5" w14:textId="77777777" w:rsidTr="00760EE6">
        <w:trPr>
          <w:trHeight w:val="264"/>
        </w:trPr>
        <w:tc>
          <w:tcPr>
            <w:tcW w:w="2943" w:type="dxa"/>
            <w:shd w:val="clear" w:color="auto" w:fill="FFFFFF" w:themeFill="background1"/>
          </w:tcPr>
          <w:p w14:paraId="738E60EB" w14:textId="77777777" w:rsidR="007F4FC0" w:rsidRPr="00734055" w:rsidRDefault="007F4FC0" w:rsidP="0058342F">
            <w:pPr>
              <w:rPr>
                <w:rFonts w:ascii="Times New Roman" w:hAnsi="Times New Roman" w:cs="Times New Roman"/>
                <w:sz w:val="24"/>
                <w:szCs w:val="24"/>
                <w:lang w:val="vi-VN"/>
              </w:rPr>
            </w:pPr>
          </w:p>
        </w:tc>
        <w:tc>
          <w:tcPr>
            <w:tcW w:w="2160" w:type="dxa"/>
            <w:shd w:val="clear" w:color="auto" w:fill="BDD6EE" w:themeFill="accent5" w:themeFillTint="66"/>
            <w:vAlign w:val="center"/>
          </w:tcPr>
          <w:p w14:paraId="3828FD76" w14:textId="77777777" w:rsidR="007F4FC0" w:rsidRPr="00734055" w:rsidRDefault="007F4FC0" w:rsidP="0058342F">
            <w:pPr>
              <w:jc w:val="center"/>
              <w:rPr>
                <w:rFonts w:ascii="Times New Roman" w:hAnsi="Times New Roman" w:cs="Times New Roman"/>
                <w:b/>
                <w:bCs/>
                <w:sz w:val="24"/>
                <w:szCs w:val="24"/>
                <w:lang w:val="vi-VN"/>
              </w:rPr>
            </w:pPr>
            <w:r w:rsidRPr="00734055">
              <w:rPr>
                <w:rFonts w:ascii="Times New Roman" w:hAnsi="Times New Roman" w:cs="Times New Roman"/>
                <w:b/>
                <w:bCs/>
                <w:sz w:val="24"/>
                <w:szCs w:val="24"/>
                <w:lang w:val="vi-VN"/>
              </w:rPr>
              <w:t>Năm 2019</w:t>
            </w:r>
          </w:p>
        </w:tc>
        <w:tc>
          <w:tcPr>
            <w:tcW w:w="2268" w:type="dxa"/>
            <w:shd w:val="clear" w:color="auto" w:fill="BDD6EE" w:themeFill="accent5" w:themeFillTint="66"/>
            <w:vAlign w:val="center"/>
          </w:tcPr>
          <w:p w14:paraId="17907142" w14:textId="77777777" w:rsidR="007F4FC0" w:rsidRPr="00734055" w:rsidRDefault="007F4FC0" w:rsidP="0058342F">
            <w:pPr>
              <w:jc w:val="center"/>
              <w:rPr>
                <w:rFonts w:ascii="Times New Roman" w:hAnsi="Times New Roman" w:cs="Times New Roman"/>
                <w:b/>
                <w:bCs/>
                <w:sz w:val="24"/>
                <w:szCs w:val="24"/>
                <w:lang w:val="vi-VN"/>
              </w:rPr>
            </w:pPr>
            <w:r w:rsidRPr="00734055">
              <w:rPr>
                <w:rFonts w:ascii="Times New Roman" w:hAnsi="Times New Roman" w:cs="Times New Roman"/>
                <w:b/>
                <w:bCs/>
                <w:sz w:val="24"/>
                <w:szCs w:val="24"/>
                <w:lang w:val="vi-VN"/>
              </w:rPr>
              <w:t>Năm 2020</w:t>
            </w:r>
          </w:p>
        </w:tc>
        <w:tc>
          <w:tcPr>
            <w:tcW w:w="2241" w:type="dxa"/>
            <w:shd w:val="clear" w:color="auto" w:fill="BDD6EE" w:themeFill="accent5" w:themeFillTint="66"/>
            <w:vAlign w:val="center"/>
          </w:tcPr>
          <w:p w14:paraId="1B55BF34" w14:textId="77777777" w:rsidR="007F4FC0" w:rsidRPr="00734055" w:rsidRDefault="007F4FC0" w:rsidP="0058342F">
            <w:pPr>
              <w:jc w:val="center"/>
              <w:rPr>
                <w:rFonts w:ascii="Times New Roman" w:hAnsi="Times New Roman" w:cs="Times New Roman"/>
                <w:b/>
                <w:bCs/>
                <w:sz w:val="24"/>
                <w:szCs w:val="24"/>
                <w:lang w:val="vi-VN"/>
              </w:rPr>
            </w:pPr>
            <w:r w:rsidRPr="00734055">
              <w:rPr>
                <w:rFonts w:ascii="Times New Roman" w:hAnsi="Times New Roman" w:cs="Times New Roman"/>
                <w:b/>
                <w:bCs/>
                <w:sz w:val="24"/>
                <w:szCs w:val="24"/>
                <w:lang w:val="vi-VN"/>
              </w:rPr>
              <w:t>Năm 2021</w:t>
            </w:r>
          </w:p>
        </w:tc>
      </w:tr>
      <w:tr w:rsidR="007F4FC0" w:rsidRPr="00734055" w14:paraId="13898748" w14:textId="77777777" w:rsidTr="00760EE6">
        <w:trPr>
          <w:trHeight w:val="936"/>
        </w:trPr>
        <w:tc>
          <w:tcPr>
            <w:tcW w:w="2943" w:type="dxa"/>
            <w:shd w:val="clear" w:color="auto" w:fill="BDD6EE" w:themeFill="accent5" w:themeFillTint="66"/>
          </w:tcPr>
          <w:p w14:paraId="4539FAEB" w14:textId="77777777" w:rsidR="007F4FC0" w:rsidRPr="00453DA3" w:rsidRDefault="007F4FC0" w:rsidP="0058342F">
            <w:pPr>
              <w:rPr>
                <w:rFonts w:ascii="Times New Roman" w:hAnsi="Times New Roman" w:cs="Times New Roman"/>
                <w:color w:val="000000" w:themeColor="text1"/>
                <w:sz w:val="24"/>
                <w:szCs w:val="24"/>
                <w:lang w:val="vi-VN"/>
              </w:rPr>
            </w:pPr>
            <w:r w:rsidRPr="00453DA3">
              <w:rPr>
                <w:rFonts w:ascii="Times New Roman" w:hAnsi="Times New Roman" w:cs="Times New Roman"/>
                <w:color w:val="000000" w:themeColor="text1"/>
                <w:sz w:val="24"/>
                <w:szCs w:val="24"/>
              </w:rPr>
              <w:t>Lợi nhuận sau thuế TNDN</w:t>
            </w:r>
            <w:r w:rsidRPr="00453DA3">
              <w:rPr>
                <w:rFonts w:ascii="Times New Roman" w:hAnsi="Times New Roman" w:cs="Times New Roman"/>
                <w:color w:val="000000" w:themeColor="text1"/>
                <w:sz w:val="24"/>
                <w:szCs w:val="24"/>
                <w:lang w:val="vi-VN"/>
              </w:rPr>
              <w:t xml:space="preserve"> - Phân bổ cho cổ đông của công ty mẹ (VNĐ)</w:t>
            </w:r>
          </w:p>
        </w:tc>
        <w:tc>
          <w:tcPr>
            <w:tcW w:w="2160" w:type="dxa"/>
            <w:vAlign w:val="center"/>
          </w:tcPr>
          <w:p w14:paraId="5C5BEA41"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rPr>
              <w:t>7</w:t>
            </w:r>
            <w:r w:rsidRPr="00734055">
              <w:rPr>
                <w:rFonts w:ascii="Times New Roman" w:hAnsi="Times New Roman" w:cs="Times New Roman"/>
                <w:sz w:val="24"/>
                <w:szCs w:val="24"/>
                <w:lang w:val="vi-VN"/>
              </w:rPr>
              <w:t>,</w:t>
            </w:r>
            <w:r w:rsidRPr="00734055">
              <w:rPr>
                <w:rFonts w:ascii="Times New Roman" w:hAnsi="Times New Roman" w:cs="Times New Roman"/>
                <w:sz w:val="24"/>
                <w:szCs w:val="24"/>
              </w:rPr>
              <w:t>527</w:t>
            </w:r>
            <w:r w:rsidRPr="00734055">
              <w:rPr>
                <w:rFonts w:ascii="Times New Roman" w:hAnsi="Times New Roman" w:cs="Times New Roman"/>
                <w:sz w:val="24"/>
                <w:szCs w:val="24"/>
                <w:lang w:val="vi-VN"/>
              </w:rPr>
              <w:t>,</w:t>
            </w:r>
            <w:r w:rsidRPr="00734055">
              <w:rPr>
                <w:rFonts w:ascii="Times New Roman" w:hAnsi="Times New Roman" w:cs="Times New Roman"/>
                <w:sz w:val="24"/>
                <w:szCs w:val="24"/>
              </w:rPr>
              <w:t>442</w:t>
            </w:r>
            <w:r w:rsidRPr="00734055">
              <w:rPr>
                <w:rFonts w:ascii="Times New Roman" w:hAnsi="Times New Roman" w:cs="Times New Roman"/>
                <w:sz w:val="24"/>
                <w:szCs w:val="24"/>
                <w:lang w:val="vi-VN"/>
              </w:rPr>
              <w:t>,</w:t>
            </w:r>
            <w:r w:rsidRPr="00734055">
              <w:rPr>
                <w:rFonts w:ascii="Times New Roman" w:hAnsi="Times New Roman" w:cs="Times New Roman"/>
                <w:sz w:val="24"/>
                <w:szCs w:val="24"/>
              </w:rPr>
              <w:t>867</w:t>
            </w:r>
            <w:r w:rsidRPr="00734055">
              <w:rPr>
                <w:rFonts w:ascii="Times New Roman" w:hAnsi="Times New Roman" w:cs="Times New Roman"/>
                <w:sz w:val="24"/>
                <w:szCs w:val="24"/>
                <w:lang w:val="vi-VN"/>
              </w:rPr>
              <w:t>,</w:t>
            </w:r>
            <w:r w:rsidRPr="00734055">
              <w:rPr>
                <w:rFonts w:ascii="Times New Roman" w:hAnsi="Times New Roman" w:cs="Times New Roman"/>
                <w:sz w:val="24"/>
                <w:szCs w:val="24"/>
              </w:rPr>
              <w:t>874</w:t>
            </w:r>
          </w:p>
        </w:tc>
        <w:tc>
          <w:tcPr>
            <w:tcW w:w="2268" w:type="dxa"/>
            <w:vAlign w:val="center"/>
          </w:tcPr>
          <w:p w14:paraId="4D369422" w14:textId="77777777" w:rsidR="007F4FC0" w:rsidRPr="00734055" w:rsidRDefault="007F4FC0" w:rsidP="0058342F">
            <w:pPr>
              <w:jc w:val="center"/>
              <w:rPr>
                <w:rFonts w:ascii="Times New Roman" w:hAnsi="Times New Roman" w:cs="Times New Roman"/>
                <w:color w:val="000000"/>
                <w:sz w:val="24"/>
                <w:szCs w:val="24"/>
              </w:rPr>
            </w:pPr>
            <w:r w:rsidRPr="00734055">
              <w:rPr>
                <w:rFonts w:ascii="Times New Roman" w:hAnsi="Times New Roman" w:cs="Times New Roman"/>
                <w:color w:val="000000"/>
                <w:sz w:val="24"/>
                <w:szCs w:val="24"/>
              </w:rPr>
              <w:t>13,450,300,052,812</w:t>
            </w:r>
          </w:p>
          <w:p w14:paraId="41DDB1FF" w14:textId="77777777" w:rsidR="007F4FC0" w:rsidRPr="00734055" w:rsidRDefault="007F4FC0" w:rsidP="0058342F">
            <w:pPr>
              <w:jc w:val="center"/>
              <w:rPr>
                <w:rFonts w:ascii="Times New Roman" w:hAnsi="Times New Roman" w:cs="Times New Roman"/>
                <w:sz w:val="24"/>
                <w:szCs w:val="24"/>
                <w:lang w:val="vi-VN"/>
              </w:rPr>
            </w:pPr>
          </w:p>
        </w:tc>
        <w:tc>
          <w:tcPr>
            <w:tcW w:w="2241" w:type="dxa"/>
            <w:vAlign w:val="center"/>
          </w:tcPr>
          <w:p w14:paraId="71024EB6" w14:textId="77777777" w:rsidR="007F4FC0" w:rsidRPr="00734055" w:rsidRDefault="007F4FC0" w:rsidP="0058342F">
            <w:pPr>
              <w:jc w:val="center"/>
              <w:rPr>
                <w:rFonts w:ascii="Times New Roman" w:hAnsi="Times New Roman" w:cs="Times New Roman"/>
                <w:color w:val="000000"/>
                <w:sz w:val="24"/>
                <w:szCs w:val="24"/>
              </w:rPr>
            </w:pPr>
            <w:r w:rsidRPr="00734055">
              <w:rPr>
                <w:rFonts w:ascii="Times New Roman" w:hAnsi="Times New Roman" w:cs="Times New Roman"/>
                <w:color w:val="000000"/>
                <w:sz w:val="24"/>
                <w:szCs w:val="24"/>
              </w:rPr>
              <w:t>34,478,143,197,460</w:t>
            </w:r>
          </w:p>
          <w:p w14:paraId="00929C79" w14:textId="77777777" w:rsidR="007F4FC0" w:rsidRPr="00734055" w:rsidRDefault="007F4FC0" w:rsidP="0058342F">
            <w:pPr>
              <w:jc w:val="center"/>
              <w:rPr>
                <w:rFonts w:ascii="Times New Roman" w:hAnsi="Times New Roman" w:cs="Times New Roman"/>
                <w:sz w:val="24"/>
                <w:szCs w:val="24"/>
                <w:lang w:val="vi-VN"/>
              </w:rPr>
            </w:pPr>
          </w:p>
        </w:tc>
      </w:tr>
      <w:tr w:rsidR="007F4FC0" w:rsidRPr="00734055" w14:paraId="6092C697" w14:textId="77777777" w:rsidTr="00760EE6">
        <w:trPr>
          <w:trHeight w:val="795"/>
        </w:trPr>
        <w:tc>
          <w:tcPr>
            <w:tcW w:w="2943" w:type="dxa"/>
            <w:shd w:val="clear" w:color="auto" w:fill="BDD6EE" w:themeFill="accent5" w:themeFillTint="66"/>
          </w:tcPr>
          <w:p w14:paraId="1E1786EA" w14:textId="77777777" w:rsidR="007F4FC0" w:rsidRPr="00453DA3" w:rsidRDefault="007F4FC0" w:rsidP="0058342F">
            <w:pPr>
              <w:rPr>
                <w:rFonts w:ascii="Times New Roman" w:hAnsi="Times New Roman" w:cs="Times New Roman"/>
                <w:color w:val="000000" w:themeColor="text1"/>
                <w:sz w:val="24"/>
                <w:szCs w:val="24"/>
                <w:lang w:val="vi-VN"/>
              </w:rPr>
            </w:pPr>
            <w:r w:rsidRPr="00453DA3">
              <w:rPr>
                <w:rFonts w:ascii="Times New Roman" w:hAnsi="Times New Roman" w:cs="Times New Roman"/>
                <w:color w:val="000000" w:themeColor="text1"/>
                <w:sz w:val="24"/>
                <w:szCs w:val="24"/>
              </w:rPr>
              <w:t xml:space="preserve">Tổng số </w:t>
            </w:r>
            <w:r w:rsidRPr="00453DA3">
              <w:rPr>
                <w:rFonts w:ascii="Times New Roman" w:hAnsi="Times New Roman" w:cs="Times New Roman"/>
                <w:color w:val="000000" w:themeColor="text1"/>
                <w:sz w:val="24"/>
                <w:szCs w:val="24"/>
                <w:lang w:val="vi-VN"/>
              </w:rPr>
              <w:t>CP</w:t>
            </w:r>
            <w:r w:rsidRPr="00453DA3">
              <w:rPr>
                <w:rFonts w:ascii="Times New Roman" w:hAnsi="Times New Roman" w:cs="Times New Roman"/>
                <w:color w:val="000000" w:themeColor="text1"/>
                <w:sz w:val="24"/>
                <w:szCs w:val="24"/>
              </w:rPr>
              <w:t xml:space="preserve"> đang lưu hành</w:t>
            </w:r>
            <w:r w:rsidRPr="00453DA3">
              <w:rPr>
                <w:rFonts w:ascii="Times New Roman" w:hAnsi="Times New Roman" w:cs="Times New Roman"/>
                <w:color w:val="000000" w:themeColor="text1"/>
                <w:sz w:val="24"/>
                <w:szCs w:val="24"/>
                <w:lang w:val="vi-VN"/>
              </w:rPr>
              <w:t xml:space="preserve"> (CP)</w:t>
            </w:r>
          </w:p>
        </w:tc>
        <w:tc>
          <w:tcPr>
            <w:tcW w:w="2160" w:type="dxa"/>
            <w:vAlign w:val="center"/>
          </w:tcPr>
          <w:p w14:paraId="079F6F01" w14:textId="2EC86736" w:rsidR="007F4FC0" w:rsidRPr="00734055" w:rsidRDefault="003D4BAD" w:rsidP="0058342F">
            <w:pPr>
              <w:jc w:val="center"/>
              <w:rPr>
                <w:rFonts w:ascii="Times New Roman" w:hAnsi="Times New Roman" w:cs="Times New Roman"/>
                <w:sz w:val="24"/>
                <w:szCs w:val="24"/>
                <w:lang w:val="vi-VN"/>
              </w:rPr>
            </w:pPr>
            <w:r>
              <w:rPr>
                <w:rFonts w:ascii="Times New Roman" w:hAnsi="Times New Roman" w:cs="Times New Roman"/>
                <w:sz w:val="24"/>
                <w:szCs w:val="24"/>
              </w:rPr>
              <w:t>2</w:t>
            </w:r>
            <w:r>
              <w:rPr>
                <w:rFonts w:ascii="Times New Roman" w:hAnsi="Times New Roman" w:cs="Times New Roman"/>
                <w:sz w:val="24"/>
                <w:szCs w:val="24"/>
                <w:lang w:val="vi-VN"/>
              </w:rPr>
              <w:t>,</w:t>
            </w:r>
            <w:r>
              <w:rPr>
                <w:rFonts w:ascii="Times New Roman" w:hAnsi="Times New Roman" w:cs="Times New Roman"/>
                <w:sz w:val="24"/>
                <w:szCs w:val="24"/>
              </w:rPr>
              <w:t>761</w:t>
            </w:r>
            <w:r>
              <w:rPr>
                <w:rFonts w:ascii="Times New Roman" w:hAnsi="Times New Roman" w:cs="Times New Roman"/>
                <w:sz w:val="24"/>
                <w:szCs w:val="24"/>
                <w:lang w:val="vi-VN"/>
              </w:rPr>
              <w:t>,</w:t>
            </w:r>
            <w:r>
              <w:rPr>
                <w:rFonts w:ascii="Times New Roman" w:hAnsi="Times New Roman" w:cs="Times New Roman"/>
                <w:sz w:val="24"/>
                <w:szCs w:val="24"/>
              </w:rPr>
              <w:t>074</w:t>
            </w:r>
            <w:r>
              <w:rPr>
                <w:rFonts w:ascii="Times New Roman" w:hAnsi="Times New Roman" w:cs="Times New Roman"/>
                <w:sz w:val="24"/>
                <w:szCs w:val="24"/>
                <w:lang w:val="vi-VN"/>
              </w:rPr>
              <w:t>,</w:t>
            </w:r>
            <w:r w:rsidR="007F4FC0" w:rsidRPr="00734055">
              <w:rPr>
                <w:rFonts w:ascii="Times New Roman" w:hAnsi="Times New Roman" w:cs="Times New Roman"/>
                <w:sz w:val="24"/>
                <w:szCs w:val="24"/>
              </w:rPr>
              <w:t>115</w:t>
            </w:r>
          </w:p>
        </w:tc>
        <w:tc>
          <w:tcPr>
            <w:tcW w:w="2268" w:type="dxa"/>
            <w:vAlign w:val="center"/>
          </w:tcPr>
          <w:p w14:paraId="0A7226BC" w14:textId="47314B43" w:rsidR="007F4FC0" w:rsidRPr="00734055" w:rsidRDefault="003D4BAD" w:rsidP="0058342F">
            <w:pPr>
              <w:jc w:val="center"/>
              <w:rPr>
                <w:rFonts w:ascii="Times New Roman" w:hAnsi="Times New Roman" w:cs="Times New Roman"/>
                <w:color w:val="000000"/>
                <w:sz w:val="24"/>
                <w:szCs w:val="24"/>
              </w:rPr>
            </w:pPr>
            <w:r>
              <w:rPr>
                <w:rFonts w:ascii="Times New Roman" w:hAnsi="Times New Roman" w:cs="Times New Roman"/>
                <w:sz w:val="24"/>
                <w:szCs w:val="24"/>
              </w:rPr>
              <w:t>3</w:t>
            </w:r>
            <w:r>
              <w:rPr>
                <w:rFonts w:ascii="Times New Roman" w:hAnsi="Times New Roman" w:cs="Times New Roman"/>
                <w:sz w:val="24"/>
                <w:szCs w:val="24"/>
                <w:lang w:val="vi-VN"/>
              </w:rPr>
              <w:t>,</w:t>
            </w:r>
            <w:r>
              <w:rPr>
                <w:rFonts w:ascii="Times New Roman" w:hAnsi="Times New Roman" w:cs="Times New Roman"/>
                <w:sz w:val="24"/>
                <w:szCs w:val="24"/>
              </w:rPr>
              <w:t>313</w:t>
            </w:r>
            <w:r>
              <w:rPr>
                <w:rFonts w:ascii="Times New Roman" w:hAnsi="Times New Roman" w:cs="Times New Roman"/>
                <w:sz w:val="24"/>
                <w:szCs w:val="24"/>
                <w:lang w:val="vi-VN"/>
              </w:rPr>
              <w:t>,</w:t>
            </w:r>
            <w:r>
              <w:rPr>
                <w:rFonts w:ascii="Times New Roman" w:hAnsi="Times New Roman" w:cs="Times New Roman"/>
                <w:sz w:val="24"/>
                <w:szCs w:val="24"/>
              </w:rPr>
              <w:t>282</w:t>
            </w:r>
            <w:r>
              <w:rPr>
                <w:rFonts w:ascii="Times New Roman" w:hAnsi="Times New Roman" w:cs="Times New Roman"/>
                <w:sz w:val="24"/>
                <w:szCs w:val="24"/>
                <w:lang w:val="vi-VN"/>
              </w:rPr>
              <w:t>,</w:t>
            </w:r>
            <w:r w:rsidR="007F4FC0" w:rsidRPr="00734055">
              <w:rPr>
                <w:rFonts w:ascii="Times New Roman" w:hAnsi="Times New Roman" w:cs="Times New Roman"/>
                <w:sz w:val="24"/>
                <w:szCs w:val="24"/>
              </w:rPr>
              <w:t>659</w:t>
            </w:r>
          </w:p>
        </w:tc>
        <w:tc>
          <w:tcPr>
            <w:tcW w:w="2241" w:type="dxa"/>
            <w:vAlign w:val="center"/>
          </w:tcPr>
          <w:p w14:paraId="5844C051" w14:textId="3CDD1CC6" w:rsidR="007F4FC0" w:rsidRPr="00734055" w:rsidRDefault="003D4BAD" w:rsidP="0058342F">
            <w:pPr>
              <w:jc w:val="center"/>
              <w:rPr>
                <w:rFonts w:ascii="Times New Roman" w:hAnsi="Times New Roman" w:cs="Times New Roman"/>
                <w:sz w:val="24"/>
                <w:szCs w:val="24"/>
                <w:lang w:val="vi-VN"/>
              </w:rPr>
            </w:pPr>
            <w:r>
              <w:rPr>
                <w:rFonts w:ascii="Times New Roman" w:hAnsi="Times New Roman" w:cs="Times New Roman"/>
                <w:sz w:val="24"/>
                <w:szCs w:val="24"/>
              </w:rPr>
              <w:t>4</w:t>
            </w:r>
            <w:r>
              <w:rPr>
                <w:rFonts w:ascii="Times New Roman" w:hAnsi="Times New Roman" w:cs="Times New Roman"/>
                <w:sz w:val="24"/>
                <w:szCs w:val="24"/>
                <w:lang w:val="vi-VN"/>
              </w:rPr>
              <w:t>,</w:t>
            </w:r>
            <w:r>
              <w:rPr>
                <w:rFonts w:ascii="Times New Roman" w:hAnsi="Times New Roman" w:cs="Times New Roman"/>
                <w:sz w:val="24"/>
                <w:szCs w:val="24"/>
              </w:rPr>
              <w:t>472</w:t>
            </w:r>
            <w:r>
              <w:rPr>
                <w:rFonts w:ascii="Times New Roman" w:hAnsi="Times New Roman" w:cs="Times New Roman"/>
                <w:sz w:val="24"/>
                <w:szCs w:val="24"/>
                <w:lang w:val="vi-VN"/>
              </w:rPr>
              <w:t>,</w:t>
            </w:r>
            <w:r w:rsidR="007F4FC0" w:rsidRPr="00734055">
              <w:rPr>
                <w:rFonts w:ascii="Times New Roman" w:hAnsi="Times New Roman" w:cs="Times New Roman"/>
                <w:sz w:val="24"/>
                <w:szCs w:val="24"/>
              </w:rPr>
              <w:t>922.706</w:t>
            </w:r>
          </w:p>
        </w:tc>
      </w:tr>
      <w:tr w:rsidR="007F4FC0" w:rsidRPr="00734055" w14:paraId="111CA505" w14:textId="77777777" w:rsidTr="00760EE6">
        <w:trPr>
          <w:trHeight w:val="748"/>
        </w:trPr>
        <w:tc>
          <w:tcPr>
            <w:tcW w:w="2943" w:type="dxa"/>
            <w:shd w:val="clear" w:color="auto" w:fill="BDD6EE" w:themeFill="accent5" w:themeFillTint="66"/>
          </w:tcPr>
          <w:p w14:paraId="79D98B3C" w14:textId="77777777" w:rsidR="007F4FC0" w:rsidRPr="00453DA3" w:rsidRDefault="007F4FC0" w:rsidP="0058342F">
            <w:pPr>
              <w:rPr>
                <w:rFonts w:ascii="Times New Roman" w:hAnsi="Times New Roman" w:cs="Times New Roman"/>
                <w:color w:val="000000" w:themeColor="text1"/>
                <w:sz w:val="24"/>
                <w:szCs w:val="24"/>
                <w:lang w:val="vi-VN"/>
              </w:rPr>
            </w:pPr>
            <w:r w:rsidRPr="00453DA3">
              <w:rPr>
                <w:rFonts w:ascii="Times New Roman" w:hAnsi="Times New Roman" w:cs="Times New Roman"/>
                <w:color w:val="000000" w:themeColor="text1"/>
                <w:sz w:val="24"/>
                <w:szCs w:val="24"/>
                <w:lang w:val="vi-VN"/>
              </w:rPr>
              <w:t>Lãi cơ bản trên cổ phiếu (Đã điều chỉnh)</w:t>
            </w:r>
          </w:p>
        </w:tc>
        <w:tc>
          <w:tcPr>
            <w:tcW w:w="2160" w:type="dxa"/>
            <w:vAlign w:val="center"/>
          </w:tcPr>
          <w:p w14:paraId="29BF6AB8"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lang w:val="vi-VN"/>
              </w:rPr>
              <w:t>2074</w:t>
            </w:r>
          </w:p>
        </w:tc>
        <w:tc>
          <w:tcPr>
            <w:tcW w:w="2268" w:type="dxa"/>
            <w:vAlign w:val="center"/>
          </w:tcPr>
          <w:p w14:paraId="2F6DDA4E"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lang w:val="vi-VN"/>
              </w:rPr>
              <w:t>2728</w:t>
            </w:r>
          </w:p>
        </w:tc>
        <w:tc>
          <w:tcPr>
            <w:tcW w:w="2241" w:type="dxa"/>
            <w:vAlign w:val="center"/>
          </w:tcPr>
          <w:p w14:paraId="245CA46D"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lang w:val="vi-VN"/>
              </w:rPr>
              <w:t>7166</w:t>
            </w:r>
          </w:p>
        </w:tc>
      </w:tr>
      <w:tr w:rsidR="007F4FC0" w:rsidRPr="00734055" w14:paraId="487507AD" w14:textId="77777777" w:rsidTr="00760EE6">
        <w:trPr>
          <w:trHeight w:val="748"/>
        </w:trPr>
        <w:tc>
          <w:tcPr>
            <w:tcW w:w="2943" w:type="dxa"/>
            <w:shd w:val="clear" w:color="auto" w:fill="BDD6EE" w:themeFill="accent5" w:themeFillTint="66"/>
          </w:tcPr>
          <w:p w14:paraId="12F365DE" w14:textId="77777777" w:rsidR="007F4FC0" w:rsidRPr="00453DA3" w:rsidRDefault="007F4FC0" w:rsidP="0058342F">
            <w:pPr>
              <w:rPr>
                <w:rFonts w:ascii="Times New Roman" w:hAnsi="Times New Roman" w:cs="Times New Roman"/>
                <w:color w:val="000000" w:themeColor="text1"/>
                <w:sz w:val="24"/>
                <w:szCs w:val="24"/>
                <w:lang w:val="vi-VN"/>
              </w:rPr>
            </w:pPr>
            <w:r w:rsidRPr="00453DA3">
              <w:rPr>
                <w:rFonts w:ascii="Times New Roman" w:hAnsi="Times New Roman" w:cs="Times New Roman"/>
                <w:color w:val="000000" w:themeColor="text1"/>
                <w:sz w:val="24"/>
                <w:szCs w:val="24"/>
                <w:lang w:val="vi-VN"/>
              </w:rPr>
              <w:t xml:space="preserve">Chỉ số P/E </w:t>
            </w:r>
          </w:p>
        </w:tc>
        <w:tc>
          <w:tcPr>
            <w:tcW w:w="2160" w:type="dxa"/>
            <w:vAlign w:val="center"/>
          </w:tcPr>
          <w:p w14:paraId="1E97C034"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lang w:val="vi-VN"/>
              </w:rPr>
              <w:t>8.61</w:t>
            </w:r>
            <w:r w:rsidRPr="00734055">
              <w:rPr>
                <w:rFonts w:ascii="Times New Roman" w:hAnsi="Times New Roman" w:cs="Times New Roman"/>
                <w:sz w:val="24"/>
                <w:szCs w:val="24"/>
                <w:lang w:val="vi-VN"/>
              </w:rPr>
              <w:tab/>
            </w:r>
          </w:p>
        </w:tc>
        <w:tc>
          <w:tcPr>
            <w:tcW w:w="2268" w:type="dxa"/>
            <w:vAlign w:val="center"/>
          </w:tcPr>
          <w:p w14:paraId="3EB55A77"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lang w:val="vi-VN"/>
              </w:rPr>
              <w:t>10.77</w:t>
            </w:r>
          </w:p>
        </w:tc>
        <w:tc>
          <w:tcPr>
            <w:tcW w:w="2241" w:type="dxa"/>
            <w:vAlign w:val="center"/>
          </w:tcPr>
          <w:p w14:paraId="4E5C5D53" w14:textId="77777777" w:rsidR="007F4FC0" w:rsidRPr="00734055" w:rsidRDefault="007F4FC0" w:rsidP="0058342F">
            <w:pPr>
              <w:jc w:val="center"/>
              <w:rPr>
                <w:rFonts w:ascii="Times New Roman" w:hAnsi="Times New Roman" w:cs="Times New Roman"/>
                <w:sz w:val="24"/>
                <w:szCs w:val="24"/>
                <w:lang w:val="vi-VN"/>
              </w:rPr>
            </w:pPr>
            <w:r w:rsidRPr="00734055">
              <w:rPr>
                <w:rFonts w:ascii="Times New Roman" w:hAnsi="Times New Roman" w:cs="Times New Roman"/>
                <w:sz w:val="24"/>
                <w:szCs w:val="24"/>
                <w:lang w:val="vi-VN"/>
              </w:rPr>
              <w:t>6.47</w:t>
            </w:r>
          </w:p>
        </w:tc>
      </w:tr>
    </w:tbl>
    <w:p w14:paraId="4CB45F79" w14:textId="77777777" w:rsidR="007F4FC0" w:rsidRPr="003D4BAD" w:rsidRDefault="007F4FC0" w:rsidP="007F4FC0">
      <w:pPr>
        <w:rPr>
          <w:rFonts w:ascii="Times New Roman" w:hAnsi="Times New Roman" w:cs="Times New Roman"/>
          <w:sz w:val="24"/>
          <w:szCs w:val="24"/>
          <w:lang w:val="vi-VN"/>
        </w:rPr>
      </w:pPr>
    </w:p>
    <w:p w14:paraId="3EBF86D0" w14:textId="77777777" w:rsidR="007F4FC0" w:rsidRPr="003D4BAD" w:rsidRDefault="007F4FC0" w:rsidP="007F4FC0">
      <w:pPr>
        <w:rPr>
          <w:rFonts w:ascii="Times New Roman" w:hAnsi="Times New Roman" w:cs="Times New Roman"/>
          <w:iCs/>
          <w:sz w:val="24"/>
          <w:szCs w:val="24"/>
          <w:lang w:val="vi-VN"/>
        </w:rPr>
      </w:pPr>
      <w:r w:rsidRPr="003D4BAD">
        <w:rPr>
          <w:rFonts w:ascii="Times New Roman" w:hAnsi="Times New Roman" w:cs="Times New Roman"/>
          <w:iCs/>
          <w:sz w:val="24"/>
          <w:szCs w:val="24"/>
          <w:lang w:val="vi-VN"/>
        </w:rPr>
        <w:t>Trong đó:</w:t>
      </w:r>
    </w:p>
    <w:p w14:paraId="54A3BBF1" w14:textId="6E420FB7" w:rsidR="007F4FC0" w:rsidRPr="003D4BAD" w:rsidRDefault="007F4FC0" w:rsidP="007F4FC0">
      <w:pPr>
        <w:jc w:val="center"/>
        <w:rPr>
          <w:rFonts w:ascii="Times New Roman" w:hAnsi="Times New Roman" w:cs="Times New Roman"/>
          <w:i/>
          <w:sz w:val="28"/>
          <w:szCs w:val="28"/>
          <w:lang w:val="vi-VN"/>
        </w:rPr>
      </w:pPr>
      <w:r w:rsidRPr="003D4BAD">
        <w:rPr>
          <w:rFonts w:ascii="Times New Roman" w:hAnsi="Times New Roman" w:cs="Times New Roman"/>
          <w:i/>
          <w:sz w:val="24"/>
          <w:szCs w:val="24"/>
          <w:lang w:val="vi-VN"/>
        </w:rPr>
        <w:t>Lãi cơ bản trên cổ phiếu</w:t>
      </w:r>
      <w:r w:rsidRPr="003D4BAD">
        <w:rPr>
          <w:rFonts w:ascii="Times New Roman" w:hAnsi="Times New Roman" w:cs="Times New Roman"/>
          <w:i/>
          <w:sz w:val="28"/>
          <w:szCs w:val="28"/>
          <w:lang w:val="vi-VN"/>
        </w:rPr>
        <w:t xml:space="preserve"> = </w:t>
      </w:r>
      <m:oMath>
        <m:f>
          <m:fPr>
            <m:ctrlPr>
              <w:rPr>
                <w:rFonts w:ascii="Cambria Math" w:hAnsi="Cambria Math" w:cs="Times New Roman"/>
                <w:i/>
                <w:iCs/>
                <w:sz w:val="28"/>
                <w:szCs w:val="28"/>
                <w:lang w:val="vi-VN"/>
              </w:rPr>
            </m:ctrlPr>
          </m:fPr>
          <m:num>
            <m:r>
              <w:rPr>
                <w:rFonts w:ascii="Cambria Math" w:hAnsi="Cambria Math" w:cs="Times New Roman"/>
                <w:sz w:val="28"/>
                <w:szCs w:val="28"/>
                <w:lang w:val="vi-VN"/>
              </w:rPr>
              <m:t>Lợi nhuận sau thuế</m:t>
            </m:r>
          </m:num>
          <m:den>
            <m:r>
              <w:rPr>
                <w:rFonts w:ascii="Cambria Math" w:hAnsi="Cambria Math" w:cs="Times New Roman"/>
                <w:sz w:val="28"/>
                <w:szCs w:val="28"/>
                <w:lang w:val="vi-VN"/>
              </w:rPr>
              <m:t>Tổng số CP đang lưu hành</m:t>
            </m:r>
          </m:den>
        </m:f>
      </m:oMath>
    </w:p>
    <w:p w14:paraId="286DF959" w14:textId="4081BB31" w:rsidR="007F4FC0" w:rsidRPr="003D4BAD" w:rsidRDefault="007F4FC0" w:rsidP="007F4FC0">
      <w:pPr>
        <w:jc w:val="center"/>
        <w:rPr>
          <w:rFonts w:ascii="Times New Roman" w:hAnsi="Times New Roman" w:cs="Times New Roman"/>
          <w:i/>
          <w:iCs/>
          <w:sz w:val="28"/>
          <w:szCs w:val="28"/>
          <w:lang w:val="vi-VN"/>
        </w:rPr>
      </w:pPr>
      <w:r w:rsidRPr="003D4BAD">
        <w:rPr>
          <w:rFonts w:ascii="Times New Roman" w:eastAsiaTheme="minorEastAsia" w:hAnsi="Times New Roman" w:cs="Times New Roman"/>
          <w:i/>
          <w:iCs/>
          <w:sz w:val="28"/>
          <w:szCs w:val="28"/>
          <w:lang w:val="vi-VN"/>
        </w:rPr>
        <w:t xml:space="preserve">P/E = </w:t>
      </w:r>
      <m:oMath>
        <m:f>
          <m:fPr>
            <m:ctrlPr>
              <w:rPr>
                <w:rFonts w:ascii="Cambria Math" w:hAnsi="Cambria Math" w:cs="Times New Roman"/>
                <w:i/>
                <w:iCs/>
                <w:sz w:val="28"/>
                <w:szCs w:val="28"/>
                <w:lang w:val="vi-VN"/>
              </w:rPr>
            </m:ctrlPr>
          </m:fPr>
          <m:num>
            <m:r>
              <w:rPr>
                <w:rFonts w:ascii="Cambria Math" w:hAnsi="Cambria Math" w:cs="Times New Roman"/>
                <w:sz w:val="28"/>
                <w:szCs w:val="28"/>
                <w:lang w:val="vi-VN"/>
              </w:rPr>
              <m:t>Gía thị trường của cổ phiếu</m:t>
            </m:r>
          </m:num>
          <m:den>
            <m:r>
              <w:rPr>
                <w:rFonts w:ascii="Cambria Math" w:hAnsi="Cambria Math" w:cs="Times New Roman"/>
                <w:sz w:val="28"/>
                <w:szCs w:val="28"/>
                <w:lang w:val="vi-VN"/>
              </w:rPr>
              <m:t>Thu nhập cổ phiếu</m:t>
            </m:r>
          </m:den>
        </m:f>
      </m:oMath>
    </w:p>
    <w:p w14:paraId="7491B356" w14:textId="44E6D0FB" w:rsidR="00BE4525" w:rsidRPr="007672F2" w:rsidRDefault="00BE4525" w:rsidP="007672F2">
      <w:pPr>
        <w:pStyle w:val="ListParagraph"/>
        <w:numPr>
          <w:ilvl w:val="0"/>
          <w:numId w:val="3"/>
        </w:numPr>
        <w:ind w:right="-23"/>
        <w:jc w:val="both"/>
        <w:rPr>
          <w:rFonts w:ascii="Times New Roman" w:hAnsi="Times New Roman" w:cs="Times New Roman"/>
          <w:sz w:val="24"/>
          <w:szCs w:val="24"/>
          <w:lang w:val="vi-VN"/>
        </w:rPr>
      </w:pPr>
      <w:r w:rsidRPr="00BE4525">
        <w:rPr>
          <w:rFonts w:ascii="Times New Roman" w:hAnsi="Times New Roman" w:cs="Times New Roman"/>
          <w:sz w:val="24"/>
          <w:szCs w:val="24"/>
          <w:lang w:val="vi-VN"/>
        </w:rPr>
        <w:t>Nhìn chung, lãi cơ bản trên cổ phiếu của Hòa Phát qua 3 năm liên tục tăng. Năm 2020 tăng 31.5%</w:t>
      </w:r>
      <w:r w:rsidR="007672F2">
        <w:rPr>
          <w:rFonts w:ascii="Times New Roman" w:hAnsi="Times New Roman" w:cs="Times New Roman"/>
          <w:sz w:val="24"/>
          <w:szCs w:val="24"/>
          <w:lang w:val="vi-VN"/>
        </w:rPr>
        <w:t xml:space="preserve"> </w:t>
      </w:r>
      <w:r w:rsidRPr="007672F2">
        <w:rPr>
          <w:rFonts w:ascii="Times New Roman" w:hAnsi="Times New Roman" w:cs="Times New Roman"/>
          <w:sz w:val="24"/>
          <w:szCs w:val="24"/>
          <w:lang w:val="vi-VN"/>
        </w:rPr>
        <w:t>so với năm 2019 , năm 2021 tăng với con số đáng ngưỡng mộ 162,7% so với năm 2020. Trước ảnh</w:t>
      </w:r>
      <w:r w:rsidR="007672F2">
        <w:rPr>
          <w:rFonts w:ascii="Times New Roman" w:hAnsi="Times New Roman" w:cs="Times New Roman"/>
          <w:sz w:val="24"/>
          <w:szCs w:val="24"/>
          <w:lang w:val="vi-VN"/>
        </w:rPr>
        <w:t xml:space="preserve"> </w:t>
      </w:r>
      <w:r w:rsidRPr="007672F2">
        <w:rPr>
          <w:rFonts w:ascii="Times New Roman" w:hAnsi="Times New Roman" w:cs="Times New Roman"/>
          <w:sz w:val="24"/>
          <w:szCs w:val="24"/>
          <w:lang w:val="vi-VN"/>
        </w:rPr>
        <w:t>hưởng tiêu cực của đại dịch Covid-19 khiến Chính phủ tập trung nhiều hơn vào đầu tư công, tạo ra</w:t>
      </w:r>
      <w:r w:rsidR="007672F2">
        <w:rPr>
          <w:rFonts w:ascii="Times New Roman" w:hAnsi="Times New Roman" w:cs="Times New Roman"/>
          <w:sz w:val="24"/>
          <w:szCs w:val="24"/>
          <w:lang w:val="vi-VN"/>
        </w:rPr>
        <w:t xml:space="preserve"> </w:t>
      </w:r>
      <w:r w:rsidRPr="007672F2">
        <w:rPr>
          <w:rFonts w:ascii="Times New Roman" w:hAnsi="Times New Roman" w:cs="Times New Roman"/>
          <w:sz w:val="24"/>
          <w:szCs w:val="24"/>
          <w:lang w:val="vi-VN"/>
        </w:rPr>
        <w:t>nhu cầu "cực kỳ lớn" cho doanh thu từ thép xây dựng; thép nguội cán nóng. Đây cũng là lí do mà</w:t>
      </w:r>
      <w:r w:rsidR="007672F2">
        <w:rPr>
          <w:rFonts w:ascii="Times New Roman" w:hAnsi="Times New Roman" w:cs="Times New Roman"/>
          <w:sz w:val="24"/>
          <w:szCs w:val="24"/>
          <w:lang w:val="vi-VN"/>
        </w:rPr>
        <w:t xml:space="preserve"> </w:t>
      </w:r>
      <w:r w:rsidRPr="007672F2">
        <w:rPr>
          <w:rFonts w:ascii="Times New Roman" w:hAnsi="Times New Roman" w:cs="Times New Roman"/>
          <w:sz w:val="24"/>
          <w:szCs w:val="24"/>
          <w:lang w:val="vi-VN"/>
        </w:rPr>
        <w:t>giá cổ phiếu HPG của Tập đoàn Hòa Phát năm 2020 tăng tớ</w:t>
      </w:r>
      <w:r w:rsidRPr="007672F2">
        <w:rPr>
          <w:rFonts w:ascii="Times New Roman" w:hAnsi="Times New Roman" w:cs="Times New Roman"/>
          <w:sz w:val="24"/>
          <w:szCs w:val="24"/>
          <w:lang w:val="vi-VN"/>
        </w:rPr>
        <w:t>i 115%.</w:t>
      </w:r>
    </w:p>
    <w:p w14:paraId="2D5FA25A" w14:textId="77777777" w:rsidR="00BE4525" w:rsidRDefault="00BE4525" w:rsidP="00BE4525">
      <w:pPr>
        <w:pStyle w:val="ListParagraph"/>
        <w:numPr>
          <w:ilvl w:val="0"/>
          <w:numId w:val="3"/>
        </w:numPr>
        <w:ind w:right="-23"/>
        <w:jc w:val="both"/>
        <w:rPr>
          <w:rFonts w:ascii="Times New Roman" w:hAnsi="Times New Roman" w:cs="Times New Roman"/>
          <w:sz w:val="24"/>
          <w:szCs w:val="24"/>
          <w:lang w:val="vi-VN"/>
        </w:rPr>
      </w:pPr>
      <w:r w:rsidRPr="00BE4525">
        <w:rPr>
          <w:rFonts w:ascii="Times New Roman" w:hAnsi="Times New Roman" w:cs="Times New Roman"/>
          <w:sz w:val="24"/>
          <w:szCs w:val="24"/>
          <w:lang w:val="vi-VN"/>
        </w:rPr>
        <w:t>Chỉ số P/E giai đoạn 2019-2020 có diễn biến tăng, phù hợp với sự tăng lên của EPS.</w:t>
      </w:r>
    </w:p>
    <w:p w14:paraId="5C991BB0" w14:textId="2DDD763F" w:rsidR="00BE4525" w:rsidRDefault="00BE4525" w:rsidP="00BE4525">
      <w:pPr>
        <w:pStyle w:val="ListParagraph"/>
        <w:numPr>
          <w:ilvl w:val="0"/>
          <w:numId w:val="3"/>
        </w:numPr>
        <w:ind w:right="-23"/>
        <w:jc w:val="both"/>
        <w:rPr>
          <w:rFonts w:ascii="Times New Roman" w:hAnsi="Times New Roman" w:cs="Times New Roman"/>
          <w:sz w:val="24"/>
          <w:szCs w:val="24"/>
          <w:lang w:val="vi-VN"/>
        </w:rPr>
      </w:pPr>
      <w:r w:rsidRPr="00BE4525">
        <w:rPr>
          <w:rFonts w:ascii="Times New Roman" w:hAnsi="Times New Roman" w:cs="Times New Roman"/>
          <w:sz w:val="24"/>
          <w:szCs w:val="24"/>
          <w:lang w:val="vi-VN"/>
        </w:rPr>
        <w:t>Để ý thấy chỉ số P/E năm 2021 giảm xuống còn 6.47 , nghĩa là cổ phiếu Hòa Phát đang bị định giá</w:t>
      </w:r>
      <w:r>
        <w:rPr>
          <w:rFonts w:ascii="Times New Roman" w:hAnsi="Times New Roman" w:cs="Times New Roman"/>
          <w:sz w:val="24"/>
          <w:szCs w:val="24"/>
          <w:lang w:val="vi-VN"/>
        </w:rPr>
        <w:t xml:space="preserve"> </w:t>
      </w:r>
      <w:r w:rsidRPr="00BE4525">
        <w:rPr>
          <w:rFonts w:ascii="Times New Roman" w:hAnsi="Times New Roman" w:cs="Times New Roman"/>
          <w:sz w:val="24"/>
          <w:szCs w:val="24"/>
          <w:lang w:val="vi-VN"/>
        </w:rPr>
        <w:t>thấp hơn so với giá thị trường.</w:t>
      </w:r>
    </w:p>
    <w:p w14:paraId="0595D4CF" w14:textId="77777777" w:rsidR="00F11075" w:rsidRDefault="00F11075" w:rsidP="00F11075">
      <w:pPr>
        <w:pStyle w:val="ListParagraph"/>
        <w:ind w:left="502" w:right="-23"/>
        <w:jc w:val="both"/>
        <w:rPr>
          <w:rFonts w:ascii="Times New Roman" w:hAnsi="Times New Roman" w:cs="Times New Roman"/>
          <w:sz w:val="24"/>
          <w:szCs w:val="24"/>
          <w:lang w:val="vi-VN"/>
        </w:rPr>
      </w:pPr>
    </w:p>
    <w:p w14:paraId="4E547B1D" w14:textId="39CB8623" w:rsidR="00F11075" w:rsidRPr="00F11075" w:rsidRDefault="00F11075" w:rsidP="00F11075">
      <w:pPr>
        <w:pStyle w:val="ListParagraph"/>
        <w:numPr>
          <w:ilvl w:val="0"/>
          <w:numId w:val="2"/>
        </w:numPr>
        <w:ind w:right="-23"/>
        <w:jc w:val="both"/>
        <w:rPr>
          <w:rFonts w:ascii="Times New Roman" w:hAnsi="Times New Roman" w:cs="Times New Roman"/>
          <w:b/>
          <w:sz w:val="24"/>
          <w:szCs w:val="24"/>
          <w:lang w:val="vi-VN"/>
        </w:rPr>
      </w:pPr>
      <w:r w:rsidRPr="00F11075">
        <w:rPr>
          <w:rFonts w:ascii="Times New Roman" w:hAnsi="Times New Roman" w:cs="Times New Roman"/>
          <w:b/>
          <w:sz w:val="24"/>
          <w:szCs w:val="24"/>
          <w:lang w:val="vi-VN"/>
        </w:rPr>
        <w:t>Kiến nghị</w:t>
      </w:r>
    </w:p>
    <w:p w14:paraId="20184680" w14:textId="5342D950" w:rsidR="00F11075" w:rsidRPr="00F11075" w:rsidRDefault="00F11075" w:rsidP="00F11075">
      <w:pPr>
        <w:pStyle w:val="ListParagraph"/>
        <w:numPr>
          <w:ilvl w:val="0"/>
          <w:numId w:val="18"/>
        </w:numPr>
        <w:ind w:right="-23"/>
        <w:jc w:val="both"/>
        <w:rPr>
          <w:rFonts w:ascii="Times New Roman" w:hAnsi="Times New Roman" w:cs="Times New Roman"/>
          <w:sz w:val="24"/>
          <w:szCs w:val="24"/>
          <w:lang w:val="vi-VN"/>
        </w:rPr>
      </w:pPr>
      <w:r w:rsidRPr="00F11075">
        <w:rPr>
          <w:rFonts w:ascii="Times New Roman" w:hAnsi="Times New Roman" w:cs="Times New Roman"/>
          <w:sz w:val="24"/>
          <w:szCs w:val="24"/>
          <w:lang w:val="vi-VN"/>
        </w:rPr>
        <w:t>Cân nhắc cải thiện chỉ số thanh toán cho nghĩa vụ nợ ngắn hạn (có thể thanh toán tài sản cố định để</w:t>
      </w:r>
      <w:r>
        <w:rPr>
          <w:rFonts w:ascii="Times New Roman" w:hAnsi="Times New Roman" w:cs="Times New Roman"/>
          <w:sz w:val="24"/>
          <w:szCs w:val="24"/>
          <w:lang w:val="vi-VN"/>
        </w:rPr>
        <w:t xml:space="preserve"> </w:t>
      </w:r>
      <w:r w:rsidRPr="00F11075">
        <w:rPr>
          <w:rFonts w:ascii="Times New Roman" w:hAnsi="Times New Roman" w:cs="Times New Roman"/>
          <w:sz w:val="24"/>
          <w:szCs w:val="24"/>
          <w:lang w:val="vi-VN"/>
        </w:rPr>
        <w:t>chi trả cho các khoản nợ ngắn hạn)</w:t>
      </w:r>
    </w:p>
    <w:p w14:paraId="0C28E1A1" w14:textId="014FF98C" w:rsidR="00F11075" w:rsidRPr="00F11075" w:rsidRDefault="00F11075" w:rsidP="00F11075">
      <w:pPr>
        <w:pStyle w:val="ListParagraph"/>
        <w:numPr>
          <w:ilvl w:val="0"/>
          <w:numId w:val="18"/>
        </w:numPr>
        <w:ind w:right="-23"/>
        <w:jc w:val="both"/>
        <w:rPr>
          <w:rFonts w:ascii="Times New Roman" w:hAnsi="Times New Roman" w:cs="Times New Roman"/>
          <w:sz w:val="24"/>
          <w:szCs w:val="24"/>
          <w:lang w:val="vi-VN"/>
        </w:rPr>
      </w:pPr>
      <w:r w:rsidRPr="00F11075">
        <w:rPr>
          <w:rFonts w:ascii="Times New Roman" w:hAnsi="Times New Roman" w:cs="Times New Roman"/>
          <w:sz w:val="24"/>
          <w:szCs w:val="24"/>
          <w:lang w:val="vi-VN"/>
        </w:rPr>
        <w:t>Vẫn có thể tận dụng nhiều hơn đòn bẩy tài chính để tăng hiệu suất sinh lợi của vốn chủ</w:t>
      </w:r>
      <w:r>
        <w:rPr>
          <w:rFonts w:ascii="Times New Roman" w:hAnsi="Times New Roman" w:cs="Times New Roman"/>
          <w:sz w:val="24"/>
          <w:szCs w:val="24"/>
          <w:lang w:val="vi-VN"/>
        </w:rPr>
        <w:t xml:space="preserve">. </w:t>
      </w:r>
      <w:r w:rsidRPr="00F11075">
        <w:rPr>
          <w:rFonts w:ascii="Times New Roman" w:hAnsi="Times New Roman" w:cs="Times New Roman"/>
          <w:sz w:val="24"/>
          <w:szCs w:val="24"/>
          <w:lang w:val="vi-VN"/>
        </w:rPr>
        <w:t>Tuy nhiên</w:t>
      </w:r>
      <w:r>
        <w:rPr>
          <w:rFonts w:ascii="Times New Roman" w:hAnsi="Times New Roman" w:cs="Times New Roman"/>
          <w:sz w:val="24"/>
          <w:szCs w:val="24"/>
          <w:lang w:val="vi-VN"/>
        </w:rPr>
        <w:t xml:space="preserve"> </w:t>
      </w:r>
      <w:r w:rsidRPr="00F11075">
        <w:rPr>
          <w:rFonts w:ascii="Times New Roman" w:hAnsi="Times New Roman" w:cs="Times New Roman"/>
          <w:sz w:val="24"/>
          <w:szCs w:val="24"/>
          <w:lang w:val="vi-VN"/>
        </w:rPr>
        <w:t>cần lưu ý nên sử dụng nợ dài hạn để đầu tư cho dự án dài hạn, để không ảnh hưởng đến chỉ số thanh toán.</w:t>
      </w:r>
    </w:p>
    <w:p w14:paraId="1764A44C" w14:textId="65C12907" w:rsidR="00F11075" w:rsidRPr="00F11075" w:rsidRDefault="00F11075" w:rsidP="00F11075">
      <w:pPr>
        <w:pStyle w:val="ListParagraph"/>
        <w:ind w:right="-23"/>
        <w:jc w:val="both"/>
        <w:rPr>
          <w:rFonts w:ascii="Times New Roman" w:hAnsi="Times New Roman" w:cs="Times New Roman"/>
          <w:sz w:val="24"/>
          <w:szCs w:val="24"/>
          <w:lang w:val="vi-VN"/>
        </w:rPr>
      </w:pPr>
    </w:p>
    <w:p w14:paraId="0B70F5E5" w14:textId="77777777" w:rsidR="00F11075" w:rsidRPr="00F11075" w:rsidRDefault="00F11075" w:rsidP="00F11075">
      <w:pPr>
        <w:pStyle w:val="ListParagraph"/>
        <w:ind w:right="-23"/>
        <w:jc w:val="both"/>
        <w:rPr>
          <w:rFonts w:ascii="Times New Roman" w:hAnsi="Times New Roman" w:cs="Times New Roman"/>
          <w:sz w:val="24"/>
          <w:szCs w:val="24"/>
          <w:lang w:val="vi-VN"/>
        </w:rPr>
      </w:pPr>
    </w:p>
    <w:p w14:paraId="45347AB2" w14:textId="77777777" w:rsidR="007F4FC0" w:rsidRPr="00734055" w:rsidRDefault="007F4FC0" w:rsidP="007F4FC0">
      <w:pPr>
        <w:pStyle w:val="ListParagraph"/>
        <w:ind w:left="360" w:right="-165"/>
        <w:rPr>
          <w:rFonts w:ascii="Times New Roman" w:hAnsi="Times New Roman" w:cs="Times New Roman"/>
          <w:sz w:val="24"/>
          <w:szCs w:val="24"/>
        </w:rPr>
      </w:pPr>
    </w:p>
    <w:p w14:paraId="0953CEEA" w14:textId="77777777" w:rsidR="007F4FC0" w:rsidRPr="00734055" w:rsidRDefault="007F4FC0" w:rsidP="007F4FC0">
      <w:pPr>
        <w:ind w:right="-165"/>
        <w:rPr>
          <w:rFonts w:ascii="Times New Roman" w:hAnsi="Times New Roman" w:cs="Times New Roman"/>
          <w:sz w:val="24"/>
          <w:szCs w:val="24"/>
        </w:rPr>
      </w:pPr>
    </w:p>
    <w:p w14:paraId="6F35AF16" w14:textId="77777777" w:rsidR="007F4FC0" w:rsidRPr="00734055" w:rsidRDefault="007F4FC0" w:rsidP="007F4FC0">
      <w:pPr>
        <w:ind w:right="-165"/>
        <w:rPr>
          <w:rFonts w:ascii="Times New Roman" w:hAnsi="Times New Roman" w:cs="Times New Roman"/>
          <w:sz w:val="24"/>
          <w:szCs w:val="24"/>
        </w:rPr>
      </w:pPr>
    </w:p>
    <w:p w14:paraId="798AD527" w14:textId="77777777" w:rsidR="007F4FC0" w:rsidRPr="00734055" w:rsidRDefault="007F4FC0" w:rsidP="007F4FC0">
      <w:pPr>
        <w:ind w:right="-165"/>
        <w:rPr>
          <w:rFonts w:ascii="Times New Roman" w:hAnsi="Times New Roman" w:cs="Times New Roman"/>
          <w:sz w:val="24"/>
          <w:szCs w:val="24"/>
        </w:rPr>
      </w:pPr>
    </w:p>
    <w:p w14:paraId="5E20243D" w14:textId="77777777" w:rsidR="007F4FC0" w:rsidRPr="00734055" w:rsidRDefault="007F4FC0" w:rsidP="007F4FC0">
      <w:pPr>
        <w:ind w:right="-165"/>
        <w:rPr>
          <w:rFonts w:ascii="Times New Roman" w:hAnsi="Times New Roman" w:cs="Times New Roman"/>
          <w:sz w:val="24"/>
          <w:szCs w:val="24"/>
        </w:rPr>
      </w:pPr>
    </w:p>
    <w:p w14:paraId="121B27BB" w14:textId="77777777" w:rsidR="007F4FC0" w:rsidRPr="00734055" w:rsidRDefault="007F4FC0" w:rsidP="007F4FC0">
      <w:pPr>
        <w:ind w:right="-165"/>
        <w:rPr>
          <w:rFonts w:ascii="Times New Roman" w:hAnsi="Times New Roman" w:cs="Times New Roman"/>
          <w:sz w:val="24"/>
          <w:szCs w:val="24"/>
        </w:rPr>
      </w:pPr>
    </w:p>
    <w:p w14:paraId="36CFF62B" w14:textId="77777777" w:rsidR="007F4FC0" w:rsidRPr="00734055" w:rsidRDefault="007F4FC0" w:rsidP="007F4FC0">
      <w:pPr>
        <w:ind w:right="-165"/>
        <w:rPr>
          <w:rFonts w:ascii="Times New Roman" w:hAnsi="Times New Roman" w:cs="Times New Roman"/>
          <w:sz w:val="24"/>
          <w:szCs w:val="24"/>
        </w:rPr>
      </w:pPr>
    </w:p>
    <w:p w14:paraId="6323A32A" w14:textId="77777777" w:rsidR="007F4FC0" w:rsidRPr="00734055" w:rsidRDefault="007F4FC0" w:rsidP="007F4FC0">
      <w:pPr>
        <w:ind w:right="-165"/>
        <w:rPr>
          <w:rFonts w:ascii="Times New Roman" w:hAnsi="Times New Roman" w:cs="Times New Roman"/>
          <w:sz w:val="24"/>
          <w:szCs w:val="24"/>
        </w:rPr>
      </w:pPr>
    </w:p>
    <w:p w14:paraId="69377066" w14:textId="77777777" w:rsidR="007F4FC0" w:rsidRPr="00734055" w:rsidRDefault="007F4FC0" w:rsidP="007F4FC0">
      <w:pPr>
        <w:ind w:right="-165"/>
        <w:rPr>
          <w:rFonts w:ascii="Times New Roman" w:hAnsi="Times New Roman" w:cs="Times New Roman"/>
          <w:sz w:val="24"/>
          <w:szCs w:val="24"/>
        </w:rPr>
      </w:pPr>
    </w:p>
    <w:p w14:paraId="0EDFF9B6" w14:textId="77777777" w:rsidR="007F4FC0" w:rsidRPr="00734055" w:rsidRDefault="007F4FC0" w:rsidP="007F4FC0">
      <w:pPr>
        <w:ind w:right="-165"/>
        <w:rPr>
          <w:rFonts w:ascii="Times New Roman" w:hAnsi="Times New Roman" w:cs="Times New Roman"/>
          <w:sz w:val="24"/>
          <w:szCs w:val="24"/>
        </w:rPr>
      </w:pPr>
    </w:p>
    <w:p w14:paraId="417B69DF" w14:textId="77777777" w:rsidR="007F4FC0" w:rsidRPr="00734055" w:rsidRDefault="007F4FC0" w:rsidP="007F4FC0">
      <w:pPr>
        <w:ind w:right="-165"/>
        <w:rPr>
          <w:rFonts w:ascii="Times New Roman" w:hAnsi="Times New Roman" w:cs="Times New Roman"/>
          <w:sz w:val="24"/>
          <w:szCs w:val="24"/>
        </w:rPr>
      </w:pPr>
    </w:p>
    <w:p w14:paraId="3699770A" w14:textId="77777777" w:rsidR="007F4FC0" w:rsidRPr="00734055" w:rsidRDefault="007F4FC0" w:rsidP="007F4FC0">
      <w:pPr>
        <w:ind w:right="-165"/>
        <w:rPr>
          <w:rFonts w:ascii="Times New Roman" w:hAnsi="Times New Roman" w:cs="Times New Roman"/>
          <w:sz w:val="24"/>
          <w:szCs w:val="24"/>
        </w:rPr>
      </w:pPr>
    </w:p>
    <w:p w14:paraId="38788B1B" w14:textId="77777777" w:rsidR="007F4FC0" w:rsidRPr="00734055" w:rsidRDefault="007F4FC0" w:rsidP="007F4FC0">
      <w:pPr>
        <w:ind w:right="-165"/>
        <w:rPr>
          <w:rFonts w:ascii="Times New Roman" w:hAnsi="Times New Roman" w:cs="Times New Roman"/>
          <w:sz w:val="24"/>
          <w:szCs w:val="24"/>
        </w:rPr>
      </w:pPr>
    </w:p>
    <w:p w14:paraId="037D67CC" w14:textId="77777777" w:rsidR="007F4FC0" w:rsidRPr="00734055" w:rsidRDefault="007F4FC0" w:rsidP="007F4FC0">
      <w:pPr>
        <w:ind w:right="-165"/>
        <w:rPr>
          <w:rFonts w:ascii="Times New Roman" w:hAnsi="Times New Roman" w:cs="Times New Roman"/>
          <w:sz w:val="24"/>
          <w:szCs w:val="24"/>
        </w:rPr>
      </w:pPr>
    </w:p>
    <w:p w14:paraId="7D03C08B" w14:textId="77777777" w:rsidR="007F4FC0" w:rsidRPr="00734055" w:rsidRDefault="007F4FC0" w:rsidP="007F4FC0">
      <w:pPr>
        <w:ind w:right="-165"/>
        <w:rPr>
          <w:rFonts w:ascii="Times New Roman" w:hAnsi="Times New Roman" w:cs="Times New Roman"/>
          <w:sz w:val="24"/>
          <w:szCs w:val="24"/>
        </w:rPr>
      </w:pPr>
    </w:p>
    <w:p w14:paraId="13FE809F" w14:textId="77777777" w:rsidR="007F4FC0" w:rsidRPr="00734055" w:rsidRDefault="007F4FC0" w:rsidP="007F4FC0">
      <w:pPr>
        <w:ind w:right="-165"/>
        <w:rPr>
          <w:rFonts w:ascii="Times New Roman" w:hAnsi="Times New Roman" w:cs="Times New Roman"/>
          <w:sz w:val="24"/>
          <w:szCs w:val="24"/>
        </w:rPr>
      </w:pPr>
    </w:p>
    <w:p w14:paraId="25990B6F" w14:textId="77777777" w:rsidR="007F4FC0" w:rsidRPr="00734055" w:rsidRDefault="007F4FC0" w:rsidP="007F4FC0">
      <w:pPr>
        <w:ind w:right="-165"/>
        <w:rPr>
          <w:rFonts w:ascii="Times New Roman" w:hAnsi="Times New Roman" w:cs="Times New Roman"/>
          <w:sz w:val="24"/>
          <w:szCs w:val="24"/>
        </w:rPr>
      </w:pPr>
    </w:p>
    <w:p w14:paraId="7B587996" w14:textId="77777777" w:rsidR="007F4FC0" w:rsidRPr="00734055" w:rsidRDefault="007F4FC0" w:rsidP="007F4FC0">
      <w:pPr>
        <w:ind w:right="-165"/>
        <w:rPr>
          <w:rFonts w:ascii="Times New Roman" w:hAnsi="Times New Roman" w:cs="Times New Roman"/>
          <w:sz w:val="24"/>
          <w:szCs w:val="24"/>
        </w:rPr>
      </w:pPr>
    </w:p>
    <w:p w14:paraId="0C3D6EA6" w14:textId="77777777" w:rsidR="007F4FC0" w:rsidRPr="00734055" w:rsidRDefault="007F4FC0" w:rsidP="007F4FC0">
      <w:pPr>
        <w:ind w:right="-165"/>
        <w:rPr>
          <w:rFonts w:ascii="Times New Roman" w:hAnsi="Times New Roman" w:cs="Times New Roman"/>
          <w:sz w:val="24"/>
          <w:szCs w:val="24"/>
        </w:rPr>
      </w:pPr>
    </w:p>
    <w:p w14:paraId="2BCA9339" w14:textId="77777777" w:rsidR="007F4FC0" w:rsidRPr="00734055" w:rsidRDefault="007F4FC0" w:rsidP="007F4FC0">
      <w:pPr>
        <w:rPr>
          <w:rFonts w:ascii="Times New Roman" w:hAnsi="Times New Roman" w:cs="Times New Roman"/>
          <w:sz w:val="24"/>
          <w:szCs w:val="24"/>
          <w:lang w:val="vi-VN"/>
        </w:rPr>
      </w:pPr>
    </w:p>
    <w:p w14:paraId="37800D93" w14:textId="77777777" w:rsidR="00E26469" w:rsidRPr="00734055" w:rsidRDefault="00E26469">
      <w:pPr>
        <w:rPr>
          <w:rFonts w:ascii="Times New Roman" w:hAnsi="Times New Roman" w:cs="Times New Roman"/>
        </w:rPr>
      </w:pPr>
    </w:p>
    <w:sectPr w:rsidR="00E26469" w:rsidRPr="00734055" w:rsidSect="00F40F1C">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2E0C"/>
    <w:multiLevelType w:val="hybridMultilevel"/>
    <w:tmpl w:val="C590DB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950444"/>
    <w:multiLevelType w:val="hybridMultilevel"/>
    <w:tmpl w:val="B352F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75D1"/>
    <w:multiLevelType w:val="hybridMultilevel"/>
    <w:tmpl w:val="3BD61058"/>
    <w:lvl w:ilvl="0" w:tplc="50EA75E0">
      <w:start w:val="2"/>
      <w:numFmt w:val="bullet"/>
      <w:lvlText w:val="-"/>
      <w:lvlJc w:val="left"/>
      <w:pPr>
        <w:ind w:left="502" w:hanging="360"/>
      </w:pPr>
      <w:rPr>
        <w:rFonts w:ascii="Times New Roman" w:eastAsiaTheme="minorHAnsi" w:hAnsi="Times New Roman" w:cs="Times New Roman"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0A9F17B3"/>
    <w:multiLevelType w:val="hybridMultilevel"/>
    <w:tmpl w:val="4140C6EE"/>
    <w:lvl w:ilvl="0" w:tplc="50EA75E0">
      <w:start w:val="2"/>
      <w:numFmt w:val="bullet"/>
      <w:lvlText w:val="-"/>
      <w:lvlJc w:val="left"/>
      <w:pPr>
        <w:ind w:left="502"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A00AB4"/>
    <w:multiLevelType w:val="hybridMultilevel"/>
    <w:tmpl w:val="ADEEF7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314C6147"/>
    <w:multiLevelType w:val="hybridMultilevel"/>
    <w:tmpl w:val="EE12D6AC"/>
    <w:lvl w:ilvl="0" w:tplc="3E92D8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6C45E1"/>
    <w:multiLevelType w:val="hybridMultilevel"/>
    <w:tmpl w:val="CD027CCC"/>
    <w:lvl w:ilvl="0" w:tplc="47F60A8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34637A61"/>
    <w:multiLevelType w:val="hybridMultilevel"/>
    <w:tmpl w:val="073CFC9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38DF14CF"/>
    <w:multiLevelType w:val="hybridMultilevel"/>
    <w:tmpl w:val="744847AE"/>
    <w:lvl w:ilvl="0" w:tplc="E65614C6">
      <w:start w:val="2"/>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42DD638B"/>
    <w:multiLevelType w:val="hybridMultilevel"/>
    <w:tmpl w:val="C8FC232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484F75"/>
    <w:multiLevelType w:val="hybridMultilevel"/>
    <w:tmpl w:val="E9481B74"/>
    <w:lvl w:ilvl="0" w:tplc="DD78CC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A9448D"/>
    <w:multiLevelType w:val="hybridMultilevel"/>
    <w:tmpl w:val="20442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074D6"/>
    <w:multiLevelType w:val="hybridMultilevel"/>
    <w:tmpl w:val="5E8EF3FE"/>
    <w:lvl w:ilvl="0" w:tplc="7834DD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CC5528"/>
    <w:multiLevelType w:val="hybridMultilevel"/>
    <w:tmpl w:val="D922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4A0BF1"/>
    <w:multiLevelType w:val="hybridMultilevel"/>
    <w:tmpl w:val="B5C6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D7829"/>
    <w:multiLevelType w:val="hybridMultilevel"/>
    <w:tmpl w:val="F8CAE26A"/>
    <w:lvl w:ilvl="0" w:tplc="D5C0E44C">
      <w:start w:val="16"/>
      <w:numFmt w:val="bullet"/>
      <w:lvlText w:val=""/>
      <w:lvlJc w:val="left"/>
      <w:pPr>
        <w:ind w:left="1070" w:hanging="360"/>
      </w:pPr>
      <w:rPr>
        <w:rFonts w:ascii="Wingdings" w:eastAsiaTheme="minorHAnsi" w:hAnsi="Wingdings"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nsid w:val="5F341AC7"/>
    <w:multiLevelType w:val="hybridMultilevel"/>
    <w:tmpl w:val="46C8FC90"/>
    <w:lvl w:ilvl="0" w:tplc="50EA75E0">
      <w:start w:val="2"/>
      <w:numFmt w:val="bullet"/>
      <w:lvlText w:val="-"/>
      <w:lvlJc w:val="left"/>
      <w:pPr>
        <w:ind w:left="928" w:hanging="360"/>
      </w:pPr>
      <w:rPr>
        <w:rFonts w:ascii="Times New Roman" w:eastAsiaTheme="minorHAnsi" w:hAnsi="Times New Roman" w:cs="Times New Roman" w:hint="default"/>
        <w:b/>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7">
    <w:nsid w:val="6F780F94"/>
    <w:multiLevelType w:val="hybridMultilevel"/>
    <w:tmpl w:val="1E68C1D0"/>
    <w:lvl w:ilvl="0" w:tplc="EE5CE704">
      <w:start w:val="2"/>
      <w:numFmt w:val="bullet"/>
      <w:lvlText w:val=""/>
      <w:lvlJc w:val="left"/>
      <w:pPr>
        <w:ind w:left="928" w:hanging="360"/>
      </w:pPr>
      <w:rPr>
        <w:rFonts w:ascii="Wingdings" w:eastAsiaTheme="minorHAnsi" w:hAnsi="Wingdings"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nsid w:val="7F3860F0"/>
    <w:multiLevelType w:val="hybridMultilevel"/>
    <w:tmpl w:val="A8403C26"/>
    <w:lvl w:ilvl="0" w:tplc="50EA75E0">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7"/>
  </w:num>
  <w:num w:numId="5">
    <w:abstractNumId w:val="8"/>
  </w:num>
  <w:num w:numId="6">
    <w:abstractNumId w:val="4"/>
  </w:num>
  <w:num w:numId="7">
    <w:abstractNumId w:val="5"/>
  </w:num>
  <w:num w:numId="8">
    <w:abstractNumId w:val="0"/>
  </w:num>
  <w:num w:numId="9">
    <w:abstractNumId w:val="6"/>
  </w:num>
  <w:num w:numId="10">
    <w:abstractNumId w:val="9"/>
  </w:num>
  <w:num w:numId="11">
    <w:abstractNumId w:val="11"/>
  </w:num>
  <w:num w:numId="12">
    <w:abstractNumId w:val="1"/>
  </w:num>
  <w:num w:numId="13">
    <w:abstractNumId w:val="7"/>
  </w:num>
  <w:num w:numId="14">
    <w:abstractNumId w:val="15"/>
  </w:num>
  <w:num w:numId="15">
    <w:abstractNumId w:val="14"/>
  </w:num>
  <w:num w:numId="16">
    <w:abstractNumId w:val="16"/>
  </w:num>
  <w:num w:numId="17">
    <w:abstractNumId w:val="18"/>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FC0"/>
    <w:rsid w:val="00043A0A"/>
    <w:rsid w:val="00097A2F"/>
    <w:rsid w:val="000A108D"/>
    <w:rsid w:val="000A595B"/>
    <w:rsid w:val="000B5850"/>
    <w:rsid w:val="000B61C7"/>
    <w:rsid w:val="001A7633"/>
    <w:rsid w:val="00241F27"/>
    <w:rsid w:val="0029616E"/>
    <w:rsid w:val="003D4BAD"/>
    <w:rsid w:val="003E29A8"/>
    <w:rsid w:val="00412D2B"/>
    <w:rsid w:val="00453DA3"/>
    <w:rsid w:val="004E0F6D"/>
    <w:rsid w:val="004F36C2"/>
    <w:rsid w:val="005347EB"/>
    <w:rsid w:val="00561995"/>
    <w:rsid w:val="00591A21"/>
    <w:rsid w:val="005F64E2"/>
    <w:rsid w:val="00681886"/>
    <w:rsid w:val="006F11A3"/>
    <w:rsid w:val="006F525E"/>
    <w:rsid w:val="00734055"/>
    <w:rsid w:val="00757C25"/>
    <w:rsid w:val="00760EE6"/>
    <w:rsid w:val="007672F2"/>
    <w:rsid w:val="007A53D6"/>
    <w:rsid w:val="007F4FC0"/>
    <w:rsid w:val="008A1068"/>
    <w:rsid w:val="008F1198"/>
    <w:rsid w:val="00951BFB"/>
    <w:rsid w:val="009B2911"/>
    <w:rsid w:val="009C78D2"/>
    <w:rsid w:val="009E5EBA"/>
    <w:rsid w:val="009E7D32"/>
    <w:rsid w:val="00AB5DBA"/>
    <w:rsid w:val="00AC5E12"/>
    <w:rsid w:val="00AD68EE"/>
    <w:rsid w:val="00B55A0E"/>
    <w:rsid w:val="00B6456E"/>
    <w:rsid w:val="00B73E23"/>
    <w:rsid w:val="00BE4525"/>
    <w:rsid w:val="00BF7B26"/>
    <w:rsid w:val="00C52CEE"/>
    <w:rsid w:val="00CA49F0"/>
    <w:rsid w:val="00CE4118"/>
    <w:rsid w:val="00D15AB1"/>
    <w:rsid w:val="00D24A54"/>
    <w:rsid w:val="00D61674"/>
    <w:rsid w:val="00D67956"/>
    <w:rsid w:val="00D86B2F"/>
    <w:rsid w:val="00D90EC7"/>
    <w:rsid w:val="00E26469"/>
    <w:rsid w:val="00EA09D9"/>
    <w:rsid w:val="00EC122C"/>
    <w:rsid w:val="00F11075"/>
    <w:rsid w:val="00F77B77"/>
    <w:rsid w:val="00FC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FC0"/>
  </w:style>
  <w:style w:type="paragraph" w:styleId="Heading2">
    <w:name w:val="heading 2"/>
    <w:basedOn w:val="Normal"/>
    <w:next w:val="Normal"/>
    <w:link w:val="Heading2Char"/>
    <w:uiPriority w:val="9"/>
    <w:unhideWhenUsed/>
    <w:qFormat/>
    <w:rsid w:val="00734055"/>
    <w:pPr>
      <w:keepNext/>
      <w:keepLines/>
      <w:spacing w:before="40" w:after="0"/>
      <w:outlineLvl w:val="1"/>
    </w:pPr>
    <w:rPr>
      <w:rFonts w:ascii="Times New Roman" w:eastAsiaTheme="majorEastAsia" w:hAnsi="Times New Roman" w:cstheme="majorBidi"/>
      <w: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4FC0"/>
    <w:pPr>
      <w:ind w:left="720"/>
      <w:contextualSpacing/>
    </w:pPr>
  </w:style>
  <w:style w:type="paragraph" w:styleId="BalloonText">
    <w:name w:val="Balloon Text"/>
    <w:basedOn w:val="Normal"/>
    <w:link w:val="BalloonTextChar"/>
    <w:uiPriority w:val="99"/>
    <w:semiHidden/>
    <w:unhideWhenUsed/>
    <w:rsid w:val="008F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98"/>
    <w:rPr>
      <w:rFonts w:ascii="Tahoma" w:hAnsi="Tahoma" w:cs="Tahoma"/>
      <w:sz w:val="16"/>
      <w:szCs w:val="16"/>
    </w:rPr>
  </w:style>
  <w:style w:type="character" w:customStyle="1" w:styleId="Heading2Char">
    <w:name w:val="Heading 2 Char"/>
    <w:basedOn w:val="DefaultParagraphFont"/>
    <w:link w:val="Heading2"/>
    <w:uiPriority w:val="9"/>
    <w:rsid w:val="00734055"/>
    <w:rPr>
      <w:rFonts w:ascii="Times New Roman" w:eastAsiaTheme="majorEastAsia" w:hAnsi="Times New Roman" w:cstheme="majorBidi"/>
      <w:i/>
      <w:color w:val="2F5496" w:themeColor="accent1" w:themeShade="BF"/>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FC0"/>
  </w:style>
  <w:style w:type="paragraph" w:styleId="Heading2">
    <w:name w:val="heading 2"/>
    <w:basedOn w:val="Normal"/>
    <w:next w:val="Normal"/>
    <w:link w:val="Heading2Char"/>
    <w:uiPriority w:val="9"/>
    <w:unhideWhenUsed/>
    <w:qFormat/>
    <w:rsid w:val="00734055"/>
    <w:pPr>
      <w:keepNext/>
      <w:keepLines/>
      <w:spacing w:before="40" w:after="0"/>
      <w:outlineLvl w:val="1"/>
    </w:pPr>
    <w:rPr>
      <w:rFonts w:ascii="Times New Roman" w:eastAsiaTheme="majorEastAsia" w:hAnsi="Times New Roman" w:cstheme="majorBidi"/>
      <w: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4FC0"/>
    <w:pPr>
      <w:ind w:left="720"/>
      <w:contextualSpacing/>
    </w:pPr>
  </w:style>
  <w:style w:type="paragraph" w:styleId="BalloonText">
    <w:name w:val="Balloon Text"/>
    <w:basedOn w:val="Normal"/>
    <w:link w:val="BalloonTextChar"/>
    <w:uiPriority w:val="99"/>
    <w:semiHidden/>
    <w:unhideWhenUsed/>
    <w:rsid w:val="008F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198"/>
    <w:rPr>
      <w:rFonts w:ascii="Tahoma" w:hAnsi="Tahoma" w:cs="Tahoma"/>
      <w:sz w:val="16"/>
      <w:szCs w:val="16"/>
    </w:rPr>
  </w:style>
  <w:style w:type="character" w:customStyle="1" w:styleId="Heading2Char">
    <w:name w:val="Heading 2 Char"/>
    <w:basedOn w:val="DefaultParagraphFont"/>
    <w:link w:val="Heading2"/>
    <w:uiPriority w:val="9"/>
    <w:rsid w:val="00734055"/>
    <w:rPr>
      <w:rFonts w:ascii="Times New Roman" w:eastAsiaTheme="majorEastAsia" w:hAnsi="Times New Roman" w:cstheme="majorBidi"/>
      <w: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Hương Ly</dc:creator>
  <cp:lastModifiedBy>Windows User</cp:lastModifiedBy>
  <cp:revision>2</cp:revision>
  <dcterms:created xsi:type="dcterms:W3CDTF">2022-06-27T14:52:00Z</dcterms:created>
  <dcterms:modified xsi:type="dcterms:W3CDTF">2022-06-27T14:52:00Z</dcterms:modified>
</cp:coreProperties>
</file>