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19"/>
        <w:gridCol w:w="4219"/>
        <w:gridCol w:w="1534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75" w:after="9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9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75" w:after="90"/>
        <w:jc w:val="center"/>
      </w:pPr>
      <w:r>
        <w:rPr>
          <w:b/>
          <w:sz w:val="28"/>
        </w:rPr>
        <w:t>MEHNAT FAOLIYATI</w:t>
      </w:r>
    </w:p>
    <w:p>
      <w:pPr>
        <w:spacing w:after="90" w:line="312" w:lineRule="auto"/>
      </w:pPr>
      <w:r>
        <w:t>2018-2024 yy. – Andijon davlat tibbiyot instituti talabasi</w:t>
      </w:r>
    </w:p>
    <w:p>
      <w:pPr>
        <w:spacing w:after="9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2268"/>
        <w:gridCol w:w="1757"/>
        <w:gridCol w:w="1757"/>
        <w:gridCol w:w="1701"/>
      </w:tblGrid>
      <w:tr>
        <w:tc>
          <w:tcPr>
            <w:tcW w:type="dxa" w:w="199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9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9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9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9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>Otasi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Aliyev Ali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1970, Andijon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20"/>
              </w:rPr>
              <w:t>Fermer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