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b/>
          <w:sz w:val="32"/>
        </w:rPr>
        <w:t>MA'LUMOTNOMA</w:t>
      </w:r>
    </w:p>
    <w:p>
      <w:pPr>
        <w:spacing w:after="400" w:line="312" w:lineRule="auto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yili: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joyi: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 w:val="restart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Millati: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Partiyaviyligi: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Tamomlagan: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darajasi: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Qaysi chet tillarini biladi: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Harbiy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Xalq deputatlari respublika, viloyat, shahar va tuman Kengashi deputatimi yoki boshqa saylanadigan organlarning a'zosimi (to'liq ko'rsatish lozim):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</w:tbl>
    <w:p>
      <w:pPr>
        <w:spacing w:before="400" w:after="120" w:line="312" w:lineRule="auto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2018-2024 yy.:</w:t>
      </w:r>
      <w:r>
        <w:br/>
      </w:r>
      <w:r>
        <w:t>Andijon davlat tibbiyot instituti davolash ishi fakulteti talabasi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