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3041D" w14:textId="77777777" w:rsidR="0085582F" w:rsidRDefault="0085582F" w:rsidP="00D105BB">
      <w:pPr>
        <w:pStyle w:val="Titre1"/>
      </w:pPr>
    </w:p>
    <w:p w14:paraId="2B17106D" w14:textId="77777777" w:rsidR="002E04D4" w:rsidRDefault="002E04D4">
      <w:pPr>
        <w:jc w:val="left"/>
      </w:pPr>
    </w:p>
    <w:p w14:paraId="153B81C2" w14:textId="77777777" w:rsidR="002E04D4" w:rsidRDefault="002E04D4">
      <w:pPr>
        <w:jc w:val="left"/>
      </w:pPr>
    </w:p>
    <w:p w14:paraId="094011E6" w14:textId="77777777" w:rsidR="002E04D4" w:rsidRDefault="002E04D4">
      <w:pPr>
        <w:jc w:val="left"/>
      </w:pPr>
    </w:p>
    <w:p w14:paraId="12CFE08C" w14:textId="481C533D" w:rsidR="002E04D4" w:rsidRDefault="002E04D4" w:rsidP="002E04D4">
      <w:pPr>
        <w:pStyle w:val="Titre"/>
        <w:jc w:val="center"/>
        <w:rPr>
          <w:rFonts w:ascii="Cambria" w:hAnsi="Cambria"/>
          <w:b/>
          <w:bCs/>
          <w:sz w:val="72"/>
          <w:szCs w:val="72"/>
        </w:rPr>
      </w:pPr>
      <w:r w:rsidRPr="002E04D4">
        <w:rPr>
          <w:rFonts w:ascii="Cambria" w:hAnsi="Cambria"/>
          <w:b/>
          <w:bCs/>
          <w:sz w:val="72"/>
          <w:szCs w:val="72"/>
        </w:rPr>
        <w:t>Mémoire de master :</w:t>
      </w:r>
    </w:p>
    <w:p w14:paraId="01B22621" w14:textId="77777777" w:rsidR="002E04D4" w:rsidRPr="002E04D4" w:rsidRDefault="002E04D4" w:rsidP="002E04D4"/>
    <w:p w14:paraId="4FFDDEFA" w14:textId="256A3A9C" w:rsidR="002E04D4" w:rsidRDefault="002E04D4" w:rsidP="002E04D4">
      <w:pPr>
        <w:pStyle w:val="Titre"/>
        <w:jc w:val="center"/>
        <w:rPr>
          <w:rFonts w:ascii="Times New Roman" w:hAnsi="Times New Roman" w:cs="Times New Roman"/>
        </w:rPr>
      </w:pPr>
      <w:r w:rsidRPr="002E04D4">
        <w:rPr>
          <w:rFonts w:ascii="Times New Roman" w:hAnsi="Times New Roman" w:cs="Times New Roman"/>
        </w:rPr>
        <w:t>Modélisation de l’absentéisme sur un portefeuille d’assurance collective</w:t>
      </w:r>
    </w:p>
    <w:p w14:paraId="7757356E" w14:textId="67A9B718" w:rsidR="002E04D4" w:rsidRDefault="002E04D4" w:rsidP="002E04D4"/>
    <w:p w14:paraId="59E60519" w14:textId="77777777" w:rsidR="00494548" w:rsidRDefault="00494548" w:rsidP="002E04D4">
      <w:pPr>
        <w:jc w:val="center"/>
      </w:pPr>
    </w:p>
    <w:p w14:paraId="0C8D6C52" w14:textId="77777777" w:rsidR="00494548" w:rsidRDefault="00494548" w:rsidP="002E04D4">
      <w:pPr>
        <w:jc w:val="center"/>
      </w:pPr>
    </w:p>
    <w:p w14:paraId="74E1F08D" w14:textId="685E8126" w:rsidR="002E04D4" w:rsidRDefault="002E04D4" w:rsidP="002E04D4">
      <w:pPr>
        <w:jc w:val="center"/>
      </w:pPr>
      <w:r>
        <w:t>Khalil DATSI</w:t>
      </w:r>
    </w:p>
    <w:p w14:paraId="075312F0" w14:textId="51F0B64A" w:rsidR="002E04D4" w:rsidRPr="002E04D4" w:rsidRDefault="009D0087" w:rsidP="00494548">
      <w:pPr>
        <w:pStyle w:val="Sansinterligne"/>
      </w:pPr>
      <w:r>
        <w:rPr>
          <w:noProof/>
        </w:rPr>
        <w:drawing>
          <wp:anchor distT="0" distB="0" distL="114300" distR="114300" simplePos="0" relativeHeight="251660288" behindDoc="1" locked="0" layoutInCell="1" allowOverlap="1" wp14:anchorId="4FF11033" wp14:editId="0D079959">
            <wp:simplePos x="0" y="0"/>
            <wp:positionH relativeFrom="column">
              <wp:posOffset>2403156</wp:posOffset>
            </wp:positionH>
            <wp:positionV relativeFrom="paragraph">
              <wp:posOffset>761365</wp:posOffset>
            </wp:positionV>
            <wp:extent cx="1120140" cy="1120140"/>
            <wp:effectExtent l="0" t="0" r="3810" b="3810"/>
            <wp:wrapTight wrapText="bothSides">
              <wp:wrapPolygon edited="0">
                <wp:start x="0" y="0"/>
                <wp:lineTo x="0" y="21306"/>
                <wp:lineTo x="21306" y="21306"/>
                <wp:lineTo x="21306"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pic:spPr>
                </pic:pic>
              </a:graphicData>
            </a:graphic>
            <wp14:sizeRelH relativeFrom="page">
              <wp14:pctWidth>0</wp14:pctWidth>
            </wp14:sizeRelH>
            <wp14:sizeRelV relativeFrom="page">
              <wp14:pctHeight>0</wp14:pctHeight>
            </wp14:sizeRelV>
          </wp:anchor>
        </w:drawing>
      </w:r>
      <w:r>
        <w:rPr>
          <w:rFonts w:ascii="CG Omega" w:hAnsi="CG Omega"/>
          <w:noProof/>
          <w:sz w:val="20"/>
          <w:szCs w:val="20"/>
          <w:lang w:eastAsia="fr-FR"/>
        </w:rPr>
        <w:drawing>
          <wp:anchor distT="0" distB="0" distL="114300" distR="114300" simplePos="0" relativeHeight="251658240" behindDoc="1" locked="0" layoutInCell="1" allowOverlap="1" wp14:anchorId="2E363C98" wp14:editId="798CE746">
            <wp:simplePos x="0" y="0"/>
            <wp:positionH relativeFrom="column">
              <wp:posOffset>3915153</wp:posOffset>
            </wp:positionH>
            <wp:positionV relativeFrom="paragraph">
              <wp:posOffset>756920</wp:posOffset>
            </wp:positionV>
            <wp:extent cx="1524000" cy="1127760"/>
            <wp:effectExtent l="0" t="0" r="0" b="0"/>
            <wp:wrapTight wrapText="bothSides">
              <wp:wrapPolygon edited="0">
                <wp:start x="0" y="0"/>
                <wp:lineTo x="0" y="21162"/>
                <wp:lineTo x="21330" y="21162"/>
                <wp:lineTo x="21330" y="0"/>
                <wp:lineTo x="0" y="0"/>
              </wp:wrapPolygon>
            </wp:wrapTight>
            <wp:docPr id="20" name="Image 20" descr="logo-uc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cb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127760"/>
                    </a:xfrm>
                    <a:prstGeom prst="rect">
                      <a:avLst/>
                    </a:prstGeom>
                    <a:noFill/>
                    <a:ln>
                      <a:noFill/>
                    </a:ln>
                  </pic:spPr>
                </pic:pic>
              </a:graphicData>
            </a:graphic>
          </wp:anchor>
        </w:drawing>
      </w:r>
      <w:r w:rsidR="002E04D4">
        <w:rPr>
          <w:rFonts w:ascii="Tms Rmn" w:hAnsi="Tms Rmn"/>
          <w:noProof/>
          <w:lang w:eastAsia="fr-FR"/>
        </w:rPr>
        <w:drawing>
          <wp:anchor distT="0" distB="0" distL="114300" distR="114300" simplePos="0" relativeHeight="251659264" behindDoc="1" locked="0" layoutInCell="1" allowOverlap="1" wp14:anchorId="5DC76A5E" wp14:editId="36489DE9">
            <wp:simplePos x="0" y="0"/>
            <wp:positionH relativeFrom="column">
              <wp:posOffset>641262</wp:posOffset>
            </wp:positionH>
            <wp:positionV relativeFrom="paragraph">
              <wp:posOffset>1107602</wp:posOffset>
            </wp:positionV>
            <wp:extent cx="1303020" cy="480060"/>
            <wp:effectExtent l="0" t="0" r="0" b="0"/>
            <wp:wrapTight wrapText="bothSides">
              <wp:wrapPolygon edited="0">
                <wp:start x="0" y="0"/>
                <wp:lineTo x="0" y="20571"/>
                <wp:lineTo x="21158" y="20571"/>
                <wp:lineTo x="21158"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3020" cy="480060"/>
                    </a:xfrm>
                    <a:prstGeom prst="rect">
                      <a:avLst/>
                    </a:prstGeom>
                    <a:noFill/>
                    <a:ln>
                      <a:noFill/>
                    </a:ln>
                  </pic:spPr>
                </pic:pic>
              </a:graphicData>
            </a:graphic>
          </wp:anchor>
        </w:drawing>
      </w:r>
      <w:r w:rsidR="00260AC0" w:rsidRPr="002E04D4">
        <w:br w:type="page"/>
      </w:r>
    </w:p>
    <w:p w14:paraId="094E8665" w14:textId="7B4872D4" w:rsidR="000C387D" w:rsidRPr="00260AC0" w:rsidRDefault="000C387D" w:rsidP="000C387D">
      <w:pPr>
        <w:pStyle w:val="Titre1"/>
        <w:jc w:val="center"/>
      </w:pPr>
      <w:bookmarkStart w:id="0" w:name="_Toc112955482"/>
      <w:r>
        <w:lastRenderedPageBreak/>
        <w:t>Résumé</w:t>
      </w:r>
      <w:bookmarkEnd w:id="0"/>
    </w:p>
    <w:p w14:paraId="396C0CD6" w14:textId="013536BA" w:rsidR="000C387D" w:rsidRDefault="000C387D" w:rsidP="000C387D">
      <w:pPr>
        <w:pStyle w:val="Sansinterligne"/>
      </w:pPr>
    </w:p>
    <w:p w14:paraId="71812DE5" w14:textId="77777777" w:rsidR="000C387D" w:rsidRDefault="000C387D" w:rsidP="000C387D">
      <w:pPr>
        <w:pStyle w:val="Sansinterligne"/>
      </w:pPr>
    </w:p>
    <w:p w14:paraId="51080DB6" w14:textId="77777777" w:rsidR="0097744D" w:rsidRDefault="0097744D" w:rsidP="000C387D">
      <w:pPr>
        <w:pStyle w:val="Sansinterligne"/>
      </w:pPr>
    </w:p>
    <w:p w14:paraId="31EAF96F" w14:textId="77777777" w:rsidR="0097744D" w:rsidRDefault="0097744D" w:rsidP="000C387D">
      <w:pPr>
        <w:pStyle w:val="Sansinterligne"/>
      </w:pPr>
    </w:p>
    <w:p w14:paraId="475B6BBD" w14:textId="77777777" w:rsidR="0097744D" w:rsidRDefault="0097744D" w:rsidP="000C387D">
      <w:pPr>
        <w:pStyle w:val="Sansinterligne"/>
      </w:pPr>
    </w:p>
    <w:p w14:paraId="5F48E2E8" w14:textId="19411E62" w:rsidR="0097744D" w:rsidRDefault="0097744D" w:rsidP="000C387D">
      <w:pPr>
        <w:pStyle w:val="Sansinterligne"/>
      </w:pPr>
      <w:r>
        <w:t xml:space="preserve">L’absentéisme est en constante hausse ces dernières années dans le monde de l’entreprise. Cette notion complexe est très importante pour l’assureur du fait qu’il intervient dans la couverture des arrêts de travail. </w:t>
      </w:r>
    </w:p>
    <w:p w14:paraId="43939A34" w14:textId="64C01154" w:rsidR="0097744D" w:rsidRDefault="000605D4" w:rsidP="0097744D">
      <w:pPr>
        <w:pStyle w:val="Sansinterligne"/>
        <w:spacing w:before="240"/>
      </w:pPr>
      <w:r>
        <w:t>P</w:t>
      </w:r>
      <w:r w:rsidR="0097744D">
        <w:t>our pouvoir cerner ce phénomène, il faudra d’abord</w:t>
      </w:r>
      <w:r w:rsidR="000C387D">
        <w:t xml:space="preserve"> rappel</w:t>
      </w:r>
      <w:r w:rsidR="0097744D">
        <w:t>er</w:t>
      </w:r>
      <w:r w:rsidR="000C387D">
        <w:t xml:space="preserve"> le cadre de la protection sociale en France, </w:t>
      </w:r>
      <w:r w:rsidR="0097744D">
        <w:t>expliciter les différentes notions du</w:t>
      </w:r>
      <w:r w:rsidR="000C387D">
        <w:t xml:space="preserve"> risque arrêt de travail et</w:t>
      </w:r>
      <w:r w:rsidR="0097744D">
        <w:t xml:space="preserve"> caractériser</w:t>
      </w:r>
      <w:r w:rsidR="000C387D">
        <w:t xml:space="preserve"> l’absentéisme en entreprise</w:t>
      </w:r>
      <w:r w:rsidR="0097744D">
        <w:t xml:space="preserve"> via les méthodes de mesure, son coût sur les entreprises et les assureurs.</w:t>
      </w:r>
      <w:r w:rsidR="000C387D">
        <w:t xml:space="preserve"> </w:t>
      </w:r>
    </w:p>
    <w:p w14:paraId="43ECE6FB" w14:textId="7930F81B" w:rsidR="0097744D" w:rsidRDefault="0097744D" w:rsidP="0097744D">
      <w:pPr>
        <w:pStyle w:val="Sansinterligne"/>
        <w:spacing w:before="240"/>
      </w:pPr>
      <w:r>
        <w:t>N</w:t>
      </w:r>
      <w:r w:rsidR="000C387D">
        <w:t>ous tacherons</w:t>
      </w:r>
      <w:r>
        <w:t xml:space="preserve"> ensuite</w:t>
      </w:r>
      <w:r w:rsidR="000C387D">
        <w:t xml:space="preserve"> d’étudier l’absentéisme sur </w:t>
      </w:r>
      <w:r>
        <w:t>notre</w:t>
      </w:r>
      <w:r w:rsidR="000C387D">
        <w:t xml:space="preserve"> portefeuille collectif</w:t>
      </w:r>
      <w:r>
        <w:t>, celui</w:t>
      </w:r>
      <w:r w:rsidR="000C387D">
        <w:t xml:space="preserve"> de Generali </w:t>
      </w:r>
      <w:r>
        <w:t xml:space="preserve">Vie </w:t>
      </w:r>
      <w:r w:rsidR="000C387D">
        <w:t>composé de plus de 600 000 assurés,</w:t>
      </w:r>
      <w:r>
        <w:t xml:space="preserve"> portefeuille qui évolue année après année.</w:t>
      </w:r>
      <w:r w:rsidR="000C387D">
        <w:t xml:space="preserve"> </w:t>
      </w:r>
      <w:r>
        <w:t>Pour ce faire, nous</w:t>
      </w:r>
      <w:r w:rsidR="000C387D">
        <w:t xml:space="preserve"> effectu</w:t>
      </w:r>
      <w:r>
        <w:t>erons</w:t>
      </w:r>
      <w:r w:rsidR="000C387D">
        <w:t xml:space="preserve"> dans un premier temps une analyse descriptive du portefeuille prévoyance</w:t>
      </w:r>
      <w:r>
        <w:t xml:space="preserve"> en étudiant l’évolution de l’absentéisme sur les dernières années, les différentes caractéristiques des arrêts de travail (saisonnalité, type d’arrêt, rechute, …) et le calcul de taux d’absentéisme sur le portefeuille.</w:t>
      </w:r>
      <w:r w:rsidR="000C387D">
        <w:t xml:space="preserve"> </w:t>
      </w:r>
    </w:p>
    <w:p w14:paraId="65CF1206" w14:textId="3797819E" w:rsidR="000C387D" w:rsidRDefault="0097744D" w:rsidP="0097744D">
      <w:pPr>
        <w:pStyle w:val="Sansinterligne"/>
        <w:spacing w:before="240"/>
      </w:pPr>
      <w:r>
        <w:t>Ensuite, nous</w:t>
      </w:r>
      <w:r w:rsidR="000C387D">
        <w:t xml:space="preserve"> modélis</w:t>
      </w:r>
      <w:r>
        <w:t>erons</w:t>
      </w:r>
      <w:r w:rsidR="000C387D">
        <w:t xml:space="preserve"> l’absentéisme via des modèles linéaires généralisés</w:t>
      </w:r>
      <w:r>
        <w:t xml:space="preserve">, pour cela il faudra d’abord rappeler </w:t>
      </w:r>
      <w:r w:rsidR="0017422A">
        <w:t>le principe théorique de ces modèles, puis construire une base de données appropriée pour notre modélisation, ensuite modéliser l’absentéisme sur le portefeuille et vérifier la cohérence du modèle.</w:t>
      </w:r>
    </w:p>
    <w:p w14:paraId="3BD6CBCB" w14:textId="35C44A49" w:rsidR="000C387D" w:rsidRDefault="000C387D" w:rsidP="009E7804">
      <w:pPr>
        <w:jc w:val="left"/>
        <w:rPr>
          <w:rFonts w:eastAsiaTheme="majorEastAsia" w:cstheme="majorBidi"/>
          <w:b/>
          <w:color w:val="7030A0"/>
          <w:sz w:val="32"/>
          <w:szCs w:val="32"/>
        </w:rPr>
      </w:pPr>
      <w:r>
        <w:br w:type="page"/>
      </w:r>
    </w:p>
    <w:p w14:paraId="006C5CC6" w14:textId="301BF6C6" w:rsidR="00260AC0" w:rsidRPr="00260AC0" w:rsidRDefault="00260AC0" w:rsidP="00260AC0">
      <w:pPr>
        <w:pStyle w:val="Titre1"/>
        <w:jc w:val="center"/>
      </w:pPr>
      <w:bookmarkStart w:id="1" w:name="_Toc112955483"/>
      <w:r>
        <w:lastRenderedPageBreak/>
        <w:t>Remerciement</w:t>
      </w:r>
      <w:bookmarkEnd w:id="1"/>
    </w:p>
    <w:p w14:paraId="7E7EE632" w14:textId="52A275BE" w:rsidR="00260AC0" w:rsidRDefault="00260AC0">
      <w:pPr>
        <w:jc w:val="left"/>
      </w:pPr>
    </w:p>
    <w:p w14:paraId="3D8BE40C" w14:textId="77777777" w:rsidR="0085582F" w:rsidRDefault="0085582F">
      <w:pPr>
        <w:jc w:val="left"/>
      </w:pPr>
    </w:p>
    <w:p w14:paraId="7BEAA76E" w14:textId="77777777" w:rsidR="009E7804" w:rsidRDefault="009E7804" w:rsidP="009E7804">
      <w:pPr>
        <w:pStyle w:val="Sansinterligne"/>
      </w:pPr>
    </w:p>
    <w:p w14:paraId="7F30ABF7" w14:textId="131C17AA" w:rsidR="00F62E54" w:rsidRDefault="009E7804" w:rsidP="009E7804">
      <w:pPr>
        <w:pStyle w:val="Sansinterligne"/>
      </w:pPr>
      <w:r>
        <w:t>Je tiens tout d’abord à remercier particulièrement Bertrand FONTAINE</w:t>
      </w:r>
      <w:r w:rsidR="00F62E54">
        <w:t xml:space="preserve"> mon manager</w:t>
      </w:r>
      <w:r>
        <w:t xml:space="preserve"> pour m’avoir accueilli au sein de l’équipe grands comptes de Generali Vie, </w:t>
      </w:r>
      <w:r w:rsidR="00F62E54">
        <w:t>pour sa pédagogie, sa disponibilité et pour toutes les connaissances qu’il m’a transmises.</w:t>
      </w:r>
    </w:p>
    <w:p w14:paraId="37C4859D" w14:textId="77777777" w:rsidR="00F62E54" w:rsidRDefault="00F62E54" w:rsidP="009E7804">
      <w:pPr>
        <w:pStyle w:val="Sansinterligne"/>
      </w:pPr>
    </w:p>
    <w:p w14:paraId="17EAB861" w14:textId="0AB8CEA5" w:rsidR="00F62E54" w:rsidRDefault="00F62E54" w:rsidP="009E7804">
      <w:pPr>
        <w:pStyle w:val="Sansinterligne"/>
      </w:pPr>
      <w:r>
        <w:t xml:space="preserve">Je tiens </w:t>
      </w:r>
      <w:r w:rsidR="000605D4">
        <w:t>ensuite</w:t>
      </w:r>
      <w:r>
        <w:t xml:space="preserve"> à remercier chaleureusement mon tuteur Selim BELHOUSSE pour ses précieux conseils pour la réalisation de ce mémoire, son suivi et son aide tout au long de l’année sur l’ensemble des missions de souscription qui m’ont été confié.  </w:t>
      </w:r>
    </w:p>
    <w:p w14:paraId="591476C5" w14:textId="037CC3A6" w:rsidR="00F62E54" w:rsidRDefault="00F62E54" w:rsidP="009E7804">
      <w:pPr>
        <w:pStyle w:val="Sansinterligne"/>
      </w:pPr>
    </w:p>
    <w:p w14:paraId="646A64EF" w14:textId="148E299F" w:rsidR="006476E8" w:rsidRDefault="006476E8" w:rsidP="009E7804">
      <w:pPr>
        <w:pStyle w:val="Sansinterligne"/>
      </w:pPr>
      <w:r>
        <w:t>Je remercie également mon tuteur pédagogique Denys POMMERET pour ses conseils avisés, sa disponibilité et son suivi.</w:t>
      </w:r>
    </w:p>
    <w:p w14:paraId="2CDF6C64" w14:textId="77777777" w:rsidR="006476E8" w:rsidRDefault="006476E8" w:rsidP="009E7804">
      <w:pPr>
        <w:pStyle w:val="Sansinterligne"/>
      </w:pPr>
    </w:p>
    <w:p w14:paraId="5339658D" w14:textId="77777777" w:rsidR="006476E8" w:rsidRDefault="00F62E54" w:rsidP="009E7804">
      <w:pPr>
        <w:pStyle w:val="Sansinterligne"/>
      </w:pPr>
      <w:r>
        <w:t xml:space="preserve">J’adresse aussi mes remerciements à l’ensemble de mon équipe pour leur bienveillance, leurs conseils et leur bonne humeur au quotidien. </w:t>
      </w:r>
    </w:p>
    <w:p w14:paraId="12A9E63D" w14:textId="77777777" w:rsidR="006476E8" w:rsidRDefault="006476E8" w:rsidP="009E7804">
      <w:pPr>
        <w:pStyle w:val="Sansinterligne"/>
      </w:pPr>
    </w:p>
    <w:p w14:paraId="4F73C2C4" w14:textId="30E37151" w:rsidR="00F71898" w:rsidRPr="00F71898" w:rsidRDefault="006476E8" w:rsidP="009E7804">
      <w:pPr>
        <w:pStyle w:val="Sansinterligne"/>
      </w:pPr>
      <w:r>
        <w:t>Enfin je tiens à remercier ceux qui sont pour moi ma motivation, mes parents, pour leur amour, leur soutien indéfectible et leurs encouragements depuis toujours.</w:t>
      </w:r>
      <w:r w:rsidR="00260AC0">
        <w:br w:type="page"/>
      </w:r>
    </w:p>
    <w:sdt>
      <w:sdtPr>
        <w:rPr>
          <w:rFonts w:eastAsiaTheme="minorHAnsi" w:cstheme="minorBidi"/>
          <w:b w:val="0"/>
          <w:color w:val="auto"/>
          <w:sz w:val="22"/>
          <w:szCs w:val="22"/>
          <w:lang w:eastAsia="en-US"/>
        </w:rPr>
        <w:id w:val="2006010196"/>
        <w:docPartObj>
          <w:docPartGallery w:val="Table of Contents"/>
          <w:docPartUnique/>
        </w:docPartObj>
      </w:sdtPr>
      <w:sdtEndPr>
        <w:rPr>
          <w:bCs/>
        </w:rPr>
      </w:sdtEndPr>
      <w:sdtContent>
        <w:p w14:paraId="72311E71" w14:textId="418763C1" w:rsidR="00A103B7" w:rsidRDefault="00A103B7" w:rsidP="006E5444">
          <w:pPr>
            <w:pStyle w:val="En-ttedetabledesmatires"/>
            <w:jc w:val="center"/>
          </w:pPr>
          <w:r>
            <w:t>Table des matières</w:t>
          </w:r>
        </w:p>
        <w:p w14:paraId="020AB05E" w14:textId="77777777" w:rsidR="006E5444" w:rsidRPr="006E5444" w:rsidRDefault="006E5444" w:rsidP="006E5444">
          <w:pPr>
            <w:rPr>
              <w:lang w:eastAsia="fr-FR"/>
            </w:rPr>
          </w:pPr>
        </w:p>
        <w:p w14:paraId="449F3978" w14:textId="5668BA69" w:rsidR="00FD5052" w:rsidRDefault="00A103B7">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12955482" w:history="1">
            <w:r w:rsidR="00FD5052" w:rsidRPr="00C757C5">
              <w:rPr>
                <w:rStyle w:val="Lienhypertexte"/>
                <w:noProof/>
              </w:rPr>
              <w:t>Résumé</w:t>
            </w:r>
            <w:r w:rsidR="00FD5052">
              <w:rPr>
                <w:noProof/>
                <w:webHidden/>
              </w:rPr>
              <w:tab/>
            </w:r>
            <w:r w:rsidR="00FD5052">
              <w:rPr>
                <w:noProof/>
                <w:webHidden/>
              </w:rPr>
              <w:fldChar w:fldCharType="begin"/>
            </w:r>
            <w:r w:rsidR="00FD5052">
              <w:rPr>
                <w:noProof/>
                <w:webHidden/>
              </w:rPr>
              <w:instrText xml:space="preserve"> PAGEREF _Toc112955482 \h </w:instrText>
            </w:r>
            <w:r w:rsidR="00FD5052">
              <w:rPr>
                <w:noProof/>
                <w:webHidden/>
              </w:rPr>
            </w:r>
            <w:r w:rsidR="00FD5052">
              <w:rPr>
                <w:noProof/>
                <w:webHidden/>
              </w:rPr>
              <w:fldChar w:fldCharType="separate"/>
            </w:r>
            <w:r w:rsidR="00D2767C">
              <w:rPr>
                <w:noProof/>
                <w:webHidden/>
              </w:rPr>
              <w:t>2</w:t>
            </w:r>
            <w:r w:rsidR="00FD5052">
              <w:rPr>
                <w:noProof/>
                <w:webHidden/>
              </w:rPr>
              <w:fldChar w:fldCharType="end"/>
            </w:r>
          </w:hyperlink>
        </w:p>
        <w:p w14:paraId="2B6C7980" w14:textId="14D53DA3" w:rsidR="00FD5052" w:rsidRDefault="00423160">
          <w:pPr>
            <w:pStyle w:val="TM1"/>
            <w:tabs>
              <w:tab w:val="right" w:leader="dot" w:pos="9062"/>
            </w:tabs>
            <w:rPr>
              <w:rFonts w:asciiTheme="minorHAnsi" w:eastAsiaTheme="minorEastAsia" w:hAnsiTheme="minorHAnsi"/>
              <w:noProof/>
              <w:lang w:eastAsia="fr-FR"/>
            </w:rPr>
          </w:pPr>
          <w:hyperlink w:anchor="_Toc112955483" w:history="1">
            <w:r w:rsidR="00FD5052" w:rsidRPr="00C757C5">
              <w:rPr>
                <w:rStyle w:val="Lienhypertexte"/>
                <w:noProof/>
              </w:rPr>
              <w:t>Remerciement</w:t>
            </w:r>
            <w:r w:rsidR="00FD5052">
              <w:rPr>
                <w:noProof/>
                <w:webHidden/>
              </w:rPr>
              <w:tab/>
            </w:r>
            <w:r w:rsidR="00FD5052">
              <w:rPr>
                <w:noProof/>
                <w:webHidden/>
              </w:rPr>
              <w:fldChar w:fldCharType="begin"/>
            </w:r>
            <w:r w:rsidR="00FD5052">
              <w:rPr>
                <w:noProof/>
                <w:webHidden/>
              </w:rPr>
              <w:instrText xml:space="preserve"> PAGEREF _Toc112955483 \h </w:instrText>
            </w:r>
            <w:r w:rsidR="00FD5052">
              <w:rPr>
                <w:noProof/>
                <w:webHidden/>
              </w:rPr>
            </w:r>
            <w:r w:rsidR="00FD5052">
              <w:rPr>
                <w:noProof/>
                <w:webHidden/>
              </w:rPr>
              <w:fldChar w:fldCharType="separate"/>
            </w:r>
            <w:r w:rsidR="00D2767C">
              <w:rPr>
                <w:noProof/>
                <w:webHidden/>
              </w:rPr>
              <w:t>3</w:t>
            </w:r>
            <w:r w:rsidR="00FD5052">
              <w:rPr>
                <w:noProof/>
                <w:webHidden/>
              </w:rPr>
              <w:fldChar w:fldCharType="end"/>
            </w:r>
          </w:hyperlink>
        </w:p>
        <w:p w14:paraId="7B7DF338" w14:textId="486C4ADE" w:rsidR="00FD5052" w:rsidRDefault="00423160">
          <w:pPr>
            <w:pStyle w:val="TM1"/>
            <w:tabs>
              <w:tab w:val="right" w:leader="dot" w:pos="9062"/>
            </w:tabs>
            <w:rPr>
              <w:rFonts w:asciiTheme="minorHAnsi" w:eastAsiaTheme="minorEastAsia" w:hAnsiTheme="minorHAnsi"/>
              <w:noProof/>
              <w:lang w:eastAsia="fr-FR"/>
            </w:rPr>
          </w:pPr>
          <w:hyperlink w:anchor="_Toc112955484" w:history="1">
            <w:r w:rsidR="00FD5052" w:rsidRPr="00C757C5">
              <w:rPr>
                <w:rStyle w:val="Lienhypertexte"/>
                <w:noProof/>
              </w:rPr>
              <w:t>Introduction</w:t>
            </w:r>
            <w:r w:rsidR="00FD5052">
              <w:rPr>
                <w:noProof/>
                <w:webHidden/>
              </w:rPr>
              <w:tab/>
            </w:r>
            <w:r w:rsidR="00FD5052">
              <w:rPr>
                <w:noProof/>
                <w:webHidden/>
              </w:rPr>
              <w:fldChar w:fldCharType="begin"/>
            </w:r>
            <w:r w:rsidR="00FD5052">
              <w:rPr>
                <w:noProof/>
                <w:webHidden/>
              </w:rPr>
              <w:instrText xml:space="preserve"> PAGEREF _Toc112955484 \h </w:instrText>
            </w:r>
            <w:r w:rsidR="00FD5052">
              <w:rPr>
                <w:noProof/>
                <w:webHidden/>
              </w:rPr>
            </w:r>
            <w:r w:rsidR="00FD5052">
              <w:rPr>
                <w:noProof/>
                <w:webHidden/>
              </w:rPr>
              <w:fldChar w:fldCharType="separate"/>
            </w:r>
            <w:r w:rsidR="00D2767C">
              <w:rPr>
                <w:noProof/>
                <w:webHidden/>
              </w:rPr>
              <w:t>6</w:t>
            </w:r>
            <w:r w:rsidR="00FD5052">
              <w:rPr>
                <w:noProof/>
                <w:webHidden/>
              </w:rPr>
              <w:fldChar w:fldCharType="end"/>
            </w:r>
          </w:hyperlink>
        </w:p>
        <w:p w14:paraId="29E8B5BD" w14:textId="58B1D071" w:rsidR="00FD5052" w:rsidRDefault="00423160">
          <w:pPr>
            <w:pStyle w:val="TM1"/>
            <w:tabs>
              <w:tab w:val="right" w:leader="dot" w:pos="9062"/>
            </w:tabs>
            <w:rPr>
              <w:rFonts w:asciiTheme="minorHAnsi" w:eastAsiaTheme="minorEastAsia" w:hAnsiTheme="minorHAnsi"/>
              <w:noProof/>
              <w:lang w:eastAsia="fr-FR"/>
            </w:rPr>
          </w:pPr>
          <w:hyperlink w:anchor="_Toc112955485" w:history="1">
            <w:r w:rsidR="00FD5052" w:rsidRPr="00C757C5">
              <w:rPr>
                <w:rStyle w:val="Lienhypertexte"/>
                <w:noProof/>
              </w:rPr>
              <w:t>Le risque arrêt de travail dans le contexte de l’assurance collective</w:t>
            </w:r>
            <w:r w:rsidR="00FD5052">
              <w:rPr>
                <w:noProof/>
                <w:webHidden/>
              </w:rPr>
              <w:tab/>
            </w:r>
            <w:r w:rsidR="00FD5052">
              <w:rPr>
                <w:noProof/>
                <w:webHidden/>
              </w:rPr>
              <w:fldChar w:fldCharType="begin"/>
            </w:r>
            <w:r w:rsidR="00FD5052">
              <w:rPr>
                <w:noProof/>
                <w:webHidden/>
              </w:rPr>
              <w:instrText xml:space="preserve"> PAGEREF _Toc112955485 \h </w:instrText>
            </w:r>
            <w:r w:rsidR="00FD5052">
              <w:rPr>
                <w:noProof/>
                <w:webHidden/>
              </w:rPr>
            </w:r>
            <w:r w:rsidR="00FD5052">
              <w:rPr>
                <w:noProof/>
                <w:webHidden/>
              </w:rPr>
              <w:fldChar w:fldCharType="separate"/>
            </w:r>
            <w:r w:rsidR="00D2767C">
              <w:rPr>
                <w:noProof/>
                <w:webHidden/>
              </w:rPr>
              <w:t>7</w:t>
            </w:r>
            <w:r w:rsidR="00FD5052">
              <w:rPr>
                <w:noProof/>
                <w:webHidden/>
              </w:rPr>
              <w:fldChar w:fldCharType="end"/>
            </w:r>
          </w:hyperlink>
        </w:p>
        <w:p w14:paraId="5F90DA04" w14:textId="7F5AC0C4" w:rsidR="00FD5052" w:rsidRDefault="00423160">
          <w:pPr>
            <w:pStyle w:val="TM2"/>
            <w:tabs>
              <w:tab w:val="right" w:leader="dot" w:pos="9062"/>
            </w:tabs>
            <w:rPr>
              <w:rFonts w:asciiTheme="minorHAnsi" w:eastAsiaTheme="minorEastAsia" w:hAnsiTheme="minorHAnsi"/>
              <w:noProof/>
              <w:lang w:eastAsia="fr-FR"/>
            </w:rPr>
          </w:pPr>
          <w:hyperlink w:anchor="_Toc112955486" w:history="1">
            <w:r w:rsidR="00FD5052" w:rsidRPr="00C757C5">
              <w:rPr>
                <w:rStyle w:val="Lienhypertexte"/>
                <w:noProof/>
              </w:rPr>
              <w:t>Présentation de la protection sociale en France : régime de base et régime complémentaire.</w:t>
            </w:r>
            <w:r w:rsidR="00FD5052">
              <w:rPr>
                <w:noProof/>
                <w:webHidden/>
              </w:rPr>
              <w:tab/>
            </w:r>
            <w:r w:rsidR="00FD5052">
              <w:rPr>
                <w:noProof/>
                <w:webHidden/>
              </w:rPr>
              <w:fldChar w:fldCharType="begin"/>
            </w:r>
            <w:r w:rsidR="00FD5052">
              <w:rPr>
                <w:noProof/>
                <w:webHidden/>
              </w:rPr>
              <w:instrText xml:space="preserve"> PAGEREF _Toc112955486 \h </w:instrText>
            </w:r>
            <w:r w:rsidR="00FD5052">
              <w:rPr>
                <w:noProof/>
                <w:webHidden/>
              </w:rPr>
            </w:r>
            <w:r w:rsidR="00FD5052">
              <w:rPr>
                <w:noProof/>
                <w:webHidden/>
              </w:rPr>
              <w:fldChar w:fldCharType="separate"/>
            </w:r>
            <w:r w:rsidR="00D2767C">
              <w:rPr>
                <w:noProof/>
                <w:webHidden/>
              </w:rPr>
              <w:t>7</w:t>
            </w:r>
            <w:r w:rsidR="00FD5052">
              <w:rPr>
                <w:noProof/>
                <w:webHidden/>
              </w:rPr>
              <w:fldChar w:fldCharType="end"/>
            </w:r>
          </w:hyperlink>
        </w:p>
        <w:p w14:paraId="5308BACC" w14:textId="01B8693D" w:rsidR="00FD5052" w:rsidRDefault="00423160">
          <w:pPr>
            <w:pStyle w:val="TM3"/>
            <w:tabs>
              <w:tab w:val="right" w:leader="dot" w:pos="9062"/>
            </w:tabs>
            <w:rPr>
              <w:rFonts w:asciiTheme="minorHAnsi" w:eastAsiaTheme="minorEastAsia" w:hAnsiTheme="minorHAnsi"/>
              <w:noProof/>
              <w:lang w:eastAsia="fr-FR"/>
            </w:rPr>
          </w:pPr>
          <w:hyperlink w:anchor="_Toc112955487" w:history="1">
            <w:r w:rsidR="00FD5052" w:rsidRPr="00C757C5">
              <w:rPr>
                <w:rStyle w:val="Lienhypertexte"/>
                <w:noProof/>
              </w:rPr>
              <w:t>Histoire de la protection sociale</w:t>
            </w:r>
            <w:r w:rsidR="00FD5052">
              <w:rPr>
                <w:noProof/>
                <w:webHidden/>
              </w:rPr>
              <w:tab/>
            </w:r>
            <w:r w:rsidR="00FD5052">
              <w:rPr>
                <w:noProof/>
                <w:webHidden/>
              </w:rPr>
              <w:fldChar w:fldCharType="begin"/>
            </w:r>
            <w:r w:rsidR="00FD5052">
              <w:rPr>
                <w:noProof/>
                <w:webHidden/>
              </w:rPr>
              <w:instrText xml:space="preserve"> PAGEREF _Toc112955487 \h </w:instrText>
            </w:r>
            <w:r w:rsidR="00FD5052">
              <w:rPr>
                <w:noProof/>
                <w:webHidden/>
              </w:rPr>
            </w:r>
            <w:r w:rsidR="00FD5052">
              <w:rPr>
                <w:noProof/>
                <w:webHidden/>
              </w:rPr>
              <w:fldChar w:fldCharType="separate"/>
            </w:r>
            <w:r w:rsidR="00D2767C">
              <w:rPr>
                <w:noProof/>
                <w:webHidden/>
              </w:rPr>
              <w:t>7</w:t>
            </w:r>
            <w:r w:rsidR="00FD5052">
              <w:rPr>
                <w:noProof/>
                <w:webHidden/>
              </w:rPr>
              <w:fldChar w:fldCharType="end"/>
            </w:r>
          </w:hyperlink>
        </w:p>
        <w:p w14:paraId="10F2FACE" w14:textId="06DAA48E" w:rsidR="00FD5052" w:rsidRDefault="00423160">
          <w:pPr>
            <w:pStyle w:val="TM3"/>
            <w:tabs>
              <w:tab w:val="right" w:leader="dot" w:pos="9062"/>
            </w:tabs>
            <w:rPr>
              <w:rFonts w:asciiTheme="minorHAnsi" w:eastAsiaTheme="minorEastAsia" w:hAnsiTheme="minorHAnsi"/>
              <w:noProof/>
              <w:lang w:eastAsia="fr-FR"/>
            </w:rPr>
          </w:pPr>
          <w:hyperlink w:anchor="_Toc112955488" w:history="1">
            <w:r w:rsidR="00FD5052" w:rsidRPr="00C757C5">
              <w:rPr>
                <w:rStyle w:val="Lienhypertexte"/>
                <w:noProof/>
              </w:rPr>
              <w:t>Organisation fonctionnelle</w:t>
            </w:r>
            <w:r w:rsidR="00FD5052">
              <w:rPr>
                <w:noProof/>
                <w:webHidden/>
              </w:rPr>
              <w:tab/>
            </w:r>
            <w:r w:rsidR="00FD5052">
              <w:rPr>
                <w:noProof/>
                <w:webHidden/>
              </w:rPr>
              <w:fldChar w:fldCharType="begin"/>
            </w:r>
            <w:r w:rsidR="00FD5052">
              <w:rPr>
                <w:noProof/>
                <w:webHidden/>
              </w:rPr>
              <w:instrText xml:space="preserve"> PAGEREF _Toc112955488 \h </w:instrText>
            </w:r>
            <w:r w:rsidR="00FD5052">
              <w:rPr>
                <w:noProof/>
                <w:webHidden/>
              </w:rPr>
            </w:r>
            <w:r w:rsidR="00FD5052">
              <w:rPr>
                <w:noProof/>
                <w:webHidden/>
              </w:rPr>
              <w:fldChar w:fldCharType="separate"/>
            </w:r>
            <w:r w:rsidR="00D2767C">
              <w:rPr>
                <w:noProof/>
                <w:webHidden/>
              </w:rPr>
              <w:t>8</w:t>
            </w:r>
            <w:r w:rsidR="00FD5052">
              <w:rPr>
                <w:noProof/>
                <w:webHidden/>
              </w:rPr>
              <w:fldChar w:fldCharType="end"/>
            </w:r>
          </w:hyperlink>
        </w:p>
        <w:p w14:paraId="548C6A61" w14:textId="2C455505" w:rsidR="00FD5052" w:rsidRDefault="00423160">
          <w:pPr>
            <w:pStyle w:val="TM3"/>
            <w:tabs>
              <w:tab w:val="right" w:leader="dot" w:pos="9062"/>
            </w:tabs>
            <w:rPr>
              <w:rFonts w:asciiTheme="minorHAnsi" w:eastAsiaTheme="minorEastAsia" w:hAnsiTheme="minorHAnsi"/>
              <w:noProof/>
              <w:lang w:eastAsia="fr-FR"/>
            </w:rPr>
          </w:pPr>
          <w:hyperlink w:anchor="_Toc112955489" w:history="1">
            <w:r w:rsidR="00FD5052" w:rsidRPr="00C757C5">
              <w:rPr>
                <w:rStyle w:val="Lienhypertexte"/>
                <w:noProof/>
              </w:rPr>
              <w:t>Détails de l’offre proposée par le régime de base</w:t>
            </w:r>
            <w:r w:rsidR="00FD5052">
              <w:rPr>
                <w:noProof/>
                <w:webHidden/>
              </w:rPr>
              <w:tab/>
            </w:r>
            <w:r w:rsidR="00FD5052">
              <w:rPr>
                <w:noProof/>
                <w:webHidden/>
              </w:rPr>
              <w:fldChar w:fldCharType="begin"/>
            </w:r>
            <w:r w:rsidR="00FD5052">
              <w:rPr>
                <w:noProof/>
                <w:webHidden/>
              </w:rPr>
              <w:instrText xml:space="preserve"> PAGEREF _Toc112955489 \h </w:instrText>
            </w:r>
            <w:r w:rsidR="00FD5052">
              <w:rPr>
                <w:noProof/>
                <w:webHidden/>
              </w:rPr>
            </w:r>
            <w:r w:rsidR="00FD5052">
              <w:rPr>
                <w:noProof/>
                <w:webHidden/>
              </w:rPr>
              <w:fldChar w:fldCharType="separate"/>
            </w:r>
            <w:r w:rsidR="00D2767C">
              <w:rPr>
                <w:noProof/>
                <w:webHidden/>
              </w:rPr>
              <w:t>8</w:t>
            </w:r>
            <w:r w:rsidR="00FD5052">
              <w:rPr>
                <w:noProof/>
                <w:webHidden/>
              </w:rPr>
              <w:fldChar w:fldCharType="end"/>
            </w:r>
          </w:hyperlink>
        </w:p>
        <w:p w14:paraId="29D9F843" w14:textId="4C238892" w:rsidR="00FD5052" w:rsidRDefault="00423160">
          <w:pPr>
            <w:pStyle w:val="TM3"/>
            <w:tabs>
              <w:tab w:val="right" w:leader="dot" w:pos="9062"/>
            </w:tabs>
            <w:rPr>
              <w:rFonts w:asciiTheme="minorHAnsi" w:eastAsiaTheme="minorEastAsia" w:hAnsiTheme="minorHAnsi"/>
              <w:noProof/>
              <w:lang w:eastAsia="fr-FR"/>
            </w:rPr>
          </w:pPr>
          <w:hyperlink w:anchor="_Toc112955490" w:history="1">
            <w:r w:rsidR="00FD5052" w:rsidRPr="00C757C5">
              <w:rPr>
                <w:rStyle w:val="Lienhypertexte"/>
                <w:noProof/>
              </w:rPr>
              <w:t>Panorama de l’offre de couverture complémentaire</w:t>
            </w:r>
            <w:r w:rsidR="00FD5052">
              <w:rPr>
                <w:noProof/>
                <w:webHidden/>
              </w:rPr>
              <w:tab/>
            </w:r>
            <w:r w:rsidR="00FD5052">
              <w:rPr>
                <w:noProof/>
                <w:webHidden/>
              </w:rPr>
              <w:fldChar w:fldCharType="begin"/>
            </w:r>
            <w:r w:rsidR="00FD5052">
              <w:rPr>
                <w:noProof/>
                <w:webHidden/>
              </w:rPr>
              <w:instrText xml:space="preserve"> PAGEREF _Toc112955490 \h </w:instrText>
            </w:r>
            <w:r w:rsidR="00FD5052">
              <w:rPr>
                <w:noProof/>
                <w:webHidden/>
              </w:rPr>
            </w:r>
            <w:r w:rsidR="00FD5052">
              <w:rPr>
                <w:noProof/>
                <w:webHidden/>
              </w:rPr>
              <w:fldChar w:fldCharType="separate"/>
            </w:r>
            <w:r w:rsidR="00D2767C">
              <w:rPr>
                <w:noProof/>
                <w:webHidden/>
              </w:rPr>
              <w:t>12</w:t>
            </w:r>
            <w:r w:rsidR="00FD5052">
              <w:rPr>
                <w:noProof/>
                <w:webHidden/>
              </w:rPr>
              <w:fldChar w:fldCharType="end"/>
            </w:r>
          </w:hyperlink>
        </w:p>
        <w:p w14:paraId="2A15E0D5" w14:textId="1C004908" w:rsidR="00FD5052" w:rsidRDefault="00423160">
          <w:pPr>
            <w:pStyle w:val="TM2"/>
            <w:tabs>
              <w:tab w:val="right" w:leader="dot" w:pos="9062"/>
            </w:tabs>
            <w:rPr>
              <w:rFonts w:asciiTheme="minorHAnsi" w:eastAsiaTheme="minorEastAsia" w:hAnsiTheme="minorHAnsi"/>
              <w:noProof/>
              <w:lang w:eastAsia="fr-FR"/>
            </w:rPr>
          </w:pPr>
          <w:hyperlink w:anchor="_Toc112955491" w:history="1">
            <w:r w:rsidR="00FD5052" w:rsidRPr="00C757C5">
              <w:rPr>
                <w:rStyle w:val="Lienhypertexte"/>
                <w:noProof/>
              </w:rPr>
              <w:t>Qu’est-ce que la prévoyance collective ?</w:t>
            </w:r>
            <w:r w:rsidR="00FD5052">
              <w:rPr>
                <w:noProof/>
                <w:webHidden/>
              </w:rPr>
              <w:tab/>
            </w:r>
            <w:r w:rsidR="00FD5052">
              <w:rPr>
                <w:noProof/>
                <w:webHidden/>
              </w:rPr>
              <w:fldChar w:fldCharType="begin"/>
            </w:r>
            <w:r w:rsidR="00FD5052">
              <w:rPr>
                <w:noProof/>
                <w:webHidden/>
              </w:rPr>
              <w:instrText xml:space="preserve"> PAGEREF _Toc112955491 \h </w:instrText>
            </w:r>
            <w:r w:rsidR="00FD5052">
              <w:rPr>
                <w:noProof/>
                <w:webHidden/>
              </w:rPr>
            </w:r>
            <w:r w:rsidR="00FD5052">
              <w:rPr>
                <w:noProof/>
                <w:webHidden/>
              </w:rPr>
              <w:fldChar w:fldCharType="separate"/>
            </w:r>
            <w:r w:rsidR="00D2767C">
              <w:rPr>
                <w:noProof/>
                <w:webHidden/>
              </w:rPr>
              <w:t>14</w:t>
            </w:r>
            <w:r w:rsidR="00FD5052">
              <w:rPr>
                <w:noProof/>
                <w:webHidden/>
              </w:rPr>
              <w:fldChar w:fldCharType="end"/>
            </w:r>
          </w:hyperlink>
        </w:p>
        <w:p w14:paraId="245F1197" w14:textId="28D79B5C" w:rsidR="00FD5052" w:rsidRDefault="00423160">
          <w:pPr>
            <w:pStyle w:val="TM2"/>
            <w:tabs>
              <w:tab w:val="right" w:leader="dot" w:pos="9062"/>
            </w:tabs>
            <w:rPr>
              <w:rFonts w:asciiTheme="minorHAnsi" w:eastAsiaTheme="minorEastAsia" w:hAnsiTheme="minorHAnsi"/>
              <w:noProof/>
              <w:lang w:eastAsia="fr-FR"/>
            </w:rPr>
          </w:pPr>
          <w:hyperlink w:anchor="_Toc112955492" w:history="1">
            <w:r w:rsidR="00FD5052" w:rsidRPr="00C757C5">
              <w:rPr>
                <w:rStyle w:val="Lienhypertexte"/>
                <w:noProof/>
              </w:rPr>
              <w:t>Le risque arrêt de travail en France</w:t>
            </w:r>
            <w:r w:rsidR="00FD5052">
              <w:rPr>
                <w:noProof/>
                <w:webHidden/>
              </w:rPr>
              <w:tab/>
            </w:r>
            <w:r w:rsidR="00FD5052">
              <w:rPr>
                <w:noProof/>
                <w:webHidden/>
              </w:rPr>
              <w:fldChar w:fldCharType="begin"/>
            </w:r>
            <w:r w:rsidR="00FD5052">
              <w:rPr>
                <w:noProof/>
                <w:webHidden/>
              </w:rPr>
              <w:instrText xml:space="preserve"> PAGEREF _Toc112955492 \h </w:instrText>
            </w:r>
            <w:r w:rsidR="00FD5052">
              <w:rPr>
                <w:noProof/>
                <w:webHidden/>
              </w:rPr>
            </w:r>
            <w:r w:rsidR="00FD5052">
              <w:rPr>
                <w:noProof/>
                <w:webHidden/>
              </w:rPr>
              <w:fldChar w:fldCharType="separate"/>
            </w:r>
            <w:r w:rsidR="00D2767C">
              <w:rPr>
                <w:noProof/>
                <w:webHidden/>
              </w:rPr>
              <w:t>15</w:t>
            </w:r>
            <w:r w:rsidR="00FD5052">
              <w:rPr>
                <w:noProof/>
                <w:webHidden/>
              </w:rPr>
              <w:fldChar w:fldCharType="end"/>
            </w:r>
          </w:hyperlink>
        </w:p>
        <w:p w14:paraId="6E3288E5" w14:textId="4B23CC38" w:rsidR="00FD5052" w:rsidRDefault="00423160">
          <w:pPr>
            <w:pStyle w:val="TM3"/>
            <w:tabs>
              <w:tab w:val="right" w:leader="dot" w:pos="9062"/>
            </w:tabs>
            <w:rPr>
              <w:rFonts w:asciiTheme="minorHAnsi" w:eastAsiaTheme="minorEastAsia" w:hAnsiTheme="minorHAnsi"/>
              <w:noProof/>
              <w:lang w:eastAsia="fr-FR"/>
            </w:rPr>
          </w:pPr>
          <w:hyperlink w:anchor="_Toc112955493" w:history="1">
            <w:r w:rsidR="00FD5052" w:rsidRPr="00C757C5">
              <w:rPr>
                <w:rStyle w:val="Lienhypertexte"/>
                <w:noProof/>
              </w:rPr>
              <w:t>Contexte général</w:t>
            </w:r>
            <w:r w:rsidR="00FD5052">
              <w:rPr>
                <w:noProof/>
                <w:webHidden/>
              </w:rPr>
              <w:tab/>
            </w:r>
            <w:r w:rsidR="00FD5052">
              <w:rPr>
                <w:noProof/>
                <w:webHidden/>
              </w:rPr>
              <w:fldChar w:fldCharType="begin"/>
            </w:r>
            <w:r w:rsidR="00FD5052">
              <w:rPr>
                <w:noProof/>
                <w:webHidden/>
              </w:rPr>
              <w:instrText xml:space="preserve"> PAGEREF _Toc112955493 \h </w:instrText>
            </w:r>
            <w:r w:rsidR="00FD5052">
              <w:rPr>
                <w:noProof/>
                <w:webHidden/>
              </w:rPr>
            </w:r>
            <w:r w:rsidR="00FD5052">
              <w:rPr>
                <w:noProof/>
                <w:webHidden/>
              </w:rPr>
              <w:fldChar w:fldCharType="separate"/>
            </w:r>
            <w:r w:rsidR="00D2767C">
              <w:rPr>
                <w:noProof/>
                <w:webHidden/>
              </w:rPr>
              <w:t>15</w:t>
            </w:r>
            <w:r w:rsidR="00FD5052">
              <w:rPr>
                <w:noProof/>
                <w:webHidden/>
              </w:rPr>
              <w:fldChar w:fldCharType="end"/>
            </w:r>
          </w:hyperlink>
        </w:p>
        <w:p w14:paraId="23BABE7E" w14:textId="3A9104EB" w:rsidR="00FD5052" w:rsidRDefault="00423160">
          <w:pPr>
            <w:pStyle w:val="TM3"/>
            <w:tabs>
              <w:tab w:val="right" w:leader="dot" w:pos="9062"/>
            </w:tabs>
            <w:rPr>
              <w:rFonts w:asciiTheme="minorHAnsi" w:eastAsiaTheme="minorEastAsia" w:hAnsiTheme="minorHAnsi"/>
              <w:noProof/>
              <w:lang w:eastAsia="fr-FR"/>
            </w:rPr>
          </w:pPr>
          <w:hyperlink w:anchor="_Toc112955494" w:history="1">
            <w:r w:rsidR="00FD5052" w:rsidRPr="00C757C5">
              <w:rPr>
                <w:rStyle w:val="Lienhypertexte"/>
                <w:noProof/>
              </w:rPr>
              <w:t>Environnement juridique</w:t>
            </w:r>
            <w:r w:rsidR="00FD5052">
              <w:rPr>
                <w:noProof/>
                <w:webHidden/>
              </w:rPr>
              <w:tab/>
            </w:r>
            <w:r w:rsidR="00FD5052">
              <w:rPr>
                <w:noProof/>
                <w:webHidden/>
              </w:rPr>
              <w:fldChar w:fldCharType="begin"/>
            </w:r>
            <w:r w:rsidR="00FD5052">
              <w:rPr>
                <w:noProof/>
                <w:webHidden/>
              </w:rPr>
              <w:instrText xml:space="preserve"> PAGEREF _Toc112955494 \h </w:instrText>
            </w:r>
            <w:r w:rsidR="00FD5052">
              <w:rPr>
                <w:noProof/>
                <w:webHidden/>
              </w:rPr>
            </w:r>
            <w:r w:rsidR="00FD5052">
              <w:rPr>
                <w:noProof/>
                <w:webHidden/>
              </w:rPr>
              <w:fldChar w:fldCharType="separate"/>
            </w:r>
            <w:r w:rsidR="00D2767C">
              <w:rPr>
                <w:noProof/>
                <w:webHidden/>
              </w:rPr>
              <w:t>16</w:t>
            </w:r>
            <w:r w:rsidR="00FD5052">
              <w:rPr>
                <w:noProof/>
                <w:webHidden/>
              </w:rPr>
              <w:fldChar w:fldCharType="end"/>
            </w:r>
          </w:hyperlink>
        </w:p>
        <w:p w14:paraId="4E2AA0A5" w14:textId="24DE85EE" w:rsidR="00FD5052" w:rsidRDefault="00423160">
          <w:pPr>
            <w:pStyle w:val="TM1"/>
            <w:tabs>
              <w:tab w:val="right" w:leader="dot" w:pos="9062"/>
            </w:tabs>
            <w:rPr>
              <w:rFonts w:asciiTheme="minorHAnsi" w:eastAsiaTheme="minorEastAsia" w:hAnsiTheme="minorHAnsi"/>
              <w:noProof/>
              <w:lang w:eastAsia="fr-FR"/>
            </w:rPr>
          </w:pPr>
          <w:hyperlink w:anchor="_Toc112955495" w:history="1">
            <w:r w:rsidR="00FD5052" w:rsidRPr="00C757C5">
              <w:rPr>
                <w:rStyle w:val="Lienhypertexte"/>
                <w:noProof/>
              </w:rPr>
              <w:t>L’absentéisme en entreprise en France</w:t>
            </w:r>
            <w:r w:rsidR="00FD5052">
              <w:rPr>
                <w:noProof/>
                <w:webHidden/>
              </w:rPr>
              <w:tab/>
            </w:r>
            <w:r w:rsidR="00FD5052">
              <w:rPr>
                <w:noProof/>
                <w:webHidden/>
              </w:rPr>
              <w:fldChar w:fldCharType="begin"/>
            </w:r>
            <w:r w:rsidR="00FD5052">
              <w:rPr>
                <w:noProof/>
                <w:webHidden/>
              </w:rPr>
              <w:instrText xml:space="preserve"> PAGEREF _Toc112955495 \h </w:instrText>
            </w:r>
            <w:r w:rsidR="00FD5052">
              <w:rPr>
                <w:noProof/>
                <w:webHidden/>
              </w:rPr>
            </w:r>
            <w:r w:rsidR="00FD5052">
              <w:rPr>
                <w:noProof/>
                <w:webHidden/>
              </w:rPr>
              <w:fldChar w:fldCharType="separate"/>
            </w:r>
            <w:r w:rsidR="00D2767C">
              <w:rPr>
                <w:noProof/>
                <w:webHidden/>
              </w:rPr>
              <w:t>18</w:t>
            </w:r>
            <w:r w:rsidR="00FD5052">
              <w:rPr>
                <w:noProof/>
                <w:webHidden/>
              </w:rPr>
              <w:fldChar w:fldCharType="end"/>
            </w:r>
          </w:hyperlink>
        </w:p>
        <w:p w14:paraId="5461AE9C" w14:textId="233DD368" w:rsidR="00FD5052" w:rsidRDefault="00423160">
          <w:pPr>
            <w:pStyle w:val="TM2"/>
            <w:tabs>
              <w:tab w:val="right" w:leader="dot" w:pos="9062"/>
            </w:tabs>
            <w:rPr>
              <w:rFonts w:asciiTheme="minorHAnsi" w:eastAsiaTheme="minorEastAsia" w:hAnsiTheme="minorHAnsi"/>
              <w:noProof/>
              <w:lang w:eastAsia="fr-FR"/>
            </w:rPr>
          </w:pPr>
          <w:hyperlink w:anchor="_Toc112955496" w:history="1">
            <w:r w:rsidR="00FD5052" w:rsidRPr="00C757C5">
              <w:rPr>
                <w:rStyle w:val="Lienhypertexte"/>
                <w:noProof/>
              </w:rPr>
              <w:t>Qu’est-ce que l’absentéisme ?</w:t>
            </w:r>
            <w:r w:rsidR="00FD5052">
              <w:rPr>
                <w:noProof/>
                <w:webHidden/>
              </w:rPr>
              <w:tab/>
            </w:r>
            <w:r w:rsidR="00FD5052">
              <w:rPr>
                <w:noProof/>
                <w:webHidden/>
              </w:rPr>
              <w:fldChar w:fldCharType="begin"/>
            </w:r>
            <w:r w:rsidR="00FD5052">
              <w:rPr>
                <w:noProof/>
                <w:webHidden/>
              </w:rPr>
              <w:instrText xml:space="preserve"> PAGEREF _Toc112955496 \h </w:instrText>
            </w:r>
            <w:r w:rsidR="00FD5052">
              <w:rPr>
                <w:noProof/>
                <w:webHidden/>
              </w:rPr>
            </w:r>
            <w:r w:rsidR="00FD5052">
              <w:rPr>
                <w:noProof/>
                <w:webHidden/>
              </w:rPr>
              <w:fldChar w:fldCharType="separate"/>
            </w:r>
            <w:r w:rsidR="00D2767C">
              <w:rPr>
                <w:noProof/>
                <w:webHidden/>
              </w:rPr>
              <w:t>18</w:t>
            </w:r>
            <w:r w:rsidR="00FD5052">
              <w:rPr>
                <w:noProof/>
                <w:webHidden/>
              </w:rPr>
              <w:fldChar w:fldCharType="end"/>
            </w:r>
          </w:hyperlink>
        </w:p>
        <w:p w14:paraId="42747A40" w14:textId="69A96A6A" w:rsidR="00FD5052" w:rsidRDefault="00423160">
          <w:pPr>
            <w:pStyle w:val="TM2"/>
            <w:tabs>
              <w:tab w:val="right" w:leader="dot" w:pos="9062"/>
            </w:tabs>
            <w:rPr>
              <w:rFonts w:asciiTheme="minorHAnsi" w:eastAsiaTheme="minorEastAsia" w:hAnsiTheme="minorHAnsi"/>
              <w:noProof/>
              <w:lang w:eastAsia="fr-FR"/>
            </w:rPr>
          </w:pPr>
          <w:hyperlink w:anchor="_Toc112955497" w:history="1">
            <w:r w:rsidR="00FD5052" w:rsidRPr="00C757C5">
              <w:rPr>
                <w:rStyle w:val="Lienhypertexte"/>
                <w:noProof/>
              </w:rPr>
              <w:t>Quelles sont les causes de l’absentéisme ?</w:t>
            </w:r>
            <w:r w:rsidR="00FD5052">
              <w:rPr>
                <w:noProof/>
                <w:webHidden/>
              </w:rPr>
              <w:tab/>
            </w:r>
            <w:r w:rsidR="00FD5052">
              <w:rPr>
                <w:noProof/>
                <w:webHidden/>
              </w:rPr>
              <w:fldChar w:fldCharType="begin"/>
            </w:r>
            <w:r w:rsidR="00FD5052">
              <w:rPr>
                <w:noProof/>
                <w:webHidden/>
              </w:rPr>
              <w:instrText xml:space="preserve"> PAGEREF _Toc112955497 \h </w:instrText>
            </w:r>
            <w:r w:rsidR="00FD5052">
              <w:rPr>
                <w:noProof/>
                <w:webHidden/>
              </w:rPr>
            </w:r>
            <w:r w:rsidR="00FD5052">
              <w:rPr>
                <w:noProof/>
                <w:webHidden/>
              </w:rPr>
              <w:fldChar w:fldCharType="separate"/>
            </w:r>
            <w:r w:rsidR="00D2767C">
              <w:rPr>
                <w:noProof/>
                <w:webHidden/>
              </w:rPr>
              <w:t>18</w:t>
            </w:r>
            <w:r w:rsidR="00FD5052">
              <w:rPr>
                <w:noProof/>
                <w:webHidden/>
              </w:rPr>
              <w:fldChar w:fldCharType="end"/>
            </w:r>
          </w:hyperlink>
        </w:p>
        <w:p w14:paraId="0982D274" w14:textId="5C41F9C1" w:rsidR="00FD5052" w:rsidRDefault="00423160">
          <w:pPr>
            <w:pStyle w:val="TM2"/>
            <w:tabs>
              <w:tab w:val="right" w:leader="dot" w:pos="9062"/>
            </w:tabs>
            <w:rPr>
              <w:rFonts w:asciiTheme="minorHAnsi" w:eastAsiaTheme="minorEastAsia" w:hAnsiTheme="minorHAnsi"/>
              <w:noProof/>
              <w:lang w:eastAsia="fr-FR"/>
            </w:rPr>
          </w:pPr>
          <w:hyperlink w:anchor="_Toc112955498" w:history="1">
            <w:r w:rsidR="00FD5052" w:rsidRPr="00C757C5">
              <w:rPr>
                <w:rStyle w:val="Lienhypertexte"/>
                <w:noProof/>
              </w:rPr>
              <w:t>Comment mesurer l’absentéisme en entreprise ?</w:t>
            </w:r>
            <w:r w:rsidR="00FD5052">
              <w:rPr>
                <w:noProof/>
                <w:webHidden/>
              </w:rPr>
              <w:tab/>
            </w:r>
            <w:r w:rsidR="00FD5052">
              <w:rPr>
                <w:noProof/>
                <w:webHidden/>
              </w:rPr>
              <w:fldChar w:fldCharType="begin"/>
            </w:r>
            <w:r w:rsidR="00FD5052">
              <w:rPr>
                <w:noProof/>
                <w:webHidden/>
              </w:rPr>
              <w:instrText xml:space="preserve"> PAGEREF _Toc112955498 \h </w:instrText>
            </w:r>
            <w:r w:rsidR="00FD5052">
              <w:rPr>
                <w:noProof/>
                <w:webHidden/>
              </w:rPr>
            </w:r>
            <w:r w:rsidR="00FD5052">
              <w:rPr>
                <w:noProof/>
                <w:webHidden/>
              </w:rPr>
              <w:fldChar w:fldCharType="separate"/>
            </w:r>
            <w:r w:rsidR="00D2767C">
              <w:rPr>
                <w:noProof/>
                <w:webHidden/>
              </w:rPr>
              <w:t>20</w:t>
            </w:r>
            <w:r w:rsidR="00FD5052">
              <w:rPr>
                <w:noProof/>
                <w:webHidden/>
              </w:rPr>
              <w:fldChar w:fldCharType="end"/>
            </w:r>
          </w:hyperlink>
        </w:p>
        <w:p w14:paraId="7AD06083" w14:textId="1BA18D42" w:rsidR="00FD5052" w:rsidRDefault="00423160">
          <w:pPr>
            <w:pStyle w:val="TM2"/>
            <w:tabs>
              <w:tab w:val="right" w:leader="dot" w:pos="9062"/>
            </w:tabs>
            <w:rPr>
              <w:rFonts w:asciiTheme="minorHAnsi" w:eastAsiaTheme="minorEastAsia" w:hAnsiTheme="minorHAnsi"/>
              <w:noProof/>
              <w:lang w:eastAsia="fr-FR"/>
            </w:rPr>
          </w:pPr>
          <w:hyperlink w:anchor="_Toc112955499" w:history="1">
            <w:r w:rsidR="00FD5052" w:rsidRPr="00C757C5">
              <w:rPr>
                <w:rStyle w:val="Lienhypertexte"/>
                <w:noProof/>
              </w:rPr>
              <w:t>Quel est son coût réel sur les entreprises ?</w:t>
            </w:r>
            <w:r w:rsidR="00FD5052">
              <w:rPr>
                <w:noProof/>
                <w:webHidden/>
              </w:rPr>
              <w:tab/>
            </w:r>
            <w:r w:rsidR="00FD5052">
              <w:rPr>
                <w:noProof/>
                <w:webHidden/>
              </w:rPr>
              <w:fldChar w:fldCharType="begin"/>
            </w:r>
            <w:r w:rsidR="00FD5052">
              <w:rPr>
                <w:noProof/>
                <w:webHidden/>
              </w:rPr>
              <w:instrText xml:space="preserve"> PAGEREF _Toc112955499 \h </w:instrText>
            </w:r>
            <w:r w:rsidR="00FD5052">
              <w:rPr>
                <w:noProof/>
                <w:webHidden/>
              </w:rPr>
            </w:r>
            <w:r w:rsidR="00FD5052">
              <w:rPr>
                <w:noProof/>
                <w:webHidden/>
              </w:rPr>
              <w:fldChar w:fldCharType="separate"/>
            </w:r>
            <w:r w:rsidR="00D2767C">
              <w:rPr>
                <w:noProof/>
                <w:webHidden/>
              </w:rPr>
              <w:t>22</w:t>
            </w:r>
            <w:r w:rsidR="00FD5052">
              <w:rPr>
                <w:noProof/>
                <w:webHidden/>
              </w:rPr>
              <w:fldChar w:fldCharType="end"/>
            </w:r>
          </w:hyperlink>
        </w:p>
        <w:p w14:paraId="27138085" w14:textId="79D29F99" w:rsidR="00FD5052" w:rsidRDefault="00423160">
          <w:pPr>
            <w:pStyle w:val="TM1"/>
            <w:tabs>
              <w:tab w:val="right" w:leader="dot" w:pos="9062"/>
            </w:tabs>
            <w:rPr>
              <w:rFonts w:asciiTheme="minorHAnsi" w:eastAsiaTheme="minorEastAsia" w:hAnsiTheme="minorHAnsi"/>
              <w:noProof/>
              <w:lang w:eastAsia="fr-FR"/>
            </w:rPr>
          </w:pPr>
          <w:hyperlink w:anchor="_Toc112955500" w:history="1">
            <w:r w:rsidR="00FD5052" w:rsidRPr="00C757C5">
              <w:rPr>
                <w:rStyle w:val="Lienhypertexte"/>
                <w:noProof/>
              </w:rPr>
              <w:t>Etude de la base de données :</w:t>
            </w:r>
            <w:r w:rsidR="00FD5052">
              <w:rPr>
                <w:noProof/>
                <w:webHidden/>
              </w:rPr>
              <w:tab/>
            </w:r>
            <w:r w:rsidR="00FD5052">
              <w:rPr>
                <w:noProof/>
                <w:webHidden/>
              </w:rPr>
              <w:fldChar w:fldCharType="begin"/>
            </w:r>
            <w:r w:rsidR="00FD5052">
              <w:rPr>
                <w:noProof/>
                <w:webHidden/>
              </w:rPr>
              <w:instrText xml:space="preserve"> PAGEREF _Toc112955500 \h </w:instrText>
            </w:r>
            <w:r w:rsidR="00FD5052">
              <w:rPr>
                <w:noProof/>
                <w:webHidden/>
              </w:rPr>
            </w:r>
            <w:r w:rsidR="00FD5052">
              <w:rPr>
                <w:noProof/>
                <w:webHidden/>
              </w:rPr>
              <w:fldChar w:fldCharType="separate"/>
            </w:r>
            <w:r w:rsidR="00D2767C">
              <w:rPr>
                <w:noProof/>
                <w:webHidden/>
              </w:rPr>
              <w:t>23</w:t>
            </w:r>
            <w:r w:rsidR="00FD5052">
              <w:rPr>
                <w:noProof/>
                <w:webHidden/>
              </w:rPr>
              <w:fldChar w:fldCharType="end"/>
            </w:r>
          </w:hyperlink>
        </w:p>
        <w:p w14:paraId="32363CC4" w14:textId="12A3A6B8" w:rsidR="00FD5052" w:rsidRDefault="00423160">
          <w:pPr>
            <w:pStyle w:val="TM2"/>
            <w:tabs>
              <w:tab w:val="right" w:leader="dot" w:pos="9062"/>
            </w:tabs>
            <w:rPr>
              <w:rFonts w:asciiTheme="minorHAnsi" w:eastAsiaTheme="minorEastAsia" w:hAnsiTheme="minorHAnsi"/>
              <w:noProof/>
              <w:lang w:eastAsia="fr-FR"/>
            </w:rPr>
          </w:pPr>
          <w:hyperlink w:anchor="_Toc112955501" w:history="1">
            <w:r w:rsidR="00FD5052" w:rsidRPr="00C757C5">
              <w:rPr>
                <w:rStyle w:val="Lienhypertexte"/>
                <w:noProof/>
              </w:rPr>
              <w:t>Présentation de la base données</w:t>
            </w:r>
            <w:r w:rsidR="00FD5052">
              <w:rPr>
                <w:noProof/>
                <w:webHidden/>
              </w:rPr>
              <w:tab/>
            </w:r>
            <w:r w:rsidR="00FD5052">
              <w:rPr>
                <w:noProof/>
                <w:webHidden/>
              </w:rPr>
              <w:fldChar w:fldCharType="begin"/>
            </w:r>
            <w:r w:rsidR="00FD5052">
              <w:rPr>
                <w:noProof/>
                <w:webHidden/>
              </w:rPr>
              <w:instrText xml:space="preserve"> PAGEREF _Toc112955501 \h </w:instrText>
            </w:r>
            <w:r w:rsidR="00FD5052">
              <w:rPr>
                <w:noProof/>
                <w:webHidden/>
              </w:rPr>
            </w:r>
            <w:r w:rsidR="00FD5052">
              <w:rPr>
                <w:noProof/>
                <w:webHidden/>
              </w:rPr>
              <w:fldChar w:fldCharType="separate"/>
            </w:r>
            <w:r w:rsidR="00D2767C">
              <w:rPr>
                <w:noProof/>
                <w:webHidden/>
              </w:rPr>
              <w:t>23</w:t>
            </w:r>
            <w:r w:rsidR="00FD5052">
              <w:rPr>
                <w:noProof/>
                <w:webHidden/>
              </w:rPr>
              <w:fldChar w:fldCharType="end"/>
            </w:r>
          </w:hyperlink>
        </w:p>
        <w:p w14:paraId="65C60BDC" w14:textId="41CDB817" w:rsidR="00FD5052" w:rsidRDefault="00423160">
          <w:pPr>
            <w:pStyle w:val="TM3"/>
            <w:tabs>
              <w:tab w:val="right" w:leader="dot" w:pos="9062"/>
            </w:tabs>
            <w:rPr>
              <w:rFonts w:asciiTheme="minorHAnsi" w:eastAsiaTheme="minorEastAsia" w:hAnsiTheme="minorHAnsi"/>
              <w:noProof/>
              <w:lang w:eastAsia="fr-FR"/>
            </w:rPr>
          </w:pPr>
          <w:hyperlink w:anchor="_Toc112955502" w:history="1">
            <w:r w:rsidR="00FD5052" w:rsidRPr="00C757C5">
              <w:rPr>
                <w:rStyle w:val="Lienhypertexte"/>
                <w:noProof/>
              </w:rPr>
              <w:t>Extraction de la base de données</w:t>
            </w:r>
            <w:r w:rsidR="00FD5052">
              <w:rPr>
                <w:noProof/>
                <w:webHidden/>
              </w:rPr>
              <w:tab/>
            </w:r>
            <w:r w:rsidR="00FD5052">
              <w:rPr>
                <w:noProof/>
                <w:webHidden/>
              </w:rPr>
              <w:fldChar w:fldCharType="begin"/>
            </w:r>
            <w:r w:rsidR="00FD5052">
              <w:rPr>
                <w:noProof/>
                <w:webHidden/>
              </w:rPr>
              <w:instrText xml:space="preserve"> PAGEREF _Toc112955502 \h </w:instrText>
            </w:r>
            <w:r w:rsidR="00FD5052">
              <w:rPr>
                <w:noProof/>
                <w:webHidden/>
              </w:rPr>
            </w:r>
            <w:r w:rsidR="00FD5052">
              <w:rPr>
                <w:noProof/>
                <w:webHidden/>
              </w:rPr>
              <w:fldChar w:fldCharType="separate"/>
            </w:r>
            <w:r w:rsidR="00D2767C">
              <w:rPr>
                <w:noProof/>
                <w:webHidden/>
              </w:rPr>
              <w:t>23</w:t>
            </w:r>
            <w:r w:rsidR="00FD5052">
              <w:rPr>
                <w:noProof/>
                <w:webHidden/>
              </w:rPr>
              <w:fldChar w:fldCharType="end"/>
            </w:r>
          </w:hyperlink>
        </w:p>
        <w:p w14:paraId="79C1DCE5" w14:textId="2DDF0CC3" w:rsidR="00FD5052" w:rsidRDefault="00423160">
          <w:pPr>
            <w:pStyle w:val="TM3"/>
            <w:tabs>
              <w:tab w:val="right" w:leader="dot" w:pos="9062"/>
            </w:tabs>
            <w:rPr>
              <w:rFonts w:asciiTheme="minorHAnsi" w:eastAsiaTheme="minorEastAsia" w:hAnsiTheme="minorHAnsi"/>
              <w:noProof/>
              <w:lang w:eastAsia="fr-FR"/>
            </w:rPr>
          </w:pPr>
          <w:hyperlink w:anchor="_Toc112955503" w:history="1">
            <w:r w:rsidR="00FD5052" w:rsidRPr="00C757C5">
              <w:rPr>
                <w:rStyle w:val="Lienhypertexte"/>
                <w:noProof/>
              </w:rPr>
              <w:t>Quelle est la structure de la base de données d’étude ?</w:t>
            </w:r>
            <w:r w:rsidR="00FD5052">
              <w:rPr>
                <w:noProof/>
                <w:webHidden/>
              </w:rPr>
              <w:tab/>
            </w:r>
            <w:r w:rsidR="00FD5052">
              <w:rPr>
                <w:noProof/>
                <w:webHidden/>
              </w:rPr>
              <w:fldChar w:fldCharType="begin"/>
            </w:r>
            <w:r w:rsidR="00FD5052">
              <w:rPr>
                <w:noProof/>
                <w:webHidden/>
              </w:rPr>
              <w:instrText xml:space="preserve"> PAGEREF _Toc112955503 \h </w:instrText>
            </w:r>
            <w:r w:rsidR="00FD5052">
              <w:rPr>
                <w:noProof/>
                <w:webHidden/>
              </w:rPr>
            </w:r>
            <w:r w:rsidR="00FD5052">
              <w:rPr>
                <w:noProof/>
                <w:webHidden/>
              </w:rPr>
              <w:fldChar w:fldCharType="separate"/>
            </w:r>
            <w:r w:rsidR="00D2767C">
              <w:rPr>
                <w:noProof/>
                <w:webHidden/>
              </w:rPr>
              <w:t>23</w:t>
            </w:r>
            <w:r w:rsidR="00FD5052">
              <w:rPr>
                <w:noProof/>
                <w:webHidden/>
              </w:rPr>
              <w:fldChar w:fldCharType="end"/>
            </w:r>
          </w:hyperlink>
        </w:p>
        <w:p w14:paraId="1D444590" w14:textId="58A56296" w:rsidR="00FD5052" w:rsidRDefault="00423160">
          <w:pPr>
            <w:pStyle w:val="TM2"/>
            <w:tabs>
              <w:tab w:val="right" w:leader="dot" w:pos="9062"/>
            </w:tabs>
            <w:rPr>
              <w:rFonts w:asciiTheme="minorHAnsi" w:eastAsiaTheme="minorEastAsia" w:hAnsiTheme="minorHAnsi"/>
              <w:noProof/>
              <w:lang w:eastAsia="fr-FR"/>
            </w:rPr>
          </w:pPr>
          <w:hyperlink w:anchor="_Toc112955504" w:history="1">
            <w:r w:rsidR="00FD5052" w:rsidRPr="00C757C5">
              <w:rPr>
                <w:rStyle w:val="Lienhypertexte"/>
                <w:noProof/>
              </w:rPr>
              <w:t>Traitement de la donnée</w:t>
            </w:r>
            <w:r w:rsidR="00FD5052">
              <w:rPr>
                <w:noProof/>
                <w:webHidden/>
              </w:rPr>
              <w:tab/>
            </w:r>
            <w:r w:rsidR="00FD5052">
              <w:rPr>
                <w:noProof/>
                <w:webHidden/>
              </w:rPr>
              <w:fldChar w:fldCharType="begin"/>
            </w:r>
            <w:r w:rsidR="00FD5052">
              <w:rPr>
                <w:noProof/>
                <w:webHidden/>
              </w:rPr>
              <w:instrText xml:space="preserve"> PAGEREF _Toc112955504 \h </w:instrText>
            </w:r>
            <w:r w:rsidR="00FD5052">
              <w:rPr>
                <w:noProof/>
                <w:webHidden/>
              </w:rPr>
            </w:r>
            <w:r w:rsidR="00FD5052">
              <w:rPr>
                <w:noProof/>
                <w:webHidden/>
              </w:rPr>
              <w:fldChar w:fldCharType="separate"/>
            </w:r>
            <w:r w:rsidR="00D2767C">
              <w:rPr>
                <w:noProof/>
                <w:webHidden/>
              </w:rPr>
              <w:t>25</w:t>
            </w:r>
            <w:r w:rsidR="00FD5052">
              <w:rPr>
                <w:noProof/>
                <w:webHidden/>
              </w:rPr>
              <w:fldChar w:fldCharType="end"/>
            </w:r>
          </w:hyperlink>
        </w:p>
        <w:p w14:paraId="5F2D6F44" w14:textId="066A26C1" w:rsidR="00FD5052" w:rsidRDefault="00423160">
          <w:pPr>
            <w:pStyle w:val="TM3"/>
            <w:tabs>
              <w:tab w:val="right" w:leader="dot" w:pos="9062"/>
            </w:tabs>
            <w:rPr>
              <w:rFonts w:asciiTheme="minorHAnsi" w:eastAsiaTheme="minorEastAsia" w:hAnsiTheme="minorHAnsi"/>
              <w:noProof/>
              <w:lang w:eastAsia="fr-FR"/>
            </w:rPr>
          </w:pPr>
          <w:hyperlink w:anchor="_Toc112955505" w:history="1">
            <w:r w:rsidR="00FD5052" w:rsidRPr="00C757C5">
              <w:rPr>
                <w:rStyle w:val="Lienhypertexte"/>
                <w:noProof/>
              </w:rPr>
              <w:t>Ciblage sur le risque arrêt de travail</w:t>
            </w:r>
            <w:r w:rsidR="00FD5052">
              <w:rPr>
                <w:noProof/>
                <w:webHidden/>
              </w:rPr>
              <w:tab/>
            </w:r>
            <w:r w:rsidR="00FD5052">
              <w:rPr>
                <w:noProof/>
                <w:webHidden/>
              </w:rPr>
              <w:fldChar w:fldCharType="begin"/>
            </w:r>
            <w:r w:rsidR="00FD5052">
              <w:rPr>
                <w:noProof/>
                <w:webHidden/>
              </w:rPr>
              <w:instrText xml:space="preserve"> PAGEREF _Toc112955505 \h </w:instrText>
            </w:r>
            <w:r w:rsidR="00FD5052">
              <w:rPr>
                <w:noProof/>
                <w:webHidden/>
              </w:rPr>
            </w:r>
            <w:r w:rsidR="00FD5052">
              <w:rPr>
                <w:noProof/>
                <w:webHidden/>
              </w:rPr>
              <w:fldChar w:fldCharType="separate"/>
            </w:r>
            <w:r w:rsidR="00D2767C">
              <w:rPr>
                <w:noProof/>
                <w:webHidden/>
              </w:rPr>
              <w:t>25</w:t>
            </w:r>
            <w:r w:rsidR="00FD5052">
              <w:rPr>
                <w:noProof/>
                <w:webHidden/>
              </w:rPr>
              <w:fldChar w:fldCharType="end"/>
            </w:r>
          </w:hyperlink>
        </w:p>
        <w:p w14:paraId="6D126841" w14:textId="6730F7D0" w:rsidR="00FD5052" w:rsidRDefault="00423160">
          <w:pPr>
            <w:pStyle w:val="TM3"/>
            <w:tabs>
              <w:tab w:val="right" w:leader="dot" w:pos="9062"/>
            </w:tabs>
            <w:rPr>
              <w:rFonts w:asciiTheme="minorHAnsi" w:eastAsiaTheme="minorEastAsia" w:hAnsiTheme="minorHAnsi"/>
              <w:noProof/>
              <w:lang w:eastAsia="fr-FR"/>
            </w:rPr>
          </w:pPr>
          <w:hyperlink w:anchor="_Toc112955506" w:history="1">
            <w:r w:rsidR="00FD5052" w:rsidRPr="00C757C5">
              <w:rPr>
                <w:rStyle w:val="Lienhypertexte"/>
                <w:noProof/>
              </w:rPr>
              <w:t>Quels choix a-t-on effectué pour le nettoyage de la base de données ?</w:t>
            </w:r>
            <w:r w:rsidR="00FD5052">
              <w:rPr>
                <w:noProof/>
                <w:webHidden/>
              </w:rPr>
              <w:tab/>
            </w:r>
            <w:r w:rsidR="00FD5052">
              <w:rPr>
                <w:noProof/>
                <w:webHidden/>
              </w:rPr>
              <w:fldChar w:fldCharType="begin"/>
            </w:r>
            <w:r w:rsidR="00FD5052">
              <w:rPr>
                <w:noProof/>
                <w:webHidden/>
              </w:rPr>
              <w:instrText xml:space="preserve"> PAGEREF _Toc112955506 \h </w:instrText>
            </w:r>
            <w:r w:rsidR="00FD5052">
              <w:rPr>
                <w:noProof/>
                <w:webHidden/>
              </w:rPr>
            </w:r>
            <w:r w:rsidR="00FD5052">
              <w:rPr>
                <w:noProof/>
                <w:webHidden/>
              </w:rPr>
              <w:fldChar w:fldCharType="separate"/>
            </w:r>
            <w:r w:rsidR="00D2767C">
              <w:rPr>
                <w:noProof/>
                <w:webHidden/>
              </w:rPr>
              <w:t>25</w:t>
            </w:r>
            <w:r w:rsidR="00FD5052">
              <w:rPr>
                <w:noProof/>
                <w:webHidden/>
              </w:rPr>
              <w:fldChar w:fldCharType="end"/>
            </w:r>
          </w:hyperlink>
        </w:p>
        <w:p w14:paraId="76367CAC" w14:textId="78C19449" w:rsidR="00FD5052" w:rsidRDefault="00423160">
          <w:pPr>
            <w:pStyle w:val="TM2"/>
            <w:tabs>
              <w:tab w:val="right" w:leader="dot" w:pos="9062"/>
            </w:tabs>
            <w:rPr>
              <w:rFonts w:asciiTheme="minorHAnsi" w:eastAsiaTheme="minorEastAsia" w:hAnsiTheme="minorHAnsi"/>
              <w:noProof/>
              <w:lang w:eastAsia="fr-FR"/>
            </w:rPr>
          </w:pPr>
          <w:hyperlink w:anchor="_Toc112955507" w:history="1">
            <w:r w:rsidR="00FD5052" w:rsidRPr="00C757C5">
              <w:rPr>
                <w:rStyle w:val="Lienhypertexte"/>
                <w:noProof/>
              </w:rPr>
              <w:t>Variables d’étude à calculer</w:t>
            </w:r>
            <w:r w:rsidR="00FD5052">
              <w:rPr>
                <w:noProof/>
                <w:webHidden/>
              </w:rPr>
              <w:tab/>
            </w:r>
            <w:r w:rsidR="00FD5052">
              <w:rPr>
                <w:noProof/>
                <w:webHidden/>
              </w:rPr>
              <w:fldChar w:fldCharType="begin"/>
            </w:r>
            <w:r w:rsidR="00FD5052">
              <w:rPr>
                <w:noProof/>
                <w:webHidden/>
              </w:rPr>
              <w:instrText xml:space="preserve"> PAGEREF _Toc112955507 \h </w:instrText>
            </w:r>
            <w:r w:rsidR="00FD5052">
              <w:rPr>
                <w:noProof/>
                <w:webHidden/>
              </w:rPr>
            </w:r>
            <w:r w:rsidR="00FD5052">
              <w:rPr>
                <w:noProof/>
                <w:webHidden/>
              </w:rPr>
              <w:fldChar w:fldCharType="separate"/>
            </w:r>
            <w:r w:rsidR="00D2767C">
              <w:rPr>
                <w:noProof/>
                <w:webHidden/>
              </w:rPr>
              <w:t>26</w:t>
            </w:r>
            <w:r w:rsidR="00FD5052">
              <w:rPr>
                <w:noProof/>
                <w:webHidden/>
              </w:rPr>
              <w:fldChar w:fldCharType="end"/>
            </w:r>
          </w:hyperlink>
        </w:p>
        <w:p w14:paraId="2359C474" w14:textId="230479B0" w:rsidR="00FD5052" w:rsidRDefault="00423160">
          <w:pPr>
            <w:pStyle w:val="TM3"/>
            <w:tabs>
              <w:tab w:val="right" w:leader="dot" w:pos="9062"/>
            </w:tabs>
            <w:rPr>
              <w:rFonts w:asciiTheme="minorHAnsi" w:eastAsiaTheme="minorEastAsia" w:hAnsiTheme="minorHAnsi"/>
              <w:noProof/>
              <w:lang w:eastAsia="fr-FR"/>
            </w:rPr>
          </w:pPr>
          <w:hyperlink w:anchor="_Toc112955508" w:history="1">
            <w:r w:rsidR="00FD5052" w:rsidRPr="00C757C5">
              <w:rPr>
                <w:rStyle w:val="Lienhypertexte"/>
                <w:noProof/>
              </w:rPr>
              <w:t>Durée de l’arrêt de travail</w:t>
            </w:r>
            <w:r w:rsidR="00FD5052">
              <w:rPr>
                <w:noProof/>
                <w:webHidden/>
              </w:rPr>
              <w:tab/>
            </w:r>
            <w:r w:rsidR="00FD5052">
              <w:rPr>
                <w:noProof/>
                <w:webHidden/>
              </w:rPr>
              <w:fldChar w:fldCharType="begin"/>
            </w:r>
            <w:r w:rsidR="00FD5052">
              <w:rPr>
                <w:noProof/>
                <w:webHidden/>
              </w:rPr>
              <w:instrText xml:space="preserve"> PAGEREF _Toc112955508 \h </w:instrText>
            </w:r>
            <w:r w:rsidR="00FD5052">
              <w:rPr>
                <w:noProof/>
                <w:webHidden/>
              </w:rPr>
            </w:r>
            <w:r w:rsidR="00FD5052">
              <w:rPr>
                <w:noProof/>
                <w:webHidden/>
              </w:rPr>
              <w:fldChar w:fldCharType="separate"/>
            </w:r>
            <w:r w:rsidR="00D2767C">
              <w:rPr>
                <w:noProof/>
                <w:webHidden/>
              </w:rPr>
              <w:t>26</w:t>
            </w:r>
            <w:r w:rsidR="00FD5052">
              <w:rPr>
                <w:noProof/>
                <w:webHidden/>
              </w:rPr>
              <w:fldChar w:fldCharType="end"/>
            </w:r>
          </w:hyperlink>
        </w:p>
        <w:p w14:paraId="45D25442" w14:textId="5B1A9819" w:rsidR="00FD5052" w:rsidRDefault="00423160">
          <w:pPr>
            <w:pStyle w:val="TM3"/>
            <w:tabs>
              <w:tab w:val="right" w:leader="dot" w:pos="9062"/>
            </w:tabs>
            <w:rPr>
              <w:rFonts w:asciiTheme="minorHAnsi" w:eastAsiaTheme="minorEastAsia" w:hAnsiTheme="minorHAnsi"/>
              <w:noProof/>
              <w:lang w:eastAsia="fr-FR"/>
            </w:rPr>
          </w:pPr>
          <w:hyperlink w:anchor="_Toc112955509" w:history="1">
            <w:r w:rsidR="00FD5052" w:rsidRPr="00C757C5">
              <w:rPr>
                <w:rStyle w:val="Lienhypertexte"/>
                <w:noProof/>
              </w:rPr>
              <w:t>Taux d’absentéisme</w:t>
            </w:r>
            <w:r w:rsidR="00FD5052">
              <w:rPr>
                <w:noProof/>
                <w:webHidden/>
              </w:rPr>
              <w:tab/>
            </w:r>
            <w:r w:rsidR="00FD5052">
              <w:rPr>
                <w:noProof/>
                <w:webHidden/>
              </w:rPr>
              <w:fldChar w:fldCharType="begin"/>
            </w:r>
            <w:r w:rsidR="00FD5052">
              <w:rPr>
                <w:noProof/>
                <w:webHidden/>
              </w:rPr>
              <w:instrText xml:space="preserve"> PAGEREF _Toc112955509 \h </w:instrText>
            </w:r>
            <w:r w:rsidR="00FD5052">
              <w:rPr>
                <w:noProof/>
                <w:webHidden/>
              </w:rPr>
            </w:r>
            <w:r w:rsidR="00FD5052">
              <w:rPr>
                <w:noProof/>
                <w:webHidden/>
              </w:rPr>
              <w:fldChar w:fldCharType="separate"/>
            </w:r>
            <w:r w:rsidR="00D2767C">
              <w:rPr>
                <w:noProof/>
                <w:webHidden/>
              </w:rPr>
              <w:t>26</w:t>
            </w:r>
            <w:r w:rsidR="00FD5052">
              <w:rPr>
                <w:noProof/>
                <w:webHidden/>
              </w:rPr>
              <w:fldChar w:fldCharType="end"/>
            </w:r>
          </w:hyperlink>
        </w:p>
        <w:p w14:paraId="30F731B5" w14:textId="78FD7E1C" w:rsidR="00FD5052" w:rsidRDefault="00423160">
          <w:pPr>
            <w:pStyle w:val="TM1"/>
            <w:tabs>
              <w:tab w:val="right" w:leader="dot" w:pos="9062"/>
            </w:tabs>
            <w:rPr>
              <w:rFonts w:asciiTheme="minorHAnsi" w:eastAsiaTheme="minorEastAsia" w:hAnsiTheme="minorHAnsi"/>
              <w:noProof/>
              <w:lang w:eastAsia="fr-FR"/>
            </w:rPr>
          </w:pPr>
          <w:hyperlink w:anchor="_Toc112955510" w:history="1">
            <w:r w:rsidR="00FD5052" w:rsidRPr="00C757C5">
              <w:rPr>
                <w:rStyle w:val="Lienhypertexte"/>
                <w:noProof/>
              </w:rPr>
              <w:t>Analyse descriptive</w:t>
            </w:r>
            <w:r w:rsidR="00FD5052">
              <w:rPr>
                <w:noProof/>
                <w:webHidden/>
              </w:rPr>
              <w:tab/>
            </w:r>
            <w:r w:rsidR="00FD5052">
              <w:rPr>
                <w:noProof/>
                <w:webHidden/>
              </w:rPr>
              <w:fldChar w:fldCharType="begin"/>
            </w:r>
            <w:r w:rsidR="00FD5052">
              <w:rPr>
                <w:noProof/>
                <w:webHidden/>
              </w:rPr>
              <w:instrText xml:space="preserve"> PAGEREF _Toc112955510 \h </w:instrText>
            </w:r>
            <w:r w:rsidR="00FD5052">
              <w:rPr>
                <w:noProof/>
                <w:webHidden/>
              </w:rPr>
            </w:r>
            <w:r w:rsidR="00FD5052">
              <w:rPr>
                <w:noProof/>
                <w:webHidden/>
              </w:rPr>
              <w:fldChar w:fldCharType="separate"/>
            </w:r>
            <w:r w:rsidR="00D2767C">
              <w:rPr>
                <w:noProof/>
                <w:webHidden/>
              </w:rPr>
              <w:t>27</w:t>
            </w:r>
            <w:r w:rsidR="00FD5052">
              <w:rPr>
                <w:noProof/>
                <w:webHidden/>
              </w:rPr>
              <w:fldChar w:fldCharType="end"/>
            </w:r>
          </w:hyperlink>
        </w:p>
        <w:p w14:paraId="163ABC68" w14:textId="2455D250" w:rsidR="00FD5052" w:rsidRDefault="00423160">
          <w:pPr>
            <w:pStyle w:val="TM2"/>
            <w:tabs>
              <w:tab w:val="right" w:leader="dot" w:pos="9062"/>
            </w:tabs>
            <w:rPr>
              <w:rFonts w:asciiTheme="minorHAnsi" w:eastAsiaTheme="minorEastAsia" w:hAnsiTheme="minorHAnsi"/>
              <w:noProof/>
              <w:lang w:eastAsia="fr-FR"/>
            </w:rPr>
          </w:pPr>
          <w:hyperlink w:anchor="_Toc112955511" w:history="1">
            <w:r w:rsidR="00FD5052" w:rsidRPr="00C757C5">
              <w:rPr>
                <w:rStyle w:val="Lienhypertexte"/>
                <w:noProof/>
              </w:rPr>
              <w:t>Evolution du risque arrêt de travail sur les dernières années</w:t>
            </w:r>
            <w:r w:rsidR="00FD5052">
              <w:rPr>
                <w:noProof/>
                <w:webHidden/>
              </w:rPr>
              <w:tab/>
            </w:r>
            <w:r w:rsidR="00FD5052">
              <w:rPr>
                <w:noProof/>
                <w:webHidden/>
              </w:rPr>
              <w:fldChar w:fldCharType="begin"/>
            </w:r>
            <w:r w:rsidR="00FD5052">
              <w:rPr>
                <w:noProof/>
                <w:webHidden/>
              </w:rPr>
              <w:instrText xml:space="preserve"> PAGEREF _Toc112955511 \h </w:instrText>
            </w:r>
            <w:r w:rsidR="00FD5052">
              <w:rPr>
                <w:noProof/>
                <w:webHidden/>
              </w:rPr>
            </w:r>
            <w:r w:rsidR="00FD5052">
              <w:rPr>
                <w:noProof/>
                <w:webHidden/>
              </w:rPr>
              <w:fldChar w:fldCharType="separate"/>
            </w:r>
            <w:r w:rsidR="00D2767C">
              <w:rPr>
                <w:noProof/>
                <w:webHidden/>
              </w:rPr>
              <w:t>27</w:t>
            </w:r>
            <w:r w:rsidR="00FD5052">
              <w:rPr>
                <w:noProof/>
                <w:webHidden/>
              </w:rPr>
              <w:fldChar w:fldCharType="end"/>
            </w:r>
          </w:hyperlink>
        </w:p>
        <w:p w14:paraId="665A987A" w14:textId="33CCB672" w:rsidR="00FD5052" w:rsidRDefault="00423160">
          <w:pPr>
            <w:pStyle w:val="TM3"/>
            <w:tabs>
              <w:tab w:val="right" w:leader="dot" w:pos="9062"/>
            </w:tabs>
            <w:rPr>
              <w:rFonts w:asciiTheme="minorHAnsi" w:eastAsiaTheme="minorEastAsia" w:hAnsiTheme="minorHAnsi"/>
              <w:noProof/>
              <w:lang w:eastAsia="fr-FR"/>
            </w:rPr>
          </w:pPr>
          <w:hyperlink w:anchor="_Toc112955512" w:history="1">
            <w:r w:rsidR="00FD5052" w:rsidRPr="00C757C5">
              <w:rPr>
                <w:rStyle w:val="Lienhypertexte"/>
                <w:noProof/>
              </w:rPr>
              <w:t>Evolution globale du portefeuille arrêt de travail</w:t>
            </w:r>
            <w:r w:rsidR="00FD5052">
              <w:rPr>
                <w:noProof/>
                <w:webHidden/>
              </w:rPr>
              <w:tab/>
            </w:r>
            <w:r w:rsidR="00FD5052">
              <w:rPr>
                <w:noProof/>
                <w:webHidden/>
              </w:rPr>
              <w:fldChar w:fldCharType="begin"/>
            </w:r>
            <w:r w:rsidR="00FD5052">
              <w:rPr>
                <w:noProof/>
                <w:webHidden/>
              </w:rPr>
              <w:instrText xml:space="preserve"> PAGEREF _Toc112955512 \h </w:instrText>
            </w:r>
            <w:r w:rsidR="00FD5052">
              <w:rPr>
                <w:noProof/>
                <w:webHidden/>
              </w:rPr>
            </w:r>
            <w:r w:rsidR="00FD5052">
              <w:rPr>
                <w:noProof/>
                <w:webHidden/>
              </w:rPr>
              <w:fldChar w:fldCharType="separate"/>
            </w:r>
            <w:r w:rsidR="00D2767C">
              <w:rPr>
                <w:noProof/>
                <w:webHidden/>
              </w:rPr>
              <w:t>27</w:t>
            </w:r>
            <w:r w:rsidR="00FD5052">
              <w:rPr>
                <w:noProof/>
                <w:webHidden/>
              </w:rPr>
              <w:fldChar w:fldCharType="end"/>
            </w:r>
          </w:hyperlink>
        </w:p>
        <w:p w14:paraId="3C987117" w14:textId="7CB4BD5D" w:rsidR="00FD5052" w:rsidRDefault="00423160">
          <w:pPr>
            <w:pStyle w:val="TM3"/>
            <w:tabs>
              <w:tab w:val="right" w:leader="dot" w:pos="9062"/>
            </w:tabs>
            <w:rPr>
              <w:rFonts w:asciiTheme="minorHAnsi" w:eastAsiaTheme="minorEastAsia" w:hAnsiTheme="minorHAnsi"/>
              <w:noProof/>
              <w:lang w:eastAsia="fr-FR"/>
            </w:rPr>
          </w:pPr>
          <w:hyperlink w:anchor="_Toc112955513" w:history="1">
            <w:r w:rsidR="00FD5052" w:rsidRPr="00C757C5">
              <w:rPr>
                <w:rStyle w:val="Lienhypertexte"/>
                <w:noProof/>
              </w:rPr>
              <w:t>Saisonnalité des arrêts de travail et mise en valeur d’un effet COVID sur 2020</w:t>
            </w:r>
            <w:r w:rsidR="00FD5052">
              <w:rPr>
                <w:noProof/>
                <w:webHidden/>
              </w:rPr>
              <w:tab/>
            </w:r>
            <w:r w:rsidR="00FD5052">
              <w:rPr>
                <w:noProof/>
                <w:webHidden/>
              </w:rPr>
              <w:fldChar w:fldCharType="begin"/>
            </w:r>
            <w:r w:rsidR="00FD5052">
              <w:rPr>
                <w:noProof/>
                <w:webHidden/>
              </w:rPr>
              <w:instrText xml:space="preserve"> PAGEREF _Toc112955513 \h </w:instrText>
            </w:r>
            <w:r w:rsidR="00FD5052">
              <w:rPr>
                <w:noProof/>
                <w:webHidden/>
              </w:rPr>
            </w:r>
            <w:r w:rsidR="00FD5052">
              <w:rPr>
                <w:noProof/>
                <w:webHidden/>
              </w:rPr>
              <w:fldChar w:fldCharType="separate"/>
            </w:r>
            <w:r w:rsidR="00D2767C">
              <w:rPr>
                <w:noProof/>
                <w:webHidden/>
              </w:rPr>
              <w:t>28</w:t>
            </w:r>
            <w:r w:rsidR="00FD5052">
              <w:rPr>
                <w:noProof/>
                <w:webHidden/>
              </w:rPr>
              <w:fldChar w:fldCharType="end"/>
            </w:r>
          </w:hyperlink>
        </w:p>
        <w:p w14:paraId="3F3740FE" w14:textId="4D0434F8" w:rsidR="00FD5052" w:rsidRDefault="00423160">
          <w:pPr>
            <w:pStyle w:val="TM3"/>
            <w:tabs>
              <w:tab w:val="right" w:leader="dot" w:pos="9062"/>
            </w:tabs>
            <w:rPr>
              <w:rFonts w:asciiTheme="minorHAnsi" w:eastAsiaTheme="minorEastAsia" w:hAnsiTheme="minorHAnsi"/>
              <w:noProof/>
              <w:lang w:eastAsia="fr-FR"/>
            </w:rPr>
          </w:pPr>
          <w:hyperlink w:anchor="_Toc112955514" w:history="1">
            <w:r w:rsidR="00FD5052" w:rsidRPr="00C757C5">
              <w:rPr>
                <w:rStyle w:val="Lienhypertexte"/>
                <w:noProof/>
              </w:rPr>
              <w:t>Effet COVID sur l’année 2020</w:t>
            </w:r>
            <w:r w:rsidR="00FD5052">
              <w:rPr>
                <w:noProof/>
                <w:webHidden/>
              </w:rPr>
              <w:tab/>
            </w:r>
            <w:r w:rsidR="00FD5052">
              <w:rPr>
                <w:noProof/>
                <w:webHidden/>
              </w:rPr>
              <w:fldChar w:fldCharType="begin"/>
            </w:r>
            <w:r w:rsidR="00FD5052">
              <w:rPr>
                <w:noProof/>
                <w:webHidden/>
              </w:rPr>
              <w:instrText xml:space="preserve"> PAGEREF _Toc112955514 \h </w:instrText>
            </w:r>
            <w:r w:rsidR="00FD5052">
              <w:rPr>
                <w:noProof/>
                <w:webHidden/>
              </w:rPr>
            </w:r>
            <w:r w:rsidR="00FD5052">
              <w:rPr>
                <w:noProof/>
                <w:webHidden/>
              </w:rPr>
              <w:fldChar w:fldCharType="separate"/>
            </w:r>
            <w:r w:rsidR="00D2767C">
              <w:rPr>
                <w:noProof/>
                <w:webHidden/>
              </w:rPr>
              <w:t>30</w:t>
            </w:r>
            <w:r w:rsidR="00FD5052">
              <w:rPr>
                <w:noProof/>
                <w:webHidden/>
              </w:rPr>
              <w:fldChar w:fldCharType="end"/>
            </w:r>
          </w:hyperlink>
        </w:p>
        <w:p w14:paraId="45C52E9C" w14:textId="47423036" w:rsidR="00FD5052" w:rsidRDefault="00423160">
          <w:pPr>
            <w:pStyle w:val="TM3"/>
            <w:tabs>
              <w:tab w:val="right" w:leader="dot" w:pos="9062"/>
            </w:tabs>
            <w:rPr>
              <w:rFonts w:asciiTheme="minorHAnsi" w:eastAsiaTheme="minorEastAsia" w:hAnsiTheme="minorHAnsi"/>
              <w:noProof/>
              <w:lang w:eastAsia="fr-FR"/>
            </w:rPr>
          </w:pPr>
          <w:hyperlink w:anchor="_Toc112955515" w:history="1">
            <w:r w:rsidR="00FD5052" w:rsidRPr="00C757C5">
              <w:rPr>
                <w:rStyle w:val="Lienhypertexte"/>
                <w:noProof/>
              </w:rPr>
              <w:t>Evolution des types d’arrêts par année de survenance</w:t>
            </w:r>
            <w:r w:rsidR="00FD5052">
              <w:rPr>
                <w:noProof/>
                <w:webHidden/>
              </w:rPr>
              <w:tab/>
            </w:r>
            <w:r w:rsidR="00FD5052">
              <w:rPr>
                <w:noProof/>
                <w:webHidden/>
              </w:rPr>
              <w:fldChar w:fldCharType="begin"/>
            </w:r>
            <w:r w:rsidR="00FD5052">
              <w:rPr>
                <w:noProof/>
                <w:webHidden/>
              </w:rPr>
              <w:instrText xml:space="preserve"> PAGEREF _Toc112955515 \h </w:instrText>
            </w:r>
            <w:r w:rsidR="00FD5052">
              <w:rPr>
                <w:noProof/>
                <w:webHidden/>
              </w:rPr>
            </w:r>
            <w:r w:rsidR="00FD5052">
              <w:rPr>
                <w:noProof/>
                <w:webHidden/>
              </w:rPr>
              <w:fldChar w:fldCharType="separate"/>
            </w:r>
            <w:r w:rsidR="00D2767C">
              <w:rPr>
                <w:noProof/>
                <w:webHidden/>
              </w:rPr>
              <w:t>30</w:t>
            </w:r>
            <w:r w:rsidR="00FD5052">
              <w:rPr>
                <w:noProof/>
                <w:webHidden/>
              </w:rPr>
              <w:fldChar w:fldCharType="end"/>
            </w:r>
          </w:hyperlink>
        </w:p>
        <w:p w14:paraId="3899E473" w14:textId="2F4EE703" w:rsidR="00FD5052" w:rsidRDefault="00423160">
          <w:pPr>
            <w:pStyle w:val="TM1"/>
            <w:tabs>
              <w:tab w:val="right" w:leader="dot" w:pos="9062"/>
            </w:tabs>
            <w:rPr>
              <w:rFonts w:asciiTheme="minorHAnsi" w:eastAsiaTheme="minorEastAsia" w:hAnsiTheme="minorHAnsi"/>
              <w:noProof/>
              <w:lang w:eastAsia="fr-FR"/>
            </w:rPr>
          </w:pPr>
          <w:hyperlink w:anchor="_Toc112955516" w:history="1">
            <w:r w:rsidR="00FD5052" w:rsidRPr="00C757C5">
              <w:rPr>
                <w:rStyle w:val="Lienhypertexte"/>
                <w:noProof/>
              </w:rPr>
              <w:t>Aspect théorique des modèles linéaires généralisés</w:t>
            </w:r>
            <w:r w:rsidR="00FD5052">
              <w:rPr>
                <w:noProof/>
                <w:webHidden/>
              </w:rPr>
              <w:tab/>
            </w:r>
            <w:r w:rsidR="00FD5052">
              <w:rPr>
                <w:noProof/>
                <w:webHidden/>
              </w:rPr>
              <w:fldChar w:fldCharType="begin"/>
            </w:r>
            <w:r w:rsidR="00FD5052">
              <w:rPr>
                <w:noProof/>
                <w:webHidden/>
              </w:rPr>
              <w:instrText xml:space="preserve"> PAGEREF _Toc112955516 \h </w:instrText>
            </w:r>
            <w:r w:rsidR="00FD5052">
              <w:rPr>
                <w:noProof/>
                <w:webHidden/>
              </w:rPr>
            </w:r>
            <w:r w:rsidR="00FD5052">
              <w:rPr>
                <w:noProof/>
                <w:webHidden/>
              </w:rPr>
              <w:fldChar w:fldCharType="separate"/>
            </w:r>
            <w:r w:rsidR="00D2767C">
              <w:rPr>
                <w:noProof/>
                <w:webHidden/>
              </w:rPr>
              <w:t>32</w:t>
            </w:r>
            <w:r w:rsidR="00FD5052">
              <w:rPr>
                <w:noProof/>
                <w:webHidden/>
              </w:rPr>
              <w:fldChar w:fldCharType="end"/>
            </w:r>
          </w:hyperlink>
        </w:p>
        <w:p w14:paraId="02DDD816" w14:textId="2444B43C" w:rsidR="00FD5052" w:rsidRDefault="00423160">
          <w:pPr>
            <w:pStyle w:val="TM2"/>
            <w:tabs>
              <w:tab w:val="right" w:leader="dot" w:pos="9062"/>
            </w:tabs>
            <w:rPr>
              <w:rFonts w:asciiTheme="minorHAnsi" w:eastAsiaTheme="minorEastAsia" w:hAnsiTheme="minorHAnsi"/>
              <w:noProof/>
              <w:lang w:eastAsia="fr-FR"/>
            </w:rPr>
          </w:pPr>
          <w:hyperlink w:anchor="_Toc112955517" w:history="1">
            <w:r w:rsidR="00FD5052" w:rsidRPr="00C757C5">
              <w:rPr>
                <w:rStyle w:val="Lienhypertexte"/>
                <w:noProof/>
              </w:rPr>
              <w:t>Intérêt des modèles linéaires généralisés</w:t>
            </w:r>
            <w:r w:rsidR="00FD5052">
              <w:rPr>
                <w:noProof/>
                <w:webHidden/>
              </w:rPr>
              <w:tab/>
            </w:r>
            <w:r w:rsidR="00FD5052">
              <w:rPr>
                <w:noProof/>
                <w:webHidden/>
              </w:rPr>
              <w:fldChar w:fldCharType="begin"/>
            </w:r>
            <w:r w:rsidR="00FD5052">
              <w:rPr>
                <w:noProof/>
                <w:webHidden/>
              </w:rPr>
              <w:instrText xml:space="preserve"> PAGEREF _Toc112955517 \h </w:instrText>
            </w:r>
            <w:r w:rsidR="00FD5052">
              <w:rPr>
                <w:noProof/>
                <w:webHidden/>
              </w:rPr>
            </w:r>
            <w:r w:rsidR="00FD5052">
              <w:rPr>
                <w:noProof/>
                <w:webHidden/>
              </w:rPr>
              <w:fldChar w:fldCharType="separate"/>
            </w:r>
            <w:r w:rsidR="00D2767C">
              <w:rPr>
                <w:noProof/>
                <w:webHidden/>
              </w:rPr>
              <w:t>32</w:t>
            </w:r>
            <w:r w:rsidR="00FD5052">
              <w:rPr>
                <w:noProof/>
                <w:webHidden/>
              </w:rPr>
              <w:fldChar w:fldCharType="end"/>
            </w:r>
          </w:hyperlink>
        </w:p>
        <w:p w14:paraId="13B78256" w14:textId="29FCD121" w:rsidR="00FD5052" w:rsidRDefault="00423160">
          <w:pPr>
            <w:pStyle w:val="TM2"/>
            <w:tabs>
              <w:tab w:val="right" w:leader="dot" w:pos="9062"/>
            </w:tabs>
            <w:rPr>
              <w:rFonts w:asciiTheme="minorHAnsi" w:eastAsiaTheme="minorEastAsia" w:hAnsiTheme="minorHAnsi"/>
              <w:noProof/>
              <w:lang w:eastAsia="fr-FR"/>
            </w:rPr>
          </w:pPr>
          <w:hyperlink w:anchor="_Toc112955518" w:history="1">
            <w:r w:rsidR="00FD5052" w:rsidRPr="00C757C5">
              <w:rPr>
                <w:rStyle w:val="Lienhypertexte"/>
                <w:noProof/>
              </w:rPr>
              <w:t>Principe des GLM</w:t>
            </w:r>
            <w:r w:rsidR="00FD5052">
              <w:rPr>
                <w:noProof/>
                <w:webHidden/>
              </w:rPr>
              <w:tab/>
            </w:r>
            <w:r w:rsidR="00FD5052">
              <w:rPr>
                <w:noProof/>
                <w:webHidden/>
              </w:rPr>
              <w:fldChar w:fldCharType="begin"/>
            </w:r>
            <w:r w:rsidR="00FD5052">
              <w:rPr>
                <w:noProof/>
                <w:webHidden/>
              </w:rPr>
              <w:instrText xml:space="preserve"> PAGEREF _Toc112955518 \h </w:instrText>
            </w:r>
            <w:r w:rsidR="00FD5052">
              <w:rPr>
                <w:noProof/>
                <w:webHidden/>
              </w:rPr>
            </w:r>
            <w:r w:rsidR="00FD5052">
              <w:rPr>
                <w:noProof/>
                <w:webHidden/>
              </w:rPr>
              <w:fldChar w:fldCharType="separate"/>
            </w:r>
            <w:r w:rsidR="00D2767C">
              <w:rPr>
                <w:noProof/>
                <w:webHidden/>
              </w:rPr>
              <w:t>33</w:t>
            </w:r>
            <w:r w:rsidR="00FD5052">
              <w:rPr>
                <w:noProof/>
                <w:webHidden/>
              </w:rPr>
              <w:fldChar w:fldCharType="end"/>
            </w:r>
          </w:hyperlink>
        </w:p>
        <w:p w14:paraId="020FD585" w14:textId="1FAF846B" w:rsidR="00FD5052" w:rsidRDefault="00423160">
          <w:pPr>
            <w:pStyle w:val="TM3"/>
            <w:tabs>
              <w:tab w:val="right" w:leader="dot" w:pos="9062"/>
            </w:tabs>
            <w:rPr>
              <w:rFonts w:asciiTheme="minorHAnsi" w:eastAsiaTheme="minorEastAsia" w:hAnsiTheme="minorHAnsi"/>
              <w:noProof/>
              <w:lang w:eastAsia="fr-FR"/>
            </w:rPr>
          </w:pPr>
          <w:hyperlink w:anchor="_Toc112955519" w:history="1">
            <w:r w:rsidR="00FD5052" w:rsidRPr="00C757C5">
              <w:rPr>
                <w:rStyle w:val="Lienhypertexte"/>
                <w:noProof/>
              </w:rPr>
              <w:t>Composant d’un GLM :</w:t>
            </w:r>
            <w:r w:rsidR="00FD5052">
              <w:rPr>
                <w:noProof/>
                <w:webHidden/>
              </w:rPr>
              <w:tab/>
            </w:r>
            <w:r w:rsidR="00FD5052">
              <w:rPr>
                <w:noProof/>
                <w:webHidden/>
              </w:rPr>
              <w:fldChar w:fldCharType="begin"/>
            </w:r>
            <w:r w:rsidR="00FD5052">
              <w:rPr>
                <w:noProof/>
                <w:webHidden/>
              </w:rPr>
              <w:instrText xml:space="preserve"> PAGEREF _Toc112955519 \h </w:instrText>
            </w:r>
            <w:r w:rsidR="00FD5052">
              <w:rPr>
                <w:noProof/>
                <w:webHidden/>
              </w:rPr>
            </w:r>
            <w:r w:rsidR="00FD5052">
              <w:rPr>
                <w:noProof/>
                <w:webHidden/>
              </w:rPr>
              <w:fldChar w:fldCharType="separate"/>
            </w:r>
            <w:r w:rsidR="00D2767C">
              <w:rPr>
                <w:noProof/>
                <w:webHidden/>
              </w:rPr>
              <w:t>33</w:t>
            </w:r>
            <w:r w:rsidR="00FD5052">
              <w:rPr>
                <w:noProof/>
                <w:webHidden/>
              </w:rPr>
              <w:fldChar w:fldCharType="end"/>
            </w:r>
          </w:hyperlink>
        </w:p>
        <w:p w14:paraId="347F033E" w14:textId="29E8D5AD" w:rsidR="00FD5052" w:rsidRDefault="00423160">
          <w:pPr>
            <w:pStyle w:val="TM3"/>
            <w:tabs>
              <w:tab w:val="right" w:leader="dot" w:pos="9062"/>
            </w:tabs>
            <w:rPr>
              <w:rFonts w:asciiTheme="minorHAnsi" w:eastAsiaTheme="minorEastAsia" w:hAnsiTheme="minorHAnsi"/>
              <w:noProof/>
              <w:lang w:eastAsia="fr-FR"/>
            </w:rPr>
          </w:pPr>
          <w:hyperlink w:anchor="_Toc112955520" w:history="1">
            <w:r w:rsidR="00FD5052" w:rsidRPr="00C757C5">
              <w:rPr>
                <w:rStyle w:val="Lienhypertexte"/>
                <w:noProof/>
              </w:rPr>
              <w:t>Modèle gaussien :</w:t>
            </w:r>
            <w:r w:rsidR="00FD5052">
              <w:rPr>
                <w:noProof/>
                <w:webHidden/>
              </w:rPr>
              <w:tab/>
            </w:r>
            <w:r w:rsidR="00FD5052">
              <w:rPr>
                <w:noProof/>
                <w:webHidden/>
              </w:rPr>
              <w:fldChar w:fldCharType="begin"/>
            </w:r>
            <w:r w:rsidR="00FD5052">
              <w:rPr>
                <w:noProof/>
                <w:webHidden/>
              </w:rPr>
              <w:instrText xml:space="preserve"> PAGEREF _Toc112955520 \h </w:instrText>
            </w:r>
            <w:r w:rsidR="00FD5052">
              <w:rPr>
                <w:noProof/>
                <w:webHidden/>
              </w:rPr>
            </w:r>
            <w:r w:rsidR="00FD5052">
              <w:rPr>
                <w:noProof/>
                <w:webHidden/>
              </w:rPr>
              <w:fldChar w:fldCharType="separate"/>
            </w:r>
            <w:r w:rsidR="00D2767C">
              <w:rPr>
                <w:noProof/>
                <w:webHidden/>
              </w:rPr>
              <w:t>34</w:t>
            </w:r>
            <w:r w:rsidR="00FD5052">
              <w:rPr>
                <w:noProof/>
                <w:webHidden/>
              </w:rPr>
              <w:fldChar w:fldCharType="end"/>
            </w:r>
          </w:hyperlink>
        </w:p>
        <w:p w14:paraId="07AC36A6" w14:textId="7201D8FC" w:rsidR="00FD5052" w:rsidRDefault="00423160">
          <w:pPr>
            <w:pStyle w:val="TM3"/>
            <w:tabs>
              <w:tab w:val="right" w:leader="dot" w:pos="9062"/>
            </w:tabs>
            <w:rPr>
              <w:rFonts w:asciiTheme="minorHAnsi" w:eastAsiaTheme="minorEastAsia" w:hAnsiTheme="minorHAnsi"/>
              <w:noProof/>
              <w:lang w:eastAsia="fr-FR"/>
            </w:rPr>
          </w:pPr>
          <w:hyperlink w:anchor="_Toc112955521" w:history="1">
            <w:r w:rsidR="00FD5052" w:rsidRPr="00C757C5">
              <w:rPr>
                <w:rStyle w:val="Lienhypertexte"/>
                <w:noProof/>
              </w:rPr>
              <w:t>Modèle de Poisson :</w:t>
            </w:r>
            <w:r w:rsidR="00FD5052">
              <w:rPr>
                <w:noProof/>
                <w:webHidden/>
              </w:rPr>
              <w:tab/>
            </w:r>
            <w:r w:rsidR="00FD5052">
              <w:rPr>
                <w:noProof/>
                <w:webHidden/>
              </w:rPr>
              <w:fldChar w:fldCharType="begin"/>
            </w:r>
            <w:r w:rsidR="00FD5052">
              <w:rPr>
                <w:noProof/>
                <w:webHidden/>
              </w:rPr>
              <w:instrText xml:space="preserve"> PAGEREF _Toc112955521 \h </w:instrText>
            </w:r>
            <w:r w:rsidR="00FD5052">
              <w:rPr>
                <w:noProof/>
                <w:webHidden/>
              </w:rPr>
            </w:r>
            <w:r w:rsidR="00FD5052">
              <w:rPr>
                <w:noProof/>
                <w:webHidden/>
              </w:rPr>
              <w:fldChar w:fldCharType="separate"/>
            </w:r>
            <w:r w:rsidR="00D2767C">
              <w:rPr>
                <w:noProof/>
                <w:webHidden/>
              </w:rPr>
              <w:t>35</w:t>
            </w:r>
            <w:r w:rsidR="00FD5052">
              <w:rPr>
                <w:noProof/>
                <w:webHidden/>
              </w:rPr>
              <w:fldChar w:fldCharType="end"/>
            </w:r>
          </w:hyperlink>
        </w:p>
        <w:p w14:paraId="74B92F9B" w14:textId="0D5A47CB" w:rsidR="00FD5052" w:rsidRDefault="00423160">
          <w:pPr>
            <w:pStyle w:val="TM3"/>
            <w:tabs>
              <w:tab w:val="right" w:leader="dot" w:pos="9062"/>
            </w:tabs>
            <w:rPr>
              <w:rFonts w:asciiTheme="minorHAnsi" w:eastAsiaTheme="minorEastAsia" w:hAnsiTheme="minorHAnsi"/>
              <w:noProof/>
              <w:lang w:eastAsia="fr-FR"/>
            </w:rPr>
          </w:pPr>
          <w:hyperlink w:anchor="_Toc112955522" w:history="1">
            <w:r w:rsidR="00FD5052" w:rsidRPr="00C757C5">
              <w:rPr>
                <w:rStyle w:val="Lienhypertexte"/>
                <w:noProof/>
              </w:rPr>
              <w:t>Modèle Tweedie :</w:t>
            </w:r>
            <w:r w:rsidR="00FD5052">
              <w:rPr>
                <w:noProof/>
                <w:webHidden/>
              </w:rPr>
              <w:tab/>
            </w:r>
            <w:r w:rsidR="00FD5052">
              <w:rPr>
                <w:noProof/>
                <w:webHidden/>
              </w:rPr>
              <w:fldChar w:fldCharType="begin"/>
            </w:r>
            <w:r w:rsidR="00FD5052">
              <w:rPr>
                <w:noProof/>
                <w:webHidden/>
              </w:rPr>
              <w:instrText xml:space="preserve"> PAGEREF _Toc112955522 \h </w:instrText>
            </w:r>
            <w:r w:rsidR="00FD5052">
              <w:rPr>
                <w:noProof/>
                <w:webHidden/>
              </w:rPr>
            </w:r>
            <w:r w:rsidR="00FD5052">
              <w:rPr>
                <w:noProof/>
                <w:webHidden/>
              </w:rPr>
              <w:fldChar w:fldCharType="separate"/>
            </w:r>
            <w:r w:rsidR="00D2767C">
              <w:rPr>
                <w:noProof/>
                <w:webHidden/>
              </w:rPr>
              <w:t>36</w:t>
            </w:r>
            <w:r w:rsidR="00FD5052">
              <w:rPr>
                <w:noProof/>
                <w:webHidden/>
              </w:rPr>
              <w:fldChar w:fldCharType="end"/>
            </w:r>
          </w:hyperlink>
        </w:p>
        <w:p w14:paraId="7F643B13" w14:textId="7D0DAE36" w:rsidR="00FD5052" w:rsidRDefault="00423160">
          <w:pPr>
            <w:pStyle w:val="TM2"/>
            <w:tabs>
              <w:tab w:val="right" w:leader="dot" w:pos="9062"/>
            </w:tabs>
            <w:rPr>
              <w:rFonts w:asciiTheme="minorHAnsi" w:eastAsiaTheme="minorEastAsia" w:hAnsiTheme="minorHAnsi"/>
              <w:noProof/>
              <w:lang w:eastAsia="fr-FR"/>
            </w:rPr>
          </w:pPr>
          <w:hyperlink w:anchor="_Toc112955523" w:history="1">
            <w:r w:rsidR="00FD5052" w:rsidRPr="00C757C5">
              <w:rPr>
                <w:rStyle w:val="Lienhypertexte"/>
                <w:noProof/>
              </w:rPr>
              <w:t>Validation d’un modèle GLM :</w:t>
            </w:r>
            <w:r w:rsidR="00FD5052">
              <w:rPr>
                <w:noProof/>
                <w:webHidden/>
              </w:rPr>
              <w:tab/>
            </w:r>
            <w:r w:rsidR="00FD5052">
              <w:rPr>
                <w:noProof/>
                <w:webHidden/>
              </w:rPr>
              <w:fldChar w:fldCharType="begin"/>
            </w:r>
            <w:r w:rsidR="00FD5052">
              <w:rPr>
                <w:noProof/>
                <w:webHidden/>
              </w:rPr>
              <w:instrText xml:space="preserve"> PAGEREF _Toc112955523 \h </w:instrText>
            </w:r>
            <w:r w:rsidR="00FD5052">
              <w:rPr>
                <w:noProof/>
                <w:webHidden/>
              </w:rPr>
            </w:r>
            <w:r w:rsidR="00FD5052">
              <w:rPr>
                <w:noProof/>
                <w:webHidden/>
              </w:rPr>
              <w:fldChar w:fldCharType="separate"/>
            </w:r>
            <w:r w:rsidR="00D2767C">
              <w:rPr>
                <w:noProof/>
                <w:webHidden/>
              </w:rPr>
              <w:t>37</w:t>
            </w:r>
            <w:r w:rsidR="00FD5052">
              <w:rPr>
                <w:noProof/>
                <w:webHidden/>
              </w:rPr>
              <w:fldChar w:fldCharType="end"/>
            </w:r>
          </w:hyperlink>
        </w:p>
        <w:p w14:paraId="433B4C27" w14:textId="2BEC8036" w:rsidR="00FD5052" w:rsidRDefault="00423160">
          <w:pPr>
            <w:pStyle w:val="TM3"/>
            <w:tabs>
              <w:tab w:val="right" w:leader="dot" w:pos="9062"/>
            </w:tabs>
            <w:rPr>
              <w:rFonts w:asciiTheme="minorHAnsi" w:eastAsiaTheme="minorEastAsia" w:hAnsiTheme="minorHAnsi"/>
              <w:noProof/>
              <w:lang w:eastAsia="fr-FR"/>
            </w:rPr>
          </w:pPr>
          <w:hyperlink w:anchor="_Toc112955524" w:history="1">
            <w:r w:rsidR="00FD5052" w:rsidRPr="00C757C5">
              <w:rPr>
                <w:rStyle w:val="Lienhypertexte"/>
                <w:noProof/>
              </w:rPr>
              <w:t>Validation croisée (k-fold)</w:t>
            </w:r>
            <w:r w:rsidR="00FD5052">
              <w:rPr>
                <w:noProof/>
                <w:webHidden/>
              </w:rPr>
              <w:tab/>
            </w:r>
            <w:r w:rsidR="00FD5052">
              <w:rPr>
                <w:noProof/>
                <w:webHidden/>
              </w:rPr>
              <w:fldChar w:fldCharType="begin"/>
            </w:r>
            <w:r w:rsidR="00FD5052">
              <w:rPr>
                <w:noProof/>
                <w:webHidden/>
              </w:rPr>
              <w:instrText xml:space="preserve"> PAGEREF _Toc112955524 \h </w:instrText>
            </w:r>
            <w:r w:rsidR="00FD5052">
              <w:rPr>
                <w:noProof/>
                <w:webHidden/>
              </w:rPr>
            </w:r>
            <w:r w:rsidR="00FD5052">
              <w:rPr>
                <w:noProof/>
                <w:webHidden/>
              </w:rPr>
              <w:fldChar w:fldCharType="separate"/>
            </w:r>
            <w:r w:rsidR="00D2767C">
              <w:rPr>
                <w:noProof/>
                <w:webHidden/>
              </w:rPr>
              <w:t>37</w:t>
            </w:r>
            <w:r w:rsidR="00FD5052">
              <w:rPr>
                <w:noProof/>
                <w:webHidden/>
              </w:rPr>
              <w:fldChar w:fldCharType="end"/>
            </w:r>
          </w:hyperlink>
        </w:p>
        <w:p w14:paraId="54E53E92" w14:textId="21F026DD" w:rsidR="00FD5052" w:rsidRDefault="00423160">
          <w:pPr>
            <w:pStyle w:val="TM3"/>
            <w:tabs>
              <w:tab w:val="right" w:leader="dot" w:pos="9062"/>
            </w:tabs>
            <w:rPr>
              <w:rFonts w:asciiTheme="minorHAnsi" w:eastAsiaTheme="minorEastAsia" w:hAnsiTheme="minorHAnsi"/>
              <w:noProof/>
              <w:lang w:eastAsia="fr-FR"/>
            </w:rPr>
          </w:pPr>
          <w:hyperlink w:anchor="_Toc112955525" w:history="1">
            <w:r w:rsidR="00FD5052" w:rsidRPr="00C757C5">
              <w:rPr>
                <w:rStyle w:val="Lienhypertexte"/>
                <w:noProof/>
              </w:rPr>
              <w:t>Validation de la significativité globale du modèle</w:t>
            </w:r>
            <w:r w:rsidR="00FD5052">
              <w:rPr>
                <w:noProof/>
                <w:webHidden/>
              </w:rPr>
              <w:tab/>
            </w:r>
            <w:r w:rsidR="00FD5052">
              <w:rPr>
                <w:noProof/>
                <w:webHidden/>
              </w:rPr>
              <w:fldChar w:fldCharType="begin"/>
            </w:r>
            <w:r w:rsidR="00FD5052">
              <w:rPr>
                <w:noProof/>
                <w:webHidden/>
              </w:rPr>
              <w:instrText xml:space="preserve"> PAGEREF _Toc112955525 \h </w:instrText>
            </w:r>
            <w:r w:rsidR="00FD5052">
              <w:rPr>
                <w:noProof/>
                <w:webHidden/>
              </w:rPr>
            </w:r>
            <w:r w:rsidR="00FD5052">
              <w:rPr>
                <w:noProof/>
                <w:webHidden/>
              </w:rPr>
              <w:fldChar w:fldCharType="separate"/>
            </w:r>
            <w:r w:rsidR="00D2767C">
              <w:rPr>
                <w:noProof/>
                <w:webHidden/>
              </w:rPr>
              <w:t>38</w:t>
            </w:r>
            <w:r w:rsidR="00FD5052">
              <w:rPr>
                <w:noProof/>
                <w:webHidden/>
              </w:rPr>
              <w:fldChar w:fldCharType="end"/>
            </w:r>
          </w:hyperlink>
        </w:p>
        <w:p w14:paraId="799E4F09" w14:textId="15341936" w:rsidR="00FD5052" w:rsidRDefault="00423160">
          <w:pPr>
            <w:pStyle w:val="TM3"/>
            <w:tabs>
              <w:tab w:val="right" w:leader="dot" w:pos="9062"/>
            </w:tabs>
            <w:rPr>
              <w:rFonts w:asciiTheme="minorHAnsi" w:eastAsiaTheme="minorEastAsia" w:hAnsiTheme="minorHAnsi"/>
              <w:noProof/>
              <w:lang w:eastAsia="fr-FR"/>
            </w:rPr>
          </w:pPr>
          <w:hyperlink w:anchor="_Toc112955526" w:history="1">
            <w:r w:rsidR="00FD5052" w:rsidRPr="00C757C5">
              <w:rPr>
                <w:rStyle w:val="Lienhypertexte"/>
                <w:noProof/>
              </w:rPr>
              <w:t>Validation de la significativité individuelle des coefficients de la régression</w:t>
            </w:r>
            <w:r w:rsidR="00FD5052">
              <w:rPr>
                <w:noProof/>
                <w:webHidden/>
              </w:rPr>
              <w:tab/>
            </w:r>
            <w:r w:rsidR="00FD5052">
              <w:rPr>
                <w:noProof/>
                <w:webHidden/>
              </w:rPr>
              <w:fldChar w:fldCharType="begin"/>
            </w:r>
            <w:r w:rsidR="00FD5052">
              <w:rPr>
                <w:noProof/>
                <w:webHidden/>
              </w:rPr>
              <w:instrText xml:space="preserve"> PAGEREF _Toc112955526 \h </w:instrText>
            </w:r>
            <w:r w:rsidR="00FD5052">
              <w:rPr>
                <w:noProof/>
                <w:webHidden/>
              </w:rPr>
            </w:r>
            <w:r w:rsidR="00FD5052">
              <w:rPr>
                <w:noProof/>
                <w:webHidden/>
              </w:rPr>
              <w:fldChar w:fldCharType="separate"/>
            </w:r>
            <w:r w:rsidR="00D2767C">
              <w:rPr>
                <w:noProof/>
                <w:webHidden/>
              </w:rPr>
              <w:t>39</w:t>
            </w:r>
            <w:r w:rsidR="00FD5052">
              <w:rPr>
                <w:noProof/>
                <w:webHidden/>
              </w:rPr>
              <w:fldChar w:fldCharType="end"/>
            </w:r>
          </w:hyperlink>
        </w:p>
        <w:p w14:paraId="494B10F8" w14:textId="4BD1E23E" w:rsidR="00FD5052" w:rsidRDefault="00423160">
          <w:pPr>
            <w:pStyle w:val="TM3"/>
            <w:tabs>
              <w:tab w:val="right" w:leader="dot" w:pos="9062"/>
            </w:tabs>
            <w:rPr>
              <w:rFonts w:asciiTheme="minorHAnsi" w:eastAsiaTheme="minorEastAsia" w:hAnsiTheme="minorHAnsi"/>
              <w:noProof/>
              <w:lang w:eastAsia="fr-FR"/>
            </w:rPr>
          </w:pPr>
          <w:hyperlink w:anchor="_Toc112955527" w:history="1">
            <w:r w:rsidR="00FD5052" w:rsidRPr="00C757C5">
              <w:rPr>
                <w:rStyle w:val="Lienhypertexte"/>
                <w:noProof/>
              </w:rPr>
              <w:t>Etude des résidus</w:t>
            </w:r>
            <w:r w:rsidR="00FD5052">
              <w:rPr>
                <w:noProof/>
                <w:webHidden/>
              </w:rPr>
              <w:tab/>
            </w:r>
            <w:r w:rsidR="00FD5052">
              <w:rPr>
                <w:noProof/>
                <w:webHidden/>
              </w:rPr>
              <w:fldChar w:fldCharType="begin"/>
            </w:r>
            <w:r w:rsidR="00FD5052">
              <w:rPr>
                <w:noProof/>
                <w:webHidden/>
              </w:rPr>
              <w:instrText xml:space="preserve"> PAGEREF _Toc112955527 \h </w:instrText>
            </w:r>
            <w:r w:rsidR="00FD5052">
              <w:rPr>
                <w:noProof/>
                <w:webHidden/>
              </w:rPr>
            </w:r>
            <w:r w:rsidR="00FD5052">
              <w:rPr>
                <w:noProof/>
                <w:webHidden/>
              </w:rPr>
              <w:fldChar w:fldCharType="separate"/>
            </w:r>
            <w:r w:rsidR="00D2767C">
              <w:rPr>
                <w:noProof/>
                <w:webHidden/>
              </w:rPr>
              <w:t>40</w:t>
            </w:r>
            <w:r w:rsidR="00FD5052">
              <w:rPr>
                <w:noProof/>
                <w:webHidden/>
              </w:rPr>
              <w:fldChar w:fldCharType="end"/>
            </w:r>
          </w:hyperlink>
        </w:p>
        <w:p w14:paraId="5FD6C7F1" w14:textId="566718D8" w:rsidR="00FD5052" w:rsidRDefault="00423160">
          <w:pPr>
            <w:pStyle w:val="TM1"/>
            <w:tabs>
              <w:tab w:val="right" w:leader="dot" w:pos="9062"/>
            </w:tabs>
            <w:rPr>
              <w:rFonts w:asciiTheme="minorHAnsi" w:eastAsiaTheme="minorEastAsia" w:hAnsiTheme="minorHAnsi"/>
              <w:noProof/>
              <w:lang w:eastAsia="fr-FR"/>
            </w:rPr>
          </w:pPr>
          <w:hyperlink w:anchor="_Toc112955528" w:history="1">
            <w:r w:rsidR="00FD5052" w:rsidRPr="00C757C5">
              <w:rPr>
                <w:rStyle w:val="Lienhypertexte"/>
                <w:noProof/>
              </w:rPr>
              <w:t>Conclusion – Pistes pour la suite</w:t>
            </w:r>
            <w:r w:rsidR="00FD5052">
              <w:rPr>
                <w:noProof/>
                <w:webHidden/>
              </w:rPr>
              <w:tab/>
            </w:r>
            <w:r w:rsidR="00FD5052">
              <w:rPr>
                <w:noProof/>
                <w:webHidden/>
              </w:rPr>
              <w:fldChar w:fldCharType="begin"/>
            </w:r>
            <w:r w:rsidR="00FD5052">
              <w:rPr>
                <w:noProof/>
                <w:webHidden/>
              </w:rPr>
              <w:instrText xml:space="preserve"> PAGEREF _Toc112955528 \h </w:instrText>
            </w:r>
            <w:r w:rsidR="00FD5052">
              <w:rPr>
                <w:noProof/>
                <w:webHidden/>
              </w:rPr>
            </w:r>
            <w:r w:rsidR="00FD5052">
              <w:rPr>
                <w:noProof/>
                <w:webHidden/>
              </w:rPr>
              <w:fldChar w:fldCharType="separate"/>
            </w:r>
            <w:r w:rsidR="00D2767C">
              <w:rPr>
                <w:noProof/>
                <w:webHidden/>
              </w:rPr>
              <w:t>41</w:t>
            </w:r>
            <w:r w:rsidR="00FD5052">
              <w:rPr>
                <w:noProof/>
                <w:webHidden/>
              </w:rPr>
              <w:fldChar w:fldCharType="end"/>
            </w:r>
          </w:hyperlink>
        </w:p>
        <w:p w14:paraId="6169CD4F" w14:textId="52F964DC" w:rsidR="00A103B7" w:rsidRDefault="00A103B7">
          <w:r>
            <w:rPr>
              <w:b/>
              <w:bCs/>
            </w:rPr>
            <w:fldChar w:fldCharType="end"/>
          </w:r>
        </w:p>
      </w:sdtContent>
    </w:sdt>
    <w:p w14:paraId="47DB8F7D" w14:textId="6FE19DEF" w:rsidR="009E7804" w:rsidRDefault="00A103B7" w:rsidP="00283363">
      <w:pPr>
        <w:pStyle w:val="Titre1"/>
        <w:jc w:val="center"/>
      </w:pPr>
      <w:r>
        <w:br w:type="page"/>
      </w:r>
      <w:bookmarkStart w:id="2" w:name="_Toc112955484"/>
      <w:r w:rsidR="009E7804">
        <w:lastRenderedPageBreak/>
        <w:t>Introduction</w:t>
      </w:r>
      <w:bookmarkEnd w:id="2"/>
    </w:p>
    <w:p w14:paraId="6EBCCE0A" w14:textId="77777777" w:rsidR="009E7804" w:rsidRDefault="009E7804" w:rsidP="009E7804">
      <w:pPr>
        <w:jc w:val="left"/>
      </w:pPr>
    </w:p>
    <w:p w14:paraId="5C393AC9" w14:textId="77777777" w:rsidR="009E7804" w:rsidRDefault="009E7804" w:rsidP="009E7804">
      <w:pPr>
        <w:pStyle w:val="Sansinterligne"/>
      </w:pPr>
    </w:p>
    <w:p w14:paraId="1A911341" w14:textId="77777777" w:rsidR="009E7804" w:rsidRDefault="009E7804" w:rsidP="009E7804">
      <w:pPr>
        <w:pStyle w:val="Sansinterligne"/>
      </w:pPr>
      <w:r>
        <w:t xml:space="preserve">Entre 2014 et 2018 l’absentéisme en entreprise a progressé de 39% selon </w:t>
      </w:r>
      <w:proofErr w:type="spellStart"/>
      <w:r>
        <w:t>Rehalto</w:t>
      </w:r>
      <w:proofErr w:type="spellEnd"/>
      <w:r>
        <w:t>, cette problématique touche fortement les assureurs qui interviennent dans la couverture des arrêts de travail. Il est donc important pour les assureurs de comprendre ce risque, de le mesurer et de le prévenir.</w:t>
      </w:r>
    </w:p>
    <w:p w14:paraId="4A9C5D1C" w14:textId="77777777" w:rsidR="009E7804" w:rsidRDefault="009E7804" w:rsidP="009E7804">
      <w:pPr>
        <w:pStyle w:val="Sansinterligne"/>
      </w:pPr>
    </w:p>
    <w:p w14:paraId="6BACD35C" w14:textId="77777777" w:rsidR="009E7804" w:rsidRDefault="009E7804" w:rsidP="009E7804">
      <w:pPr>
        <w:pStyle w:val="Sansinterligne"/>
      </w:pPr>
      <w:r>
        <w:t xml:space="preserve">Après avoir rappelé le cadre de la protection sociale en France, du risque arrêt de travail et l’absentéisme en entreprise et nous </w:t>
      </w:r>
      <w:proofErr w:type="gramStart"/>
      <w:r>
        <w:t>tacherons</w:t>
      </w:r>
      <w:proofErr w:type="gramEnd"/>
      <w:r>
        <w:t xml:space="preserve"> d’étudier l’absentéisme sur le portefeuille collectif de Generali composé de plus de 600 000 assurés, en effectuant dans un premier temps une analyse descriptive du portefeuille prévoyance puis en modélisant l’absentéisme via des modèles linéaires généralisés. </w:t>
      </w:r>
    </w:p>
    <w:p w14:paraId="6035689B" w14:textId="77777777" w:rsidR="009E7804" w:rsidRDefault="009E7804" w:rsidP="009E7804">
      <w:pPr>
        <w:pStyle w:val="Sansinterligne"/>
      </w:pPr>
    </w:p>
    <w:p w14:paraId="16DA07E4" w14:textId="7BFAE9A2" w:rsidR="009E7804" w:rsidRDefault="009E7804" w:rsidP="009E7804">
      <w:pPr>
        <w:jc w:val="left"/>
      </w:pPr>
      <w:r>
        <w:t xml:space="preserve">L’enjeu de ce mémoire est de réussir à modéliser l’absentéisme avec les contraintes inhérentes à l’assurance collective. En effet, l’objectif principal est d’introduire un maximum d’outils et de notions pouvant servir à l’avenir à l’établissement d’un baromètre de l’absentéisme sur notre portefeuille. Cette modélisation est d’autant plus importante que le risque arrêt de travail prend de plus en plus de place dans notre société parmi les risques à considérer par l’assureur. </w:t>
      </w:r>
      <w:r>
        <w:br w:type="page"/>
      </w:r>
    </w:p>
    <w:p w14:paraId="4FFA13EF" w14:textId="77777777" w:rsidR="00A103B7" w:rsidRDefault="00A103B7"/>
    <w:p w14:paraId="1EA448A1" w14:textId="61400B47" w:rsidR="00A103B7" w:rsidRDefault="00A103B7" w:rsidP="00163B1C">
      <w:pPr>
        <w:pStyle w:val="Titre1"/>
      </w:pPr>
      <w:bookmarkStart w:id="3" w:name="_Toc112955485"/>
      <w:r w:rsidRPr="009212F2">
        <w:t>Le risque arrêt de travail dans le contexte de l’assurance collective</w:t>
      </w:r>
      <w:bookmarkEnd w:id="3"/>
    </w:p>
    <w:p w14:paraId="70FD84F2" w14:textId="77777777" w:rsidR="00296E07" w:rsidRPr="00296E07" w:rsidRDefault="00296E07" w:rsidP="00296E07"/>
    <w:p w14:paraId="5B5741F6" w14:textId="759FE010" w:rsidR="00296E07" w:rsidRDefault="00296E07" w:rsidP="00296E07">
      <w:r>
        <w:t xml:space="preserve">Dans le cadre de l’étude, nous avons pour objectif d’étudier et de modéliser l’absentéisme sur le portefeuille collectif de Generali Vie. Pour introduire ce vaste sujet, il est naturel de tout d’abord présenter le système de protection sociale français, présentation qui nous amènera à </w:t>
      </w:r>
      <w:r w:rsidR="00214899">
        <w:t>aborder les</w:t>
      </w:r>
      <w:r>
        <w:t xml:space="preserve"> spécificités de la prévoyance collective, </w:t>
      </w:r>
      <w:r w:rsidR="00214899">
        <w:t>ensuite</w:t>
      </w:r>
      <w:r>
        <w:t xml:space="preserve"> à l’aide d’une définition détaillé du concept d’absentéisme en entreprise et des notions actuarielles </w:t>
      </w:r>
      <w:r w:rsidR="00214899">
        <w:t>autour de l’arrêt de travail, nous expliciterons les enjeux et l’importance de l’établissement d’un baromètre de l’absentéisme sur un portefeuille d’assurance collective.</w:t>
      </w:r>
    </w:p>
    <w:p w14:paraId="5C270D8F" w14:textId="77777777" w:rsidR="00296E07" w:rsidRPr="00296E07" w:rsidRDefault="00296E07" w:rsidP="00296E07"/>
    <w:p w14:paraId="6584A4A4" w14:textId="684B171D" w:rsidR="00A103B7" w:rsidRDefault="00A103B7" w:rsidP="00163B1C">
      <w:pPr>
        <w:pStyle w:val="Titre2"/>
      </w:pPr>
      <w:bookmarkStart w:id="4" w:name="_Toc112955486"/>
      <w:r>
        <w:t>Présentation de la protection sociale en France : régime de base et régime complémentaire.</w:t>
      </w:r>
      <w:bookmarkEnd w:id="4"/>
    </w:p>
    <w:p w14:paraId="670D4801" w14:textId="1A5444FB" w:rsidR="009212F2" w:rsidRDefault="00661A1B" w:rsidP="00163B1C">
      <w:r>
        <w:t>La protection sociale désigne l’ensemble des mécanismes qui permettent aux individus de faire face financièrement à certains risques sociaux, à des situations pouvant provoquer une baisse des ressources ou une hausse des dépenses. Ces risques sont les suivants :</w:t>
      </w:r>
    </w:p>
    <w:p w14:paraId="30ACD82C" w14:textId="77777777" w:rsidR="00661A1B" w:rsidRDefault="00661A1B" w:rsidP="00154541">
      <w:pPr>
        <w:pStyle w:val="Paragraphedeliste"/>
        <w:numPr>
          <w:ilvl w:val="0"/>
          <w:numId w:val="1"/>
        </w:numPr>
      </w:pPr>
      <w:r>
        <w:t xml:space="preserve">Santé : actes courants, hospitalisation, optique et dentaire : remboursement des frais médicaux  </w:t>
      </w:r>
    </w:p>
    <w:p w14:paraId="2F159EC9" w14:textId="77777777" w:rsidR="00661A1B" w:rsidRDefault="00661A1B" w:rsidP="00154541">
      <w:pPr>
        <w:pStyle w:val="Paragraphedeliste"/>
        <w:numPr>
          <w:ilvl w:val="0"/>
          <w:numId w:val="1"/>
        </w:numPr>
      </w:pPr>
      <w:r>
        <w:t xml:space="preserve">Arrêt de Travail : incapacité, invalidité, maternité : remboursement d’indemnités journalières pour l’incapacité et la maternité et d’une rente pour l’invalidité </w:t>
      </w:r>
    </w:p>
    <w:p w14:paraId="33D074D4" w14:textId="77777777" w:rsidR="00661A1B" w:rsidRDefault="00661A1B" w:rsidP="00154541">
      <w:pPr>
        <w:pStyle w:val="Paragraphedeliste"/>
        <w:numPr>
          <w:ilvl w:val="0"/>
          <w:numId w:val="1"/>
        </w:numPr>
      </w:pPr>
      <w:r>
        <w:t xml:space="preserve">Décès : versement d’un capital ou d’une rente aux ayants droits </w:t>
      </w:r>
    </w:p>
    <w:p w14:paraId="2DB8AB93" w14:textId="77777777" w:rsidR="00661A1B" w:rsidRDefault="00661A1B" w:rsidP="00154541">
      <w:pPr>
        <w:pStyle w:val="Paragraphedeliste"/>
        <w:numPr>
          <w:ilvl w:val="0"/>
          <w:numId w:val="1"/>
        </w:numPr>
      </w:pPr>
      <w:r>
        <w:t xml:space="preserve">Retraite : constitution d’un capital ou d’une rente </w:t>
      </w:r>
    </w:p>
    <w:p w14:paraId="52BBAACA" w14:textId="77777777" w:rsidR="00661A1B" w:rsidRDefault="00661A1B" w:rsidP="00154541">
      <w:pPr>
        <w:pStyle w:val="Paragraphedeliste"/>
        <w:numPr>
          <w:ilvl w:val="0"/>
          <w:numId w:val="1"/>
        </w:numPr>
      </w:pPr>
      <w:r>
        <w:t xml:space="preserve">Dépendance : versement d’un capital ou d’une rente </w:t>
      </w:r>
    </w:p>
    <w:p w14:paraId="5A20FBA5" w14:textId="45E11E10" w:rsidR="00B320F2" w:rsidRDefault="00661A1B" w:rsidP="00154541">
      <w:pPr>
        <w:pStyle w:val="Paragraphedeliste"/>
        <w:numPr>
          <w:ilvl w:val="0"/>
          <w:numId w:val="1"/>
        </w:numPr>
      </w:pPr>
      <w:r>
        <w:t>Chômage : versement d’indemnités de chômage</w:t>
      </w:r>
    </w:p>
    <w:p w14:paraId="1AE4DBAE" w14:textId="56A922CD" w:rsidR="009212F2" w:rsidRDefault="009212F2" w:rsidP="00163B1C">
      <w:pPr>
        <w:pStyle w:val="Titre3"/>
      </w:pPr>
      <w:bookmarkStart w:id="5" w:name="_Toc112955487"/>
      <w:r w:rsidRPr="009212F2">
        <w:t>Histoire de la protection sociale</w:t>
      </w:r>
      <w:bookmarkEnd w:id="5"/>
    </w:p>
    <w:p w14:paraId="6EBA5A1C" w14:textId="2489A6CC" w:rsidR="00B320F2" w:rsidRDefault="00850EFE" w:rsidP="00163B1C">
      <w:r>
        <w:t>La Sécurité Sociale a été créé e</w:t>
      </w:r>
      <w:r w:rsidR="00B320F2">
        <w:t>n 1945</w:t>
      </w:r>
      <w:r>
        <w:t xml:space="preserve"> via les ordonnances du 4 et 19 octobre en fusionnant toutes les anciennes assurances et avec comme</w:t>
      </w:r>
      <w:r w:rsidR="00B320F2">
        <w:t xml:space="preserve"> triple objectif :</w:t>
      </w:r>
    </w:p>
    <w:p w14:paraId="4956A267" w14:textId="0C84B2AB" w:rsidR="00B320F2" w:rsidRDefault="00850EFE" w:rsidP="00154541">
      <w:pPr>
        <w:pStyle w:val="Paragraphedeliste"/>
        <w:numPr>
          <w:ilvl w:val="0"/>
          <w:numId w:val="2"/>
        </w:numPr>
      </w:pPr>
      <w:r>
        <w:t>Unité de la Sécurité Sociale</w:t>
      </w:r>
    </w:p>
    <w:p w14:paraId="59C6F4AE" w14:textId="28D4C694" w:rsidR="00850EFE" w:rsidRDefault="00850EFE" w:rsidP="00154541">
      <w:pPr>
        <w:pStyle w:val="Paragraphedeliste"/>
        <w:numPr>
          <w:ilvl w:val="0"/>
          <w:numId w:val="2"/>
        </w:numPr>
      </w:pPr>
      <w:r>
        <w:t>Généralisation quant aux personnes</w:t>
      </w:r>
    </w:p>
    <w:p w14:paraId="05D2E161" w14:textId="73D31645" w:rsidR="00850EFE" w:rsidRDefault="00850EFE" w:rsidP="00154541">
      <w:pPr>
        <w:pStyle w:val="Paragraphedeliste"/>
        <w:numPr>
          <w:ilvl w:val="0"/>
          <w:numId w:val="2"/>
        </w:numPr>
      </w:pPr>
      <w:r>
        <w:t>Extension des risques couverts</w:t>
      </w:r>
    </w:p>
    <w:p w14:paraId="040A41CB" w14:textId="7CDF973A" w:rsidR="00850EFE" w:rsidRDefault="00850EFE" w:rsidP="00163B1C">
      <w:r>
        <w:t>L’ordonnance du 4 octobre 1945 prévoit un système coordonné de caisses se s</w:t>
      </w:r>
      <w:r w:rsidR="00823F3F">
        <w:t xml:space="preserve">ubstituant à de multiples organismes existants. Les salariés des régimes spéciaux comme les fonctionnaires, les marins, les cheminots, </w:t>
      </w:r>
      <w:proofErr w:type="spellStart"/>
      <w:r w:rsidR="00823F3F">
        <w:t>etc</w:t>
      </w:r>
      <w:proofErr w:type="spellEnd"/>
      <w:r w:rsidR="00823F3F">
        <w:t xml:space="preserve"> vont refuser de s’intégrer dans le nouveau régime général et conserver dans un cadre « transitoire » qui dure encore, leurs régimes spécifiques.</w:t>
      </w:r>
    </w:p>
    <w:p w14:paraId="28B98D06" w14:textId="45367DC2" w:rsidR="00823F3F" w:rsidRPr="005303CD" w:rsidRDefault="00823F3F" w:rsidP="00163B1C">
      <w:pPr>
        <w:ind w:left="705"/>
      </w:pPr>
      <w:r w:rsidRPr="005303CD">
        <w:rPr>
          <w:color w:val="00B0F0"/>
          <w:u w:val="single"/>
        </w:rPr>
        <w:t>Régime :</w:t>
      </w:r>
      <w:r w:rsidR="005303CD" w:rsidRPr="005303CD">
        <w:t xml:space="preserve"> </w:t>
      </w:r>
      <w:r w:rsidR="005303CD">
        <w:t>Ensemble de droits et obligations réciproques des Employés (et leurs « ayant-droit »), des Patrons, et d'une Caisse de Sécurité Sociale.</w:t>
      </w:r>
    </w:p>
    <w:p w14:paraId="4C4A4984" w14:textId="2ED622C8" w:rsidR="001B3A0A" w:rsidRDefault="00775045" w:rsidP="00163B1C">
      <w:r>
        <w:t>Les trois grands régimes introduits par les ordonnances des 4 et 19 octobre 1945 sont les suivants :</w:t>
      </w:r>
    </w:p>
    <w:p w14:paraId="68012620" w14:textId="4A96B724" w:rsidR="00775045" w:rsidRDefault="00775045" w:rsidP="00154541">
      <w:pPr>
        <w:pStyle w:val="Paragraphedeliste"/>
        <w:numPr>
          <w:ilvl w:val="0"/>
          <w:numId w:val="3"/>
        </w:numPr>
      </w:pPr>
      <w:r>
        <w:t>Régime général : salariés et travailleurs assimilés à des salariés soit environ 80 % de la population.</w:t>
      </w:r>
    </w:p>
    <w:p w14:paraId="12FCC3D0" w14:textId="74678CDE" w:rsidR="00775045" w:rsidRDefault="00775045" w:rsidP="00154541">
      <w:pPr>
        <w:pStyle w:val="Paragraphedeliste"/>
        <w:numPr>
          <w:ilvl w:val="0"/>
          <w:numId w:val="3"/>
        </w:numPr>
      </w:pPr>
      <w:r>
        <w:lastRenderedPageBreak/>
        <w:t xml:space="preserve">Régime des travailleurs non-salariés non agricoles ou Régime social des indépendants ou </w:t>
      </w:r>
      <w:proofErr w:type="gramStart"/>
      <w:r>
        <w:t>RSI  :</w:t>
      </w:r>
      <w:proofErr w:type="gramEnd"/>
      <w:r>
        <w:t xml:space="preserve"> artisans, commerçants et professions libérales.</w:t>
      </w:r>
    </w:p>
    <w:p w14:paraId="462FB395" w14:textId="24F0E7BB" w:rsidR="00775045" w:rsidRDefault="00775045" w:rsidP="00154541">
      <w:pPr>
        <w:pStyle w:val="Paragraphedeliste"/>
        <w:numPr>
          <w:ilvl w:val="0"/>
          <w:numId w:val="3"/>
        </w:numPr>
      </w:pPr>
      <w:r>
        <w:t xml:space="preserve">Régime agricole : exploitants et salariés agricoles, ainsi que certains secteurs rattachés à l’agriculture (ex l’industrie </w:t>
      </w:r>
      <w:proofErr w:type="spellStart"/>
      <w:r>
        <w:t>agro alimentaire</w:t>
      </w:r>
      <w:proofErr w:type="spellEnd"/>
      <w:r>
        <w:t>). Il est géré par la caisse centrale de la Mutualité Sociale Agricole, MSA.</w:t>
      </w:r>
    </w:p>
    <w:p w14:paraId="0C47EF5F" w14:textId="6D61A94F" w:rsidR="00C21A8E" w:rsidRDefault="00775045" w:rsidP="00163B1C">
      <w:r>
        <w:t>La protection sociale était à l'origine financée exclusivement par des cotisations. Le financement s'est diversifié dans les années 1990 avec la CSG et d'autres impôts.</w:t>
      </w:r>
    </w:p>
    <w:p w14:paraId="284868E7" w14:textId="0B9850D5" w:rsidR="00FE2857" w:rsidRDefault="00C21A8E" w:rsidP="00163B1C">
      <w:pPr>
        <w:pStyle w:val="Titre3"/>
      </w:pPr>
      <w:bookmarkStart w:id="6" w:name="_Toc112955488"/>
      <w:r>
        <w:t>Organisation fonctionnelle</w:t>
      </w:r>
      <w:bookmarkEnd w:id="6"/>
    </w:p>
    <w:p w14:paraId="171B5F0B" w14:textId="62D53468" w:rsidR="00C21A8E" w:rsidRDefault="00C21A8E" w:rsidP="00163B1C">
      <w:r>
        <w:t xml:space="preserve">D'un point de vue fonctionnel, l'organisation actuelle de la Sécurité Sociale résulte de l'ordonnance de 1967 qui instaure la séparation de la Sécurité Sociale en 4 branches autonomes. Chaque branche est alors responsable de ses ressources et de ses dépenses. </w:t>
      </w:r>
    </w:p>
    <w:p w14:paraId="20605C60" w14:textId="6203939A" w:rsidR="00C21A8E" w:rsidRDefault="00C21A8E" w:rsidP="00154541">
      <w:pPr>
        <w:pStyle w:val="Paragraphedeliste"/>
        <w:numPr>
          <w:ilvl w:val="0"/>
          <w:numId w:val="4"/>
        </w:numPr>
      </w:pPr>
      <w:r>
        <w:t>Branche Maladie</w:t>
      </w:r>
      <w:r w:rsidR="004167E1">
        <w:t xml:space="preserve"> : </w:t>
      </w:r>
      <w:r>
        <w:t xml:space="preserve">maladie, maternité, paternité, invalidité, décès </w:t>
      </w:r>
    </w:p>
    <w:p w14:paraId="7C16B146" w14:textId="4863A50E" w:rsidR="00C21A8E" w:rsidRDefault="00C21A8E" w:rsidP="00154541">
      <w:pPr>
        <w:pStyle w:val="Paragraphedeliste"/>
        <w:numPr>
          <w:ilvl w:val="0"/>
          <w:numId w:val="4"/>
        </w:numPr>
      </w:pPr>
      <w:r>
        <w:t xml:space="preserve">Branche Accidents du travail et Maladies professionnelles </w:t>
      </w:r>
    </w:p>
    <w:p w14:paraId="4EB8CAFC" w14:textId="5FCB6D84" w:rsidR="00C21A8E" w:rsidRDefault="00C21A8E" w:rsidP="00154541">
      <w:pPr>
        <w:pStyle w:val="Paragraphedeliste"/>
        <w:numPr>
          <w:ilvl w:val="0"/>
          <w:numId w:val="4"/>
        </w:numPr>
      </w:pPr>
      <w:r>
        <w:t>Branche Vieillesse et veuvage</w:t>
      </w:r>
    </w:p>
    <w:p w14:paraId="0A3CE01D" w14:textId="7A5C8123" w:rsidR="004167E1" w:rsidRPr="00070EF6" w:rsidRDefault="00C21A8E" w:rsidP="00154541">
      <w:pPr>
        <w:pStyle w:val="Paragraphedeliste"/>
        <w:numPr>
          <w:ilvl w:val="0"/>
          <w:numId w:val="4"/>
        </w:numPr>
      </w:pPr>
      <w:r>
        <w:t>Branche Famille</w:t>
      </w:r>
      <w:r w:rsidR="004167E1">
        <w:t> :</w:t>
      </w:r>
      <w:r>
        <w:t xml:space="preserve"> handicap, logement, RSA</w:t>
      </w:r>
      <w:r w:rsidR="004167E1">
        <w:t xml:space="preserve"> </w:t>
      </w:r>
      <w:r>
        <w:t>...</w:t>
      </w:r>
    </w:p>
    <w:p w14:paraId="0687836B" w14:textId="054A39CE" w:rsidR="00FE2857" w:rsidRDefault="000273B5" w:rsidP="00163B1C">
      <w:pPr>
        <w:pStyle w:val="Titre3"/>
      </w:pPr>
      <w:bookmarkStart w:id="7" w:name="_Toc112955489"/>
      <w:r>
        <w:t>Détails de l’offre proposée par le régime de base</w:t>
      </w:r>
      <w:bookmarkEnd w:id="7"/>
    </w:p>
    <w:p w14:paraId="2B295F94" w14:textId="2C7450BD" w:rsidR="00D917AA" w:rsidRPr="00D917AA" w:rsidRDefault="00D917AA" w:rsidP="00163B1C">
      <w:pPr>
        <w:pStyle w:val="Titre4"/>
      </w:pPr>
      <w:r>
        <w:t>L’assurance Maladie :</w:t>
      </w:r>
    </w:p>
    <w:p w14:paraId="76ECCF8E" w14:textId="3037C2D0" w:rsidR="001B7625" w:rsidRDefault="004167E1" w:rsidP="00163B1C">
      <w:pPr>
        <w:rPr>
          <w:u w:val="single"/>
        </w:rPr>
      </w:pPr>
      <w:r w:rsidRPr="004167E1">
        <w:rPr>
          <w:u w:val="single"/>
        </w:rPr>
        <w:t>Définition</w:t>
      </w:r>
      <w:r w:rsidR="00C85FED">
        <w:rPr>
          <w:u w:val="single"/>
        </w:rPr>
        <w:t xml:space="preserve"> de</w:t>
      </w:r>
      <w:r w:rsidRPr="004167E1">
        <w:rPr>
          <w:u w:val="single"/>
        </w:rPr>
        <w:t> </w:t>
      </w:r>
      <w:r w:rsidR="00D917AA">
        <w:rPr>
          <w:u w:val="single"/>
        </w:rPr>
        <w:t xml:space="preserve">l’assurance maladie </w:t>
      </w:r>
      <w:r w:rsidRPr="004167E1">
        <w:rPr>
          <w:u w:val="single"/>
        </w:rPr>
        <w:t>:</w:t>
      </w:r>
    </w:p>
    <w:p w14:paraId="55EA3E28" w14:textId="16B1F88E" w:rsidR="00A529CB" w:rsidRPr="00A529CB" w:rsidRDefault="00A529CB" w:rsidP="00163B1C">
      <w:r>
        <w:t>L’assurance maladie est définie dans le cadre de l’a</w:t>
      </w:r>
      <w:r w:rsidRPr="00A529CB">
        <w:t>rticle L321-1 du CSS :</w:t>
      </w:r>
    </w:p>
    <w:p w14:paraId="2EB5393E" w14:textId="6F9B1B54" w:rsidR="00A529CB" w:rsidRDefault="001B7625" w:rsidP="00163B1C">
      <w:r w:rsidRPr="001B7625">
        <w:t xml:space="preserve"> </w:t>
      </w:r>
      <w:r>
        <w:t>« L'assurance maladie comporte (…) l'octroi d'indemnités journalières à l'assuré qui se trouve dans l'incapacité physique constatée par le médecin traitant, (…) de continuer ou de reprendre le travail ; l'incapacité peut être également constatée, dans les mêmes conditions, par la sage-femme dans la limite de sa compétence professionnelle et pour une durée fixée par décret (…) ».</w:t>
      </w:r>
    </w:p>
    <w:p w14:paraId="7282C4BC" w14:textId="01DC2191" w:rsidR="00025912" w:rsidRPr="00025912" w:rsidRDefault="00025912" w:rsidP="00163B1C">
      <w:pPr>
        <w:rPr>
          <w:u w:val="single"/>
        </w:rPr>
      </w:pPr>
      <w:r w:rsidRPr="00025912">
        <w:rPr>
          <w:u w:val="single"/>
        </w:rPr>
        <w:t xml:space="preserve">Conditions d’ouverture </w:t>
      </w:r>
      <w:r w:rsidR="00D917AA" w:rsidRPr="00025912">
        <w:rPr>
          <w:u w:val="single"/>
        </w:rPr>
        <w:t xml:space="preserve">des droits </w:t>
      </w:r>
      <w:r w:rsidR="00D917AA">
        <w:rPr>
          <w:u w:val="single"/>
        </w:rPr>
        <w:t xml:space="preserve">de l’assurance </w:t>
      </w:r>
      <w:r w:rsidR="00D917AA" w:rsidRPr="00025912">
        <w:rPr>
          <w:u w:val="single"/>
        </w:rPr>
        <w:t>maladie</w:t>
      </w:r>
      <w:r w:rsidRPr="00025912">
        <w:rPr>
          <w:u w:val="single"/>
        </w:rPr>
        <w:t> :</w:t>
      </w:r>
    </w:p>
    <w:p w14:paraId="2BD91364" w14:textId="69941F54" w:rsidR="00025912" w:rsidRDefault="00025912" w:rsidP="00163B1C">
      <w:r>
        <w:t>Des conditions d’ouverture des droits s’appliquent en fonction de la durée de l’arrêt de travail et de la situation de l’assuré :</w:t>
      </w:r>
    </w:p>
    <w:p w14:paraId="294E28C2" w14:textId="080E60BC" w:rsidR="00025912" w:rsidRDefault="00025912" w:rsidP="00154541">
      <w:pPr>
        <w:pStyle w:val="Paragraphedeliste"/>
        <w:numPr>
          <w:ilvl w:val="0"/>
          <w:numId w:val="5"/>
        </w:numPr>
      </w:pPr>
      <w:r>
        <w:t>Si l’arrêt de travail est inférieur à 6 mois :</w:t>
      </w:r>
    </w:p>
    <w:p w14:paraId="226EBC5A" w14:textId="76F5A906" w:rsidR="00025912" w:rsidRDefault="00025912" w:rsidP="00154541">
      <w:pPr>
        <w:pStyle w:val="Paragraphedeliste"/>
        <w:numPr>
          <w:ilvl w:val="1"/>
          <w:numId w:val="5"/>
        </w:numPr>
        <w:ind w:left="1210"/>
      </w:pPr>
      <w:r>
        <w:t>Avoir travaillé au moins 150 heures au cours des trois mois précédant l'arrêt de travail</w:t>
      </w:r>
    </w:p>
    <w:p w14:paraId="49624F94" w14:textId="192F83CF" w:rsidR="00025912" w:rsidRDefault="00025912" w:rsidP="00154541">
      <w:pPr>
        <w:pStyle w:val="Paragraphedeliste"/>
        <w:numPr>
          <w:ilvl w:val="1"/>
          <w:numId w:val="5"/>
        </w:numPr>
        <w:ind w:left="1210"/>
      </w:pPr>
      <w:r>
        <w:t>Ou avoir cotisé sur un salaire au moins égal à 1 015 fois le montant du SMIC horaire au cours des six mois précédant l'arrêt</w:t>
      </w:r>
    </w:p>
    <w:p w14:paraId="4593C7E1" w14:textId="784FEFFE" w:rsidR="00025912" w:rsidRDefault="00025912" w:rsidP="00154541">
      <w:pPr>
        <w:pStyle w:val="Paragraphedeliste"/>
        <w:numPr>
          <w:ilvl w:val="0"/>
          <w:numId w:val="5"/>
        </w:numPr>
      </w:pPr>
      <w:r>
        <w:t>Si l’arrêt de travail est supérieur à 6 mois :</w:t>
      </w:r>
    </w:p>
    <w:p w14:paraId="2DB6EB45" w14:textId="17B9D39B" w:rsidR="00025912" w:rsidRDefault="00025912" w:rsidP="00154541">
      <w:pPr>
        <w:pStyle w:val="Paragraphedeliste"/>
        <w:numPr>
          <w:ilvl w:val="1"/>
          <w:numId w:val="5"/>
        </w:numPr>
        <w:ind w:left="1210"/>
      </w:pPr>
      <w:r>
        <w:t>Justifier à la date de l’arrêt, de douze mois d'immatriculation en tant qu'assuré social auprès de l'Assurance Maladie</w:t>
      </w:r>
    </w:p>
    <w:p w14:paraId="4CE1CE7C" w14:textId="4EF79CA7" w:rsidR="00025912" w:rsidRDefault="00025912" w:rsidP="00154541">
      <w:pPr>
        <w:pStyle w:val="Paragraphedeliste"/>
        <w:numPr>
          <w:ilvl w:val="1"/>
          <w:numId w:val="5"/>
        </w:numPr>
        <w:ind w:left="1210"/>
      </w:pPr>
      <w:r>
        <w:t>Avoir travaillé au moins 600 heures au cours des douze derniers mois</w:t>
      </w:r>
    </w:p>
    <w:p w14:paraId="0C41871E" w14:textId="6D1980EF" w:rsidR="00025912" w:rsidRDefault="00025912" w:rsidP="00154541">
      <w:pPr>
        <w:pStyle w:val="Paragraphedeliste"/>
        <w:numPr>
          <w:ilvl w:val="1"/>
          <w:numId w:val="5"/>
        </w:numPr>
        <w:ind w:left="1210"/>
      </w:pPr>
      <w:r>
        <w:t>Ou avoir cotisé sur un salaire au moins égal à 2 030 fois le montant du SMIC horaire au cours des douze mois précédant l'arrêt de travail, dont au moins 1 015 fois le montant du SMIC horaire au cours des six premiers mois</w:t>
      </w:r>
    </w:p>
    <w:p w14:paraId="06742F50" w14:textId="30A1CD6D" w:rsidR="00025912" w:rsidRDefault="00B610EB" w:rsidP="00163B1C">
      <w:pPr>
        <w:rPr>
          <w:u w:val="single"/>
        </w:rPr>
      </w:pPr>
      <w:r>
        <w:rPr>
          <w:u w:val="single"/>
        </w:rPr>
        <w:t>Les</w:t>
      </w:r>
      <w:r w:rsidRPr="00B610EB">
        <w:rPr>
          <w:u w:val="single"/>
        </w:rPr>
        <w:t xml:space="preserve"> indemnités journalières ;</w:t>
      </w:r>
    </w:p>
    <w:p w14:paraId="60765DF6" w14:textId="78599248" w:rsidR="00B610EB" w:rsidRDefault="00B610EB" w:rsidP="00154541">
      <w:pPr>
        <w:pStyle w:val="Paragraphedeliste"/>
        <w:numPr>
          <w:ilvl w:val="0"/>
          <w:numId w:val="6"/>
        </w:numPr>
        <w:ind w:left="1210"/>
      </w:pPr>
      <w:r>
        <w:t>Durée de service des indemnités journalières :</w:t>
      </w:r>
    </w:p>
    <w:p w14:paraId="0A953C44" w14:textId="0492702D" w:rsidR="00B610EB" w:rsidRDefault="00B610EB" w:rsidP="00163B1C">
      <w:r>
        <w:t>L’indemnité journalière est accordée à partir d’un délai de carence de 3 jours (1 jour pour les fonctionnaires), ce délai de carence ne s’applique pas dans les cas suivants :</w:t>
      </w:r>
    </w:p>
    <w:p w14:paraId="775D972A" w14:textId="4639A5A2" w:rsidR="00B610EB" w:rsidRDefault="00B610EB" w:rsidP="00154541">
      <w:pPr>
        <w:pStyle w:val="Paragraphedeliste"/>
        <w:numPr>
          <w:ilvl w:val="0"/>
          <w:numId w:val="7"/>
        </w:numPr>
      </w:pPr>
      <w:r>
        <w:lastRenderedPageBreak/>
        <w:t xml:space="preserve">En cas de reprise d’activité entre deux prescriptions d’arrêt de travail qui ne dépasse pas 48 heures </w:t>
      </w:r>
    </w:p>
    <w:p w14:paraId="07F27DEF" w14:textId="09856DB6" w:rsidR="00B610EB" w:rsidRDefault="00B610EB" w:rsidP="00154541">
      <w:pPr>
        <w:pStyle w:val="Paragraphedeliste"/>
        <w:numPr>
          <w:ilvl w:val="0"/>
          <w:numId w:val="7"/>
        </w:numPr>
      </w:pPr>
      <w:r>
        <w:t>L’assuré est en affection de longue durée et les arrêts sont en rapport à cette maladie alors le délai de carence ne s’applique que pour le premier arrêt.</w:t>
      </w:r>
    </w:p>
    <w:p w14:paraId="661E9F89" w14:textId="72EDF8C8" w:rsidR="00B610EB" w:rsidRPr="00B610EB" w:rsidRDefault="00B610EB" w:rsidP="00163B1C">
      <w:r>
        <w:t>L’indemnité journalière est due au titre de chaque jour, ouvrable ou non.</w:t>
      </w:r>
    </w:p>
    <w:p w14:paraId="4990150B" w14:textId="77777777" w:rsidR="009410B2" w:rsidRDefault="00B610EB" w:rsidP="00163B1C">
      <w:r>
        <w:t>Les causes de sorties de l’état d’incapacité sont : le rétablissement, le passage en invalidité et le décès.</w:t>
      </w:r>
    </w:p>
    <w:p w14:paraId="695A8A9B" w14:textId="097C52F2" w:rsidR="009410B2" w:rsidRDefault="009410B2" w:rsidP="00154541">
      <w:pPr>
        <w:pStyle w:val="Paragraphedeliste"/>
        <w:numPr>
          <w:ilvl w:val="0"/>
          <w:numId w:val="6"/>
        </w:numPr>
        <w:ind w:left="1210"/>
      </w:pPr>
      <w:r>
        <w:t>Montant de l’indemnité journalière :</w:t>
      </w:r>
    </w:p>
    <w:p w14:paraId="20A4D62C" w14:textId="77777777" w:rsidR="009410B2" w:rsidRDefault="009410B2" w:rsidP="00163B1C">
      <w:r>
        <w:t>Le montant de l’indemnité journalière versée par la Sécurité Sociale est calculé via le salaire journalier de base dont le calcul est détaillé ci-dessous et est égale à 50% du salaire journalier de base.</w:t>
      </w:r>
    </w:p>
    <w:p w14:paraId="69DADB8E" w14:textId="77777777" w:rsidR="009410B2" w:rsidRDefault="009410B2" w:rsidP="00163B1C">
      <w:r>
        <w:t>Salaire journalier de base : ce salaire est la moyenne des salaires bruts des 3 derniers mois travaillés précédant l’arrêt, plafonné à 1.8 SMIC (</w:t>
      </w:r>
      <w:r w:rsidRPr="009410B2">
        <w:t>3 022,11 €</w:t>
      </w:r>
      <w:r>
        <w:t xml:space="preserve"> au 1</w:t>
      </w:r>
      <w:r w:rsidRPr="009410B2">
        <w:rPr>
          <w:vertAlign w:val="superscript"/>
        </w:rPr>
        <w:t>er</w:t>
      </w:r>
      <w:r>
        <w:t xml:space="preserve"> aout 2022), c’est-à-dire :</w:t>
      </w:r>
    </w:p>
    <w:p w14:paraId="6F082857" w14:textId="0F1C0819" w:rsidR="00242245" w:rsidRPr="00242245" w:rsidRDefault="00242245" w:rsidP="00163B1C">
      <m:oMath>
        <m:r>
          <w:rPr>
            <w:rFonts w:ascii="Cambria Math" w:hAnsi="Cambria Math"/>
          </w:rPr>
          <m:t xml:space="preserve">Salaire journalier de base= </m:t>
        </m:r>
        <m:r>
          <m:rPr>
            <m:sty m:val="p"/>
          </m:rPr>
          <w:rPr>
            <w:rFonts w:ascii="Cambria Math" w:hAnsi="Cambria Math"/>
          </w:rPr>
          <m:t>min⁡</m:t>
        </m:r>
        <m:r>
          <w:rPr>
            <w:rFonts w:ascii="Cambria Math" w:hAnsi="Cambria Math"/>
          </w:rPr>
          <m:t>(</m:t>
        </m:r>
        <m:f>
          <m:fPr>
            <m:ctrlPr>
              <w:rPr>
                <w:rFonts w:ascii="Cambria Math" w:hAnsi="Cambria Math"/>
                <w:i/>
              </w:rPr>
            </m:ctrlPr>
          </m:fPr>
          <m:num>
            <m:r>
              <w:rPr>
                <w:rFonts w:ascii="Cambria Math" w:hAnsi="Cambria Math"/>
              </w:rPr>
              <m:t>Somme des salaire bruts des 3 derniers mois</m:t>
            </m:r>
          </m:num>
          <m:den>
            <m:r>
              <w:rPr>
                <w:rFonts w:ascii="Cambria Math" w:hAnsi="Cambria Math"/>
              </w:rPr>
              <m:t>91,25</m:t>
            </m:r>
          </m:den>
        </m:f>
        <m:r>
          <w:rPr>
            <w:rFonts w:ascii="Cambria Math" w:hAnsi="Cambria Math"/>
          </w:rPr>
          <m:t xml:space="preserve">;1,8*SMIC) </m:t>
        </m:r>
      </m:oMath>
      <w:r>
        <w:t xml:space="preserve">        </w:t>
      </w:r>
      <w:r w:rsidRPr="00242245">
        <w:rPr>
          <w:sz w:val="16"/>
          <w:szCs w:val="16"/>
        </w:rPr>
        <w:t>(Décret n° 2010-1305 -29/10/10)</w:t>
      </w:r>
    </w:p>
    <w:p w14:paraId="31EBA8D7" w14:textId="276883F5" w:rsidR="00EB7709" w:rsidRDefault="007E5C00" w:rsidP="00163B1C">
      <w:r>
        <w:t>L’indemnité peut notamment être</w:t>
      </w:r>
      <w:r w:rsidR="00D917AA">
        <w:t xml:space="preserve"> revalorisée en cas d’augmentation générale des salaires de l’entreprise durant l’arrêt.</w:t>
      </w:r>
    </w:p>
    <w:p w14:paraId="409929DC" w14:textId="3C731E91" w:rsidR="00D917AA" w:rsidRPr="00D917AA" w:rsidRDefault="00D917AA" w:rsidP="00163B1C">
      <w:pPr>
        <w:pStyle w:val="Titre4"/>
      </w:pPr>
      <w:r>
        <w:t>L’assurance Maternité</w:t>
      </w:r>
      <w:r w:rsidR="00ED15F7">
        <w:t xml:space="preserve"> et congé Paternité</w:t>
      </w:r>
    </w:p>
    <w:p w14:paraId="464D5C8A" w14:textId="351F1445" w:rsidR="00D917AA" w:rsidRPr="00025912" w:rsidRDefault="00D917AA" w:rsidP="00163B1C">
      <w:pPr>
        <w:rPr>
          <w:u w:val="single"/>
        </w:rPr>
      </w:pPr>
      <w:r w:rsidRPr="00025912">
        <w:rPr>
          <w:u w:val="single"/>
        </w:rPr>
        <w:t xml:space="preserve">Conditions d’ouverture des droits </w:t>
      </w:r>
      <w:r>
        <w:rPr>
          <w:u w:val="single"/>
        </w:rPr>
        <w:t>de l’assurance maternité</w:t>
      </w:r>
      <w:r w:rsidR="00ED15F7">
        <w:rPr>
          <w:u w:val="single"/>
        </w:rPr>
        <w:t>/paternité</w:t>
      </w:r>
      <w:r w:rsidRPr="00025912">
        <w:rPr>
          <w:u w:val="single"/>
        </w:rPr>
        <w:t> :</w:t>
      </w:r>
    </w:p>
    <w:p w14:paraId="5D7B908F" w14:textId="4B2C33F4" w:rsidR="00D917AA" w:rsidRDefault="00D917AA" w:rsidP="00163B1C">
      <w:r>
        <w:t xml:space="preserve">Les conditions d’ouverture des droits à l’assurance </w:t>
      </w:r>
      <w:r w:rsidR="00ED15F7">
        <w:t>M</w:t>
      </w:r>
      <w:r>
        <w:t>aternité</w:t>
      </w:r>
      <w:r w:rsidR="00ED15F7">
        <w:t xml:space="preserve"> et le congé Paternité</w:t>
      </w:r>
      <w:r>
        <w:t xml:space="preserve"> sont les suivantes :</w:t>
      </w:r>
    </w:p>
    <w:p w14:paraId="333F0A9F" w14:textId="679F4F7C" w:rsidR="00ED15F7" w:rsidRDefault="00ED15F7" w:rsidP="00154541">
      <w:pPr>
        <w:pStyle w:val="Paragraphedeliste"/>
        <w:numPr>
          <w:ilvl w:val="0"/>
          <w:numId w:val="8"/>
        </w:numPr>
      </w:pPr>
      <w:r>
        <w:t>Pour l’assurance maternité :</w:t>
      </w:r>
    </w:p>
    <w:p w14:paraId="1C9D8649" w14:textId="16D373DC" w:rsidR="00ED15F7" w:rsidRDefault="00EB7709" w:rsidP="00154541">
      <w:pPr>
        <w:pStyle w:val="Paragraphedeliste"/>
        <w:numPr>
          <w:ilvl w:val="1"/>
          <w:numId w:val="8"/>
        </w:numPr>
        <w:ind w:left="1210"/>
      </w:pPr>
      <w:r>
        <w:t>Être</w:t>
      </w:r>
      <w:r w:rsidR="00D917AA">
        <w:t xml:space="preserve"> immatriculée en tant qu'assurée sociale depuis au moins 10 mois, à la date prévue de l’accouchement </w:t>
      </w:r>
    </w:p>
    <w:p w14:paraId="726219D8" w14:textId="77777777" w:rsidR="00EB7709" w:rsidRDefault="00D917AA" w:rsidP="00154541">
      <w:pPr>
        <w:pStyle w:val="Paragraphedeliste"/>
        <w:numPr>
          <w:ilvl w:val="1"/>
          <w:numId w:val="8"/>
        </w:numPr>
        <w:ind w:left="1210"/>
      </w:pPr>
      <w:r>
        <w:t xml:space="preserve">Avoir cotisé sur un salaire au moins égal à 1 015 fois la valeur du SMIC horaire au cours des six mois civils précédant la date du début de la grossesse ou du début </w:t>
      </w:r>
    </w:p>
    <w:p w14:paraId="62D67751" w14:textId="08B40EC3" w:rsidR="00D917AA" w:rsidRDefault="00D917AA" w:rsidP="00154541">
      <w:pPr>
        <w:pStyle w:val="Paragraphedeliste"/>
        <w:numPr>
          <w:ilvl w:val="1"/>
          <w:numId w:val="8"/>
        </w:numPr>
        <w:ind w:left="1210"/>
      </w:pPr>
      <w:r>
        <w:t>Ou avoir effectué au moins 150 heures de travail au cours des trois mois précédant l'arrêt de travail, à la date du début de la grossesse ou du début du congé prénatal</w:t>
      </w:r>
    </w:p>
    <w:p w14:paraId="68CB8C46" w14:textId="3AD3198E" w:rsidR="00ED15F7" w:rsidRDefault="00ED15F7" w:rsidP="00154541">
      <w:pPr>
        <w:pStyle w:val="Paragraphedeliste"/>
        <w:numPr>
          <w:ilvl w:val="0"/>
          <w:numId w:val="8"/>
        </w:numPr>
      </w:pPr>
      <w:r>
        <w:t>Pour le congé paternité :</w:t>
      </w:r>
    </w:p>
    <w:p w14:paraId="4F88341A" w14:textId="7D8256E1" w:rsidR="00ED15F7" w:rsidRDefault="00ED15F7" w:rsidP="00154541">
      <w:pPr>
        <w:pStyle w:val="Paragraphedeliste"/>
        <w:numPr>
          <w:ilvl w:val="1"/>
          <w:numId w:val="8"/>
        </w:numPr>
        <w:ind w:left="1210"/>
      </w:pPr>
      <w:r>
        <w:t>Justifier d'au moins 10 mois d'immatriculation en tant qu'assuré social à la date de début du congé</w:t>
      </w:r>
    </w:p>
    <w:p w14:paraId="1F14F42F" w14:textId="3D2E8362" w:rsidR="00D917AA" w:rsidRDefault="00ED15F7" w:rsidP="00154541">
      <w:pPr>
        <w:pStyle w:val="Paragraphedeliste"/>
        <w:numPr>
          <w:ilvl w:val="1"/>
          <w:numId w:val="8"/>
        </w:numPr>
        <w:ind w:left="1210"/>
      </w:pPr>
      <w:r>
        <w:t>Avoir travaillé au moins 150 heures au cours des trois mois précédant la date de début du congé ou avoir cotisé sur un salaire au moins égal à 1 015 fois le montant du SMIC horaire au cours des six mois précédant le début du congé</w:t>
      </w:r>
    </w:p>
    <w:p w14:paraId="5FB82E70" w14:textId="7B6C084A" w:rsidR="00ED15F7" w:rsidRDefault="00ED15F7" w:rsidP="00163B1C">
      <w:pPr>
        <w:rPr>
          <w:u w:val="single"/>
        </w:rPr>
      </w:pPr>
      <w:r>
        <w:rPr>
          <w:u w:val="single"/>
        </w:rPr>
        <w:t>Les</w:t>
      </w:r>
      <w:r w:rsidRPr="00B610EB">
        <w:rPr>
          <w:u w:val="single"/>
        </w:rPr>
        <w:t xml:space="preserve"> indemnités journalières</w:t>
      </w:r>
      <w:r w:rsidR="00C85FED">
        <w:rPr>
          <w:u w:val="single"/>
        </w:rPr>
        <w:t> :</w:t>
      </w:r>
    </w:p>
    <w:p w14:paraId="4066E062" w14:textId="369DB005" w:rsidR="00ED15F7" w:rsidRDefault="00ED15F7" w:rsidP="00154541">
      <w:pPr>
        <w:pStyle w:val="Paragraphedeliste"/>
        <w:numPr>
          <w:ilvl w:val="0"/>
          <w:numId w:val="6"/>
        </w:numPr>
        <w:ind w:left="1210"/>
      </w:pPr>
      <w:r>
        <w:t>Durée de service des indemnités journalières :</w:t>
      </w:r>
    </w:p>
    <w:p w14:paraId="2B737843" w14:textId="77777777" w:rsidR="00913A68" w:rsidRDefault="00ED15F7" w:rsidP="00163B1C">
      <w:r>
        <w:t>Le niveau de l’indemnité journalière due au titre du congé maternité</w:t>
      </w:r>
      <w:r w:rsidR="00913A68">
        <w:t>/paternité</w:t>
      </w:r>
      <w:r>
        <w:t xml:space="preserve"> est d’abord limité par la durée légale du congé : </w:t>
      </w:r>
    </w:p>
    <w:p w14:paraId="106C2521" w14:textId="66CEBD95" w:rsidR="00ED15F7" w:rsidRDefault="00913A68" w:rsidP="00154541">
      <w:pPr>
        <w:pStyle w:val="Paragraphedeliste"/>
        <w:numPr>
          <w:ilvl w:val="0"/>
          <w:numId w:val="9"/>
        </w:numPr>
      </w:pPr>
      <w:r>
        <w:t xml:space="preserve">Congé Maternité : </w:t>
      </w:r>
      <w:r w:rsidR="00ED15F7">
        <w:t>16 semaines (peut être plus longue selon le nombre d’enfants de l’assuré et le nombre d’enfants attendus)</w:t>
      </w:r>
    </w:p>
    <w:p w14:paraId="0AFBE980" w14:textId="244BD7DE" w:rsidR="00913A68" w:rsidRDefault="00913A68" w:rsidP="00154541">
      <w:pPr>
        <w:pStyle w:val="Paragraphedeliste"/>
        <w:numPr>
          <w:ilvl w:val="0"/>
          <w:numId w:val="9"/>
        </w:numPr>
      </w:pPr>
      <w:r>
        <w:lastRenderedPageBreak/>
        <w:t>Congé Paternité : 11 jours consécutifs maximum, 18 en cas de naissance multiple, ce congé est à prendre par le père dans les 4 mois suivants la naissance</w:t>
      </w:r>
    </w:p>
    <w:p w14:paraId="396A6448" w14:textId="7B91F443" w:rsidR="00913A68" w:rsidRDefault="00ED15F7" w:rsidP="00163B1C">
      <w:r>
        <w:t>Il n’y a aucun délai de carence.</w:t>
      </w:r>
    </w:p>
    <w:p w14:paraId="5A4BCA22" w14:textId="7482A02D" w:rsidR="00913A68" w:rsidRDefault="00913A68" w:rsidP="00154541">
      <w:pPr>
        <w:pStyle w:val="Paragraphedeliste"/>
        <w:numPr>
          <w:ilvl w:val="0"/>
          <w:numId w:val="6"/>
        </w:numPr>
        <w:ind w:left="1210"/>
      </w:pPr>
      <w:r>
        <w:t>Montant de l’indemnité journalière :</w:t>
      </w:r>
    </w:p>
    <w:p w14:paraId="5247C9B8" w14:textId="77777777" w:rsidR="00F16702" w:rsidRDefault="00F16702" w:rsidP="00163B1C">
      <w:pPr>
        <w:pStyle w:val="Paragraphedeliste"/>
        <w:ind w:left="1423"/>
      </w:pPr>
    </w:p>
    <w:p w14:paraId="743B72D3" w14:textId="184AEA8B" w:rsidR="00913A68" w:rsidRDefault="00913A68" w:rsidP="00154541">
      <w:pPr>
        <w:pStyle w:val="Paragraphedeliste"/>
        <w:numPr>
          <w:ilvl w:val="0"/>
          <w:numId w:val="10"/>
        </w:numPr>
      </w:pPr>
      <w:r>
        <w:t>L’indemnité journalière Maternité : moyenne des salaires nets des prélèvements légaux et conventionnels et de la CSG (déduction forfaitaire 21%), limités à la Tranche A (= 1PMSS </w:t>
      </w:r>
      <w:r w:rsidRPr="00913A68">
        <w:t>: 3 428 €</w:t>
      </w:r>
      <w:r>
        <w:t xml:space="preserve"> en 2022</w:t>
      </w:r>
      <w:r w:rsidRPr="00913A68">
        <w:t>)</w:t>
      </w:r>
      <w:r>
        <w:t xml:space="preserve"> des trois mois précédant le congé prénatal.</w:t>
      </w:r>
    </w:p>
    <w:p w14:paraId="25554E07" w14:textId="1A42465C" w:rsidR="00913A68" w:rsidRDefault="00913A68" w:rsidP="00154541">
      <w:pPr>
        <w:pStyle w:val="Paragraphedeliste"/>
        <w:numPr>
          <w:ilvl w:val="0"/>
          <w:numId w:val="10"/>
        </w:numPr>
      </w:pPr>
      <w:r>
        <w:t>L’indemnité journalière Paternité : moyenne des salaires nets des prélèvements légaux et conventionnels et de la CSG, limités à la Tranche A des trois mois précédant le congé prénatal.</w:t>
      </w:r>
    </w:p>
    <w:p w14:paraId="6769165A" w14:textId="374F082D" w:rsidR="00913A68" w:rsidRDefault="00913A68" w:rsidP="00163B1C">
      <w:pPr>
        <w:pStyle w:val="Titre4"/>
      </w:pPr>
      <w:r>
        <w:t>L’assurance Invalidité</w:t>
      </w:r>
    </w:p>
    <w:p w14:paraId="21DF6507" w14:textId="6B365D9E" w:rsidR="00A529CB" w:rsidRPr="004167E1" w:rsidRDefault="00A529CB" w:rsidP="00163B1C">
      <w:pPr>
        <w:rPr>
          <w:u w:val="single"/>
        </w:rPr>
      </w:pPr>
      <w:r w:rsidRPr="004167E1">
        <w:rPr>
          <w:u w:val="single"/>
        </w:rPr>
        <w:t>Définition </w:t>
      </w:r>
      <w:r>
        <w:rPr>
          <w:u w:val="single"/>
        </w:rPr>
        <w:t xml:space="preserve">l’assurance invalidité </w:t>
      </w:r>
      <w:r w:rsidRPr="004167E1">
        <w:rPr>
          <w:u w:val="single"/>
        </w:rPr>
        <w:t>:</w:t>
      </w:r>
    </w:p>
    <w:p w14:paraId="4D38F51C" w14:textId="37014CCD" w:rsidR="00A529CB" w:rsidRDefault="00A529CB" w:rsidP="00163B1C">
      <w:r>
        <w:t>L’assurance invalidité est définie dans le cadre de</w:t>
      </w:r>
      <w:r w:rsidR="003E0C37">
        <w:t>s</w:t>
      </w:r>
      <w:r>
        <w:t xml:space="preserve"> </w:t>
      </w:r>
      <w:r w:rsidR="003E0C37">
        <w:t>articles suivants</w:t>
      </w:r>
      <w:r w:rsidR="000046F7">
        <w:t xml:space="preserve"> comme étant le droit d’avoir accès à une pension lorsque l’assuré présente une invalidité réduisant sa capacité de travail ou de gains dans des proportions déterminées</w:t>
      </w:r>
      <w:r w:rsidR="003E0C37">
        <w:t xml:space="preserve"> </w:t>
      </w:r>
      <w:r>
        <w:t>:</w:t>
      </w:r>
    </w:p>
    <w:p w14:paraId="5430EA8E" w14:textId="29DE1FAB" w:rsidR="00A529CB" w:rsidRDefault="003E0C37" w:rsidP="00163B1C">
      <w:r>
        <w:t xml:space="preserve">Article L341-1 du CSS : </w:t>
      </w:r>
      <w:r w:rsidR="00A529CB">
        <w:t>« L'assuré a droit à une pension d'invalidité lorsqu'il présente une invalidité réduisant dans des proportions déterminées sa capacité de travail ou de gain, c'est-à-dire le mettant hors d'état de se procurer un salaire supérieur à une fraction de la rémunération soumise à cotisations et contributions sociales qu'il percevait dans la profession qu'il exerçait avant la date de l'interruption de travail suivie d'invalidité ou la date de la constatation médicale de l'invalidité. »</w:t>
      </w:r>
    </w:p>
    <w:p w14:paraId="3BEF7DC3" w14:textId="6DB2551B" w:rsidR="003E0C37" w:rsidRDefault="003E0C37" w:rsidP="00163B1C">
      <w:r>
        <w:t xml:space="preserve">Article R341-2 du CSS : « Pour l'application des dispositions de l'article L. 341-1 : </w:t>
      </w:r>
    </w:p>
    <w:p w14:paraId="69C701D0" w14:textId="2FC88F9E" w:rsidR="003E0C37" w:rsidRDefault="003E0C37" w:rsidP="00154541">
      <w:pPr>
        <w:pStyle w:val="Paragraphedeliste"/>
        <w:numPr>
          <w:ilvl w:val="0"/>
          <w:numId w:val="11"/>
        </w:numPr>
      </w:pPr>
      <w:r>
        <w:t xml:space="preserve">L’invalidité que présente l'assuré doit réduire au moins des 2/3 sa capacité de travail ou de gain  </w:t>
      </w:r>
    </w:p>
    <w:p w14:paraId="7F8495D9" w14:textId="28344192" w:rsidR="00A529CB" w:rsidRDefault="003E0C37" w:rsidP="00154541">
      <w:pPr>
        <w:pStyle w:val="Paragraphedeliste"/>
        <w:numPr>
          <w:ilvl w:val="0"/>
          <w:numId w:val="11"/>
        </w:numPr>
      </w:pPr>
      <w:r>
        <w:t>Le salaire de référence ne doit pas être supérieur au tiers de la rémunération normale mentionnée audit article. »</w:t>
      </w:r>
    </w:p>
    <w:p w14:paraId="3CDCEE25" w14:textId="77777777" w:rsidR="003E0C37" w:rsidRDefault="003E0C37" w:rsidP="00163B1C">
      <w:r>
        <w:t xml:space="preserve">Article L341-4 du CSS : « En vue de la détermination du montant de la pension, les invalides sont classés comme suit : </w:t>
      </w:r>
    </w:p>
    <w:p w14:paraId="04C9C288" w14:textId="77777777" w:rsidR="003E0C37" w:rsidRDefault="003E0C37" w:rsidP="00154541">
      <w:pPr>
        <w:pStyle w:val="Paragraphedeliste"/>
        <w:numPr>
          <w:ilvl w:val="0"/>
          <w:numId w:val="12"/>
        </w:numPr>
      </w:pPr>
      <w:r>
        <w:t xml:space="preserve">Invalides capables d'exercer une activité rémunérée ; </w:t>
      </w:r>
    </w:p>
    <w:p w14:paraId="63734EB6" w14:textId="77777777" w:rsidR="003E0C37" w:rsidRDefault="003E0C37" w:rsidP="00154541">
      <w:pPr>
        <w:pStyle w:val="Paragraphedeliste"/>
        <w:numPr>
          <w:ilvl w:val="0"/>
          <w:numId w:val="12"/>
        </w:numPr>
      </w:pPr>
      <w:r>
        <w:t xml:space="preserve">Invalides absolument incapables d'exercer une profession quelconque ; </w:t>
      </w:r>
    </w:p>
    <w:p w14:paraId="68BD1599" w14:textId="1BE83BE9" w:rsidR="001B7625" w:rsidRPr="00FE2857" w:rsidRDefault="003E0C37" w:rsidP="00154541">
      <w:pPr>
        <w:pStyle w:val="Paragraphedeliste"/>
        <w:numPr>
          <w:ilvl w:val="0"/>
          <w:numId w:val="12"/>
        </w:numPr>
      </w:pPr>
      <w:r>
        <w:t>Invalides qui, étant absolument incapables d'exercer une profession, sont, en outre, dans l'obligation d'avoir recours à l'assistance d'une tierce personne pour effectuer les actes ordinaires de la vie. »</w:t>
      </w:r>
    </w:p>
    <w:p w14:paraId="12ACFFD7" w14:textId="5944A37D" w:rsidR="003E0C37" w:rsidRPr="00025912" w:rsidRDefault="003E0C37" w:rsidP="00163B1C">
      <w:pPr>
        <w:rPr>
          <w:u w:val="single"/>
        </w:rPr>
      </w:pPr>
      <w:r w:rsidRPr="00025912">
        <w:rPr>
          <w:u w:val="single"/>
        </w:rPr>
        <w:t xml:space="preserve">Conditions d’ouverture des droits </w:t>
      </w:r>
      <w:r>
        <w:rPr>
          <w:u w:val="single"/>
        </w:rPr>
        <w:t>de l’assurance Invalidité</w:t>
      </w:r>
      <w:r w:rsidRPr="00025912">
        <w:rPr>
          <w:u w:val="single"/>
        </w:rPr>
        <w:t> :</w:t>
      </w:r>
    </w:p>
    <w:p w14:paraId="5D272E0A" w14:textId="0AA36211" w:rsidR="00397EA1" w:rsidRDefault="003E0C37" w:rsidP="00163B1C">
      <w:r>
        <w:t>Les conditions d’ouverture des droits à l’assurance Invalidité sont les suivantes :</w:t>
      </w:r>
    </w:p>
    <w:p w14:paraId="6884B631" w14:textId="7DBD357E" w:rsidR="00397EA1" w:rsidRDefault="00397EA1" w:rsidP="00154541">
      <w:pPr>
        <w:pStyle w:val="Paragraphedeliste"/>
        <w:numPr>
          <w:ilvl w:val="0"/>
          <w:numId w:val="8"/>
        </w:numPr>
      </w:pPr>
      <w:r>
        <w:t>Être</w:t>
      </w:r>
      <w:r w:rsidRPr="00397EA1">
        <w:t xml:space="preserve"> </w:t>
      </w:r>
      <w:r>
        <w:t xml:space="preserve">immatriculé depuis au moins 12 mois au moment de l'arrêt de travail </w:t>
      </w:r>
      <w:proofErr w:type="gramStart"/>
      <w:r>
        <w:t>suite à</w:t>
      </w:r>
      <w:proofErr w:type="gramEnd"/>
      <w:r>
        <w:t xml:space="preserve"> l’invalidité ou au moment de la constatation de l’invalidité par le médecin conseil de la caisse d'Assurance Maladie ;</w:t>
      </w:r>
    </w:p>
    <w:p w14:paraId="04B654A8" w14:textId="490878D7" w:rsidR="00397EA1" w:rsidRDefault="00397EA1" w:rsidP="00154541">
      <w:pPr>
        <w:pStyle w:val="Paragraphedeliste"/>
        <w:numPr>
          <w:ilvl w:val="0"/>
          <w:numId w:val="8"/>
        </w:numPr>
      </w:pPr>
      <w:r>
        <w:t>Justifier, au cours des 12 mois qui précédent l’arrêt de travail pour invalidité ou constatation médicale de l'invalidité,</w:t>
      </w:r>
    </w:p>
    <w:p w14:paraId="6510B46F" w14:textId="7A92317E" w:rsidR="00397EA1" w:rsidRDefault="00397EA1" w:rsidP="00154541">
      <w:pPr>
        <w:pStyle w:val="Paragraphedeliste"/>
        <w:numPr>
          <w:ilvl w:val="1"/>
          <w:numId w:val="8"/>
        </w:numPr>
        <w:ind w:left="1210"/>
      </w:pPr>
      <w:r>
        <w:t>Soit avoir effectué au moins 600 heures de travail salarié ;</w:t>
      </w:r>
    </w:p>
    <w:p w14:paraId="0282C8AC" w14:textId="2F6E1C79" w:rsidR="00397EA1" w:rsidRDefault="00397EA1" w:rsidP="00154541">
      <w:pPr>
        <w:pStyle w:val="Paragraphedeliste"/>
        <w:numPr>
          <w:ilvl w:val="1"/>
          <w:numId w:val="8"/>
        </w:numPr>
        <w:ind w:left="1210"/>
      </w:pPr>
      <w:r>
        <w:t>Soit avoir cotisé sur un salaire au moins égal à 2 030 fois le SMIC horaire.</w:t>
      </w:r>
    </w:p>
    <w:p w14:paraId="1BC19310" w14:textId="59E7F587" w:rsidR="000046F7" w:rsidRPr="000046F7" w:rsidRDefault="00C85FED" w:rsidP="00163B1C">
      <w:pPr>
        <w:rPr>
          <w:u w:val="single"/>
        </w:rPr>
      </w:pPr>
      <w:r>
        <w:rPr>
          <w:u w:val="single"/>
        </w:rPr>
        <w:lastRenderedPageBreak/>
        <w:t>La pension d’invalidité :</w:t>
      </w:r>
    </w:p>
    <w:p w14:paraId="680739B8" w14:textId="77777777" w:rsidR="000046F7" w:rsidRDefault="000046F7" w:rsidP="00154541">
      <w:pPr>
        <w:pStyle w:val="Paragraphedeliste"/>
        <w:numPr>
          <w:ilvl w:val="0"/>
          <w:numId w:val="6"/>
        </w:numPr>
        <w:ind w:left="1210"/>
      </w:pPr>
      <w:r>
        <w:t>Durée de service des indemnités journalières :</w:t>
      </w:r>
    </w:p>
    <w:p w14:paraId="584E2A6F" w14:textId="34CEABBA" w:rsidR="00F16702" w:rsidRPr="00F16702" w:rsidRDefault="000046F7" w:rsidP="00163B1C">
      <w:r>
        <w:t xml:space="preserve">La pension invalidité </w:t>
      </w:r>
      <w:r w:rsidR="00F16702">
        <w:t>est interrompue en totalité ou en partie en cas de reprise du travail, sinon elle prend fin à l’âge de la retraite prévu par la loi, elle est alors remplacée par la pension de vieillesse allouée en cas d’inaptitude au travail.</w:t>
      </w:r>
    </w:p>
    <w:p w14:paraId="49BEB911" w14:textId="3AE8326C" w:rsidR="00F16702" w:rsidRDefault="00F16702" w:rsidP="00154541">
      <w:pPr>
        <w:pStyle w:val="Paragraphedeliste"/>
        <w:numPr>
          <w:ilvl w:val="0"/>
          <w:numId w:val="6"/>
        </w:numPr>
        <w:ind w:left="1210"/>
      </w:pPr>
      <w:r>
        <w:t>Montant de la pension invalidité :</w:t>
      </w:r>
    </w:p>
    <w:p w14:paraId="3C4872D0" w14:textId="2122DB28" w:rsidR="00F16702" w:rsidRDefault="00F16702" w:rsidP="00163B1C">
      <w:r>
        <w:t xml:space="preserve">Le montant de la pension d’invalidité versée par la Sécurité Sociale est calculé via le salaire annuel moyen égal à la moyenne des salaires annuels </w:t>
      </w:r>
      <w:r w:rsidR="00C85FED">
        <w:t>bruts plafonnés à la tranche A des dix meilleures années d’activité</w:t>
      </w:r>
      <w:r>
        <w:t>.</w:t>
      </w:r>
      <w:r w:rsidR="00C85FED">
        <w:t xml:space="preserve"> Le montant de la pension d’invalidité est le suivant :</w:t>
      </w:r>
    </w:p>
    <w:p w14:paraId="0AAA569F" w14:textId="7DA030A7" w:rsidR="00C85FED" w:rsidRDefault="00C85FED" w:rsidP="00154541">
      <w:pPr>
        <w:pStyle w:val="Paragraphedeliste"/>
        <w:numPr>
          <w:ilvl w:val="0"/>
          <w:numId w:val="13"/>
        </w:numPr>
      </w:pPr>
      <w:r>
        <w:t xml:space="preserve">1ère catégorie = 30 % du salaire annuel moyen </w:t>
      </w:r>
    </w:p>
    <w:p w14:paraId="33F55EF9" w14:textId="1B19FB56" w:rsidR="00C85FED" w:rsidRDefault="00C85FED" w:rsidP="00154541">
      <w:pPr>
        <w:pStyle w:val="Paragraphedeliste"/>
        <w:numPr>
          <w:ilvl w:val="0"/>
          <w:numId w:val="13"/>
        </w:numPr>
      </w:pPr>
      <w:r>
        <w:t xml:space="preserve">2ème catégorie = 50 % du salaire annuel moyen </w:t>
      </w:r>
    </w:p>
    <w:p w14:paraId="06AA7078" w14:textId="4A582D6F" w:rsidR="00C85FED" w:rsidRPr="005F1B32" w:rsidRDefault="00C85FED" w:rsidP="00154541">
      <w:pPr>
        <w:pStyle w:val="Paragraphedeliste"/>
        <w:numPr>
          <w:ilvl w:val="0"/>
          <w:numId w:val="13"/>
        </w:numPr>
      </w:pPr>
      <w:r>
        <w:t xml:space="preserve">3ème catégorie = 50 % du salaire annuel moyen majoré de l’allocation tierce personne </w:t>
      </w:r>
    </w:p>
    <w:p w14:paraId="16AC71DC" w14:textId="5145FEBE" w:rsidR="00C85FED" w:rsidRPr="005F1B32" w:rsidRDefault="00C85FED" w:rsidP="00163B1C">
      <w:pPr>
        <w:pStyle w:val="Titre4"/>
      </w:pPr>
      <w:r>
        <w:t>L’assurance Décès</w:t>
      </w:r>
    </w:p>
    <w:p w14:paraId="447536A4" w14:textId="1FEFD17F" w:rsidR="00C85FED" w:rsidRDefault="00C85FED" w:rsidP="00163B1C">
      <w:pPr>
        <w:rPr>
          <w:u w:val="single"/>
        </w:rPr>
      </w:pPr>
      <w:r w:rsidRPr="004167E1">
        <w:rPr>
          <w:u w:val="single"/>
        </w:rPr>
        <w:t>Définition</w:t>
      </w:r>
      <w:r>
        <w:rPr>
          <w:u w:val="single"/>
        </w:rPr>
        <w:t xml:space="preserve"> et condition d’ouverture des droits de</w:t>
      </w:r>
      <w:r w:rsidRPr="004167E1">
        <w:rPr>
          <w:u w:val="single"/>
        </w:rPr>
        <w:t> </w:t>
      </w:r>
      <w:r>
        <w:rPr>
          <w:u w:val="single"/>
        </w:rPr>
        <w:t xml:space="preserve">l’assurance </w:t>
      </w:r>
      <w:r w:rsidR="00D5746E">
        <w:rPr>
          <w:u w:val="single"/>
        </w:rPr>
        <w:t>Décès</w:t>
      </w:r>
      <w:r>
        <w:rPr>
          <w:u w:val="single"/>
        </w:rPr>
        <w:t xml:space="preserve"> </w:t>
      </w:r>
      <w:r w:rsidRPr="004167E1">
        <w:rPr>
          <w:u w:val="single"/>
        </w:rPr>
        <w:t>:</w:t>
      </w:r>
    </w:p>
    <w:p w14:paraId="1A4594AC" w14:textId="66607A75" w:rsidR="00C85FED" w:rsidRPr="00C85FED" w:rsidRDefault="00C85FED" w:rsidP="00163B1C">
      <w:r>
        <w:t>D’après l’article L361-1 du CSS, l’assurance décès garantit aux ayants droit de l’assuré le paiement d’un capital égal à un multiple du gain journalier de base lorsque l’assuré exerçait une activité salariée moins de trois mois avant le décès, s’il était titulaire d’une pension d’invalidité ou d’une rente allouée en vertu de la législation sur les accidents du travail et maladies professionnelles ou lorsqu’il bénéficiait, au moment du décès, du maintien de ses droits à l’assurance décès.</w:t>
      </w:r>
    </w:p>
    <w:p w14:paraId="4659B203" w14:textId="612CBDCF" w:rsidR="00CE0C9B" w:rsidRDefault="00CE0C9B" w:rsidP="00163B1C">
      <w:pPr>
        <w:rPr>
          <w:u w:val="single"/>
        </w:rPr>
      </w:pPr>
      <w:r>
        <w:rPr>
          <w:u w:val="single"/>
        </w:rPr>
        <w:t xml:space="preserve">Montant du capital décès </w:t>
      </w:r>
      <w:r w:rsidRPr="004167E1">
        <w:rPr>
          <w:u w:val="single"/>
        </w:rPr>
        <w:t>:</w:t>
      </w:r>
    </w:p>
    <w:p w14:paraId="0D0801DD" w14:textId="38C74F9D" w:rsidR="00CE0C9B" w:rsidRDefault="00CE0C9B" w:rsidP="00163B1C">
      <w:r>
        <w:t>Depuis la loi de financement de la sécurité social de 2015, il est égal à un montant forfaitaire fixé par décret et revalorisé chaque année (3 539€ en 2022).</w:t>
      </w:r>
    </w:p>
    <w:p w14:paraId="760F5FD2" w14:textId="5CCCD2FE" w:rsidR="00CE0C9B" w:rsidRDefault="00CE0C9B" w:rsidP="00163B1C">
      <w:pPr>
        <w:pStyle w:val="Titre4"/>
      </w:pPr>
      <w:r>
        <w:t>L’assurance Accident du travail et Maladie Professionnelle</w:t>
      </w:r>
    </w:p>
    <w:p w14:paraId="7468B2CE" w14:textId="3EEB6D71" w:rsidR="00D5746E" w:rsidRDefault="00D5746E" w:rsidP="00163B1C">
      <w:pPr>
        <w:rPr>
          <w:u w:val="single"/>
        </w:rPr>
      </w:pPr>
      <w:r w:rsidRPr="004167E1">
        <w:rPr>
          <w:u w:val="single"/>
        </w:rPr>
        <w:t>Définition</w:t>
      </w:r>
      <w:r w:rsidR="00AC7AE8">
        <w:rPr>
          <w:u w:val="single"/>
        </w:rPr>
        <w:t>s</w:t>
      </w:r>
      <w:r>
        <w:rPr>
          <w:u w:val="single"/>
        </w:rPr>
        <w:t xml:space="preserve"> </w:t>
      </w:r>
      <w:r w:rsidRPr="004167E1">
        <w:rPr>
          <w:u w:val="single"/>
        </w:rPr>
        <w:t>:</w:t>
      </w:r>
    </w:p>
    <w:p w14:paraId="7E8896E5" w14:textId="74F46F8A" w:rsidR="00CE0C9B" w:rsidRDefault="00AC7AE8" w:rsidP="00163B1C">
      <w:r>
        <w:t>D’après l’article L411-1 du CSS, est considéré comme accident du travail un accident survenu par le fait ou à l’occasion du travail à toute personne salariée ou travaillant, à quelque titre ou en quelque lieu que ce soit, pour un ou plusieurs employeurs ou chefs d'entreprise. De plus, est aussi considéré comme accident du travail l'accident qui est survenu à un travailleur, pendant le trajet d'aller et de retour, entre :</w:t>
      </w:r>
    </w:p>
    <w:p w14:paraId="6067FF9C" w14:textId="79DF82CB" w:rsidR="00AC7AE8" w:rsidRDefault="00AC7AE8" w:rsidP="00154541">
      <w:pPr>
        <w:pStyle w:val="Paragraphedeliste"/>
        <w:numPr>
          <w:ilvl w:val="0"/>
          <w:numId w:val="14"/>
        </w:numPr>
        <w:ind w:left="1210"/>
      </w:pPr>
      <w:r>
        <w:t>Tout lieu où le travailleur se rend de façon habituelle (résidence principale, résidence secondaire, …) et le lieu de travail.</w:t>
      </w:r>
    </w:p>
    <w:p w14:paraId="0EA9A640" w14:textId="24FE71FF" w:rsidR="00AC7AE8" w:rsidRDefault="00456F0C" w:rsidP="00154541">
      <w:pPr>
        <w:pStyle w:val="Paragraphedeliste"/>
        <w:numPr>
          <w:ilvl w:val="0"/>
          <w:numId w:val="14"/>
        </w:numPr>
        <w:ind w:left="1210"/>
      </w:pPr>
      <w:r>
        <w:t>Le lieu où le travailleur prend habituellement ses repas dans la mesure où le parcours n'a pas été interrompu ou détourné pour un motif dicté par l'intérêt personnel et étranger aux nécessités essentielles de la vie courante ou indépendant de l'emploi et le lieu de travail.</w:t>
      </w:r>
    </w:p>
    <w:p w14:paraId="5068068C" w14:textId="69CBC8C8" w:rsidR="00456F0C" w:rsidRDefault="00456F0C" w:rsidP="00163B1C">
      <w:r>
        <w:t>Pour ce qui est des maladies professionnelles, d’après l’article L411-1, est présumée d'origine professionnelle toute maladie désignée dans un tableau de maladies professionnelles et contractée dans les conditions mentionnées à ce tableau.</w:t>
      </w:r>
    </w:p>
    <w:p w14:paraId="41456C4F" w14:textId="5B7D16AB" w:rsidR="00D5746E" w:rsidRDefault="00456F0C" w:rsidP="00163B1C">
      <w:pPr>
        <w:tabs>
          <w:tab w:val="left" w:pos="1770"/>
        </w:tabs>
      </w:pPr>
      <w:r>
        <w:t>Aucune condition n’est formulée pour l’ouverture des droits.</w:t>
      </w:r>
    </w:p>
    <w:p w14:paraId="1B628B7D" w14:textId="188882A1" w:rsidR="00456F0C" w:rsidRDefault="00456F0C" w:rsidP="00163B1C">
      <w:pPr>
        <w:rPr>
          <w:u w:val="single"/>
        </w:rPr>
      </w:pPr>
      <w:r>
        <w:rPr>
          <w:u w:val="single"/>
        </w:rPr>
        <w:t>Les</w:t>
      </w:r>
      <w:r w:rsidRPr="00B610EB">
        <w:rPr>
          <w:u w:val="single"/>
        </w:rPr>
        <w:t xml:space="preserve"> indemnités journalières</w:t>
      </w:r>
      <w:r>
        <w:rPr>
          <w:u w:val="single"/>
        </w:rPr>
        <w:t> :</w:t>
      </w:r>
    </w:p>
    <w:p w14:paraId="48080EF0" w14:textId="429AAA93" w:rsidR="00456F0C" w:rsidRPr="00456F0C" w:rsidRDefault="00456F0C" w:rsidP="00154541">
      <w:pPr>
        <w:pStyle w:val="Paragraphedeliste"/>
        <w:numPr>
          <w:ilvl w:val="0"/>
          <w:numId w:val="6"/>
        </w:numPr>
        <w:ind w:left="1210"/>
      </w:pPr>
      <w:r>
        <w:t>Délai de carence :</w:t>
      </w:r>
    </w:p>
    <w:p w14:paraId="68DB7F60" w14:textId="773B7A9F" w:rsidR="00456F0C" w:rsidRDefault="00456F0C" w:rsidP="00163B1C">
      <w:pPr>
        <w:tabs>
          <w:tab w:val="left" w:pos="1770"/>
        </w:tabs>
      </w:pPr>
      <w:r>
        <w:lastRenderedPageBreak/>
        <w:t>Aucun délai de carence n’est applicable : l’indemnité est due à partir du 1er jour suivant l'arrêt du travail, pendant toute la période d'incapacité de travail qui précède soit la guérison complète, soit la consolidation de l’état ou le décès.</w:t>
      </w:r>
    </w:p>
    <w:p w14:paraId="1C983E4C" w14:textId="0F36986D" w:rsidR="00456F0C" w:rsidRDefault="00456F0C" w:rsidP="00154541">
      <w:pPr>
        <w:pStyle w:val="Paragraphedeliste"/>
        <w:numPr>
          <w:ilvl w:val="0"/>
          <w:numId w:val="6"/>
        </w:numPr>
        <w:ind w:left="1210"/>
      </w:pPr>
      <w:r>
        <w:t>Montant de l’indemnisation :</w:t>
      </w:r>
    </w:p>
    <w:p w14:paraId="3FDC15C8" w14:textId="59546557" w:rsidR="00456F0C" w:rsidRDefault="00456F0C" w:rsidP="00163B1C">
      <w:pPr>
        <w:tabs>
          <w:tab w:val="left" w:pos="1770"/>
        </w:tabs>
      </w:pPr>
      <w:r>
        <w:t>Ce montant est calculé via le salaire journalier de base dont le calcul a été détaillé précédemment, le montant de l’indemnité est le suivant :</w:t>
      </w:r>
    </w:p>
    <w:p w14:paraId="64FCF09F" w14:textId="6C8C20CC" w:rsidR="00456F0C" w:rsidRDefault="00456F0C" w:rsidP="00154541">
      <w:pPr>
        <w:pStyle w:val="Paragraphedeliste"/>
        <w:numPr>
          <w:ilvl w:val="0"/>
          <w:numId w:val="15"/>
        </w:numPr>
        <w:tabs>
          <w:tab w:val="left" w:pos="1770"/>
        </w:tabs>
      </w:pPr>
      <w:r>
        <w:t>60 % du salaire journalier de base jusqu’au 28ème jour</w:t>
      </w:r>
    </w:p>
    <w:p w14:paraId="2FE4CDE9" w14:textId="3AA81224" w:rsidR="00D5746E" w:rsidRDefault="00456F0C" w:rsidP="00154541">
      <w:pPr>
        <w:pStyle w:val="Paragraphedeliste"/>
        <w:numPr>
          <w:ilvl w:val="0"/>
          <w:numId w:val="15"/>
        </w:numPr>
        <w:tabs>
          <w:tab w:val="left" w:pos="1770"/>
        </w:tabs>
      </w:pPr>
      <w:r>
        <w:t xml:space="preserve">80 % du salaire journalier de base à partir du 29ème jour d’arrêt </w:t>
      </w:r>
    </w:p>
    <w:p w14:paraId="7D755CBD" w14:textId="14C052CC" w:rsidR="000649C9" w:rsidRDefault="000649C9" w:rsidP="00163B1C">
      <w:r>
        <w:t>De plus, une des spécificités de cette assurance est le taux d’incapacité permanente, taux qui est proposé par un médecin conseil lors d’un contrôle médical organisé par la caisse d’Assurance Maladie de l’assuré.</w:t>
      </w:r>
    </w:p>
    <w:p w14:paraId="31352B89" w14:textId="5FEA3CD1" w:rsidR="000649C9" w:rsidRDefault="000649C9" w:rsidP="00163B1C">
      <w:r>
        <w:t>Le montant de la prestation est alors dicté par ce taux :</w:t>
      </w:r>
    </w:p>
    <w:p w14:paraId="382BF751" w14:textId="43A80C93" w:rsidR="000649C9" w:rsidRDefault="000649C9" w:rsidP="00154541">
      <w:pPr>
        <w:pStyle w:val="Paragraphedeliste"/>
        <w:numPr>
          <w:ilvl w:val="0"/>
          <w:numId w:val="16"/>
        </w:numPr>
      </w:pPr>
      <w:r>
        <w:t>Si taux &lt; 10% : Un capital est versé en fonction du taux d’incapacité de la victime sur la base d’un barème forfaitaire.</w:t>
      </w:r>
    </w:p>
    <w:p w14:paraId="6FEC317F" w14:textId="5954B0D4" w:rsidR="00A74A85" w:rsidRDefault="00A74A85" w:rsidP="00154541">
      <w:pPr>
        <w:pStyle w:val="Paragraphedeliste"/>
        <w:numPr>
          <w:ilvl w:val="0"/>
          <w:numId w:val="16"/>
        </w:numPr>
      </w:pPr>
      <w:r>
        <w:t>Si taux ≥ 10% : Versement d’une rente viagère égale au salaire annuel multiplié par le taux d'incapacité qui peut être réduit ou augmenté en fonction de la gravité de celle-ci</w:t>
      </w:r>
    </w:p>
    <w:p w14:paraId="5D45632E" w14:textId="4AD4C0CB" w:rsidR="00B71D8B" w:rsidRDefault="00B71D8B">
      <w:pPr>
        <w:jc w:val="left"/>
        <w:rPr>
          <w:rFonts w:eastAsiaTheme="majorEastAsia" w:cstheme="majorBidi"/>
          <w:color w:val="00B0F0"/>
          <w:sz w:val="24"/>
          <w:szCs w:val="24"/>
        </w:rPr>
      </w:pPr>
    </w:p>
    <w:p w14:paraId="59E3018C" w14:textId="0527A72F" w:rsidR="000273B5" w:rsidRPr="000273B5" w:rsidRDefault="000273B5" w:rsidP="00163B1C">
      <w:pPr>
        <w:pStyle w:val="Titre3"/>
      </w:pPr>
      <w:bookmarkStart w:id="8" w:name="_Toc112955490"/>
      <w:r>
        <w:t>Panorama de l’offre de couverture complémentaire</w:t>
      </w:r>
      <w:bookmarkEnd w:id="8"/>
    </w:p>
    <w:p w14:paraId="1F0B726C" w14:textId="63EF6D62" w:rsidR="003C752A" w:rsidRDefault="000273B5" w:rsidP="00163B1C">
      <w:pPr>
        <w:pStyle w:val="Titre4"/>
      </w:pPr>
      <w:r>
        <w:t>Organisation du marché de l’assurance complémentaire</w:t>
      </w:r>
    </w:p>
    <w:p w14:paraId="2B210989" w14:textId="3924649B" w:rsidR="003C752A" w:rsidRDefault="003C752A" w:rsidP="00163B1C">
      <w:r>
        <w:t xml:space="preserve">Le marché de l’assurance complémentaire est </w:t>
      </w:r>
      <w:r w:rsidR="005F1B32">
        <w:t>composé</w:t>
      </w:r>
      <w:r>
        <w:t xml:space="preserve"> </w:t>
      </w:r>
      <w:r w:rsidR="005F1B32">
        <w:t>de</w:t>
      </w:r>
      <w:r>
        <w:t xml:space="preserve"> quatre acteurs principaux :</w:t>
      </w:r>
    </w:p>
    <w:p w14:paraId="37841B24" w14:textId="159ECB85" w:rsidR="003C752A" w:rsidRDefault="003C752A" w:rsidP="00154541">
      <w:pPr>
        <w:pStyle w:val="Paragraphedeliste"/>
        <w:numPr>
          <w:ilvl w:val="0"/>
          <w:numId w:val="6"/>
        </w:numPr>
        <w:ind w:left="927"/>
      </w:pPr>
      <w:r w:rsidRPr="005F1B32">
        <w:rPr>
          <w:b/>
          <w:bCs/>
        </w:rPr>
        <w:t>Les organismes assureur :</w:t>
      </w:r>
      <w:r>
        <w:t xml:space="preserve"> mutuelle, institut de prévoyance, société d’assurance. Ces organismes sont régis par des réglementations différentes et ont un mode de fonctionnement qui leur est propre et chaque organisme à son domaine d’intervention privilégié.</w:t>
      </w:r>
    </w:p>
    <w:p w14:paraId="2A7350E5" w14:textId="014799DE" w:rsidR="003C752A" w:rsidRDefault="003C752A" w:rsidP="00154541">
      <w:pPr>
        <w:pStyle w:val="Paragraphedeliste"/>
        <w:numPr>
          <w:ilvl w:val="0"/>
          <w:numId w:val="6"/>
        </w:numPr>
        <w:ind w:left="927"/>
      </w:pPr>
      <w:r w:rsidRPr="005F1B32">
        <w:rPr>
          <w:b/>
          <w:bCs/>
        </w:rPr>
        <w:t>Les courtiers :</w:t>
      </w:r>
      <w:r>
        <w:t xml:space="preserve"> c’est un travailleur indépendant qui n’est pas lié à une compagnie d’assurance, il est un intermédiaire au contrat.</w:t>
      </w:r>
    </w:p>
    <w:p w14:paraId="2D5264F8" w14:textId="3135A03F" w:rsidR="003C752A" w:rsidRDefault="003C752A" w:rsidP="00154541">
      <w:pPr>
        <w:pStyle w:val="Paragraphedeliste"/>
        <w:numPr>
          <w:ilvl w:val="0"/>
          <w:numId w:val="6"/>
        </w:numPr>
        <w:ind w:left="927"/>
      </w:pPr>
      <w:r w:rsidRPr="005F1B32">
        <w:rPr>
          <w:b/>
          <w:bCs/>
        </w:rPr>
        <w:t>Les gestionnaires :</w:t>
      </w:r>
      <w:r>
        <w:t xml:space="preserve"> soit rattachés de près ou de loin à un cabinet de courtage, soit indépendants, ces entreprises sont dédiées à la gestion administrative des contrats de Prévoyance, Santé, contrats Emprunteurs, …</w:t>
      </w:r>
    </w:p>
    <w:p w14:paraId="5D32F36F" w14:textId="492B2B7F" w:rsidR="000273B5" w:rsidRDefault="003C752A" w:rsidP="00154541">
      <w:pPr>
        <w:pStyle w:val="Paragraphedeliste"/>
        <w:numPr>
          <w:ilvl w:val="0"/>
          <w:numId w:val="6"/>
        </w:numPr>
        <w:ind w:left="927"/>
      </w:pPr>
      <w:r w:rsidRPr="005F1B32">
        <w:rPr>
          <w:b/>
          <w:bCs/>
        </w:rPr>
        <w:t>Les entreprises de conseil :</w:t>
      </w:r>
      <w:r w:rsidR="00F22DB5">
        <w:t xml:space="preserve"> elles portent assistance à l’entreprise </w:t>
      </w:r>
      <w:r w:rsidR="00FB0A25">
        <w:t>et possède des domaines de compétences et d’interventions souvent variés (Retraite, Santé, Prévoyance, …)</w:t>
      </w:r>
    </w:p>
    <w:p w14:paraId="3A5E2A8D" w14:textId="2D76D890" w:rsidR="000046F7" w:rsidRDefault="004108B0" w:rsidP="00163B1C">
      <w:pPr>
        <w:pStyle w:val="Titre4"/>
      </w:pPr>
      <w:r>
        <w:t>Les garanties de prévoyance complémentaire</w:t>
      </w:r>
    </w:p>
    <w:p w14:paraId="085D59F0" w14:textId="7BCC6CAC" w:rsidR="004108B0" w:rsidRDefault="004108B0" w:rsidP="00163B1C">
      <w:r>
        <w:t>Dans un premier temps, il faut distinguer les deux secteurs principaux du périmètre de la protection sociale complémentaire en France, ces deux secteurs sont : L’épargne retraite et la Prévoyance.</w:t>
      </w:r>
    </w:p>
    <w:p w14:paraId="5F2BF73B" w14:textId="0767EBE3" w:rsidR="004108B0" w:rsidRDefault="004108B0" w:rsidP="00163B1C">
      <w:r>
        <w:t>Les garanties collectives d’un tel contrat ont objectif de prévoir pour les salariés, les anciens salariés et leurs ayants droit, la couverture du risque décès, des risques portant atteinte à l'intégrité physique de la personne ou liés à la maternité, des risques d'incapacité de travail ou d'invalidité, des risques d'inaptitude et du risque chômage, ainsi que la constitution d'avantages sous forme de pensions de retraite, d'indemnités ou de primes de départ en retraite ou de fin de carrière.</w:t>
      </w:r>
    </w:p>
    <w:p w14:paraId="2D3B3B21" w14:textId="66B9D3A9" w:rsidR="003F0B1C" w:rsidRDefault="003F0B1C" w:rsidP="00154541">
      <w:pPr>
        <w:pStyle w:val="Paragraphedeliste"/>
        <w:numPr>
          <w:ilvl w:val="0"/>
          <w:numId w:val="17"/>
        </w:numPr>
        <w:ind w:left="1210"/>
      </w:pPr>
      <w:r>
        <w:t>Les Frais de Santé</w:t>
      </w:r>
    </w:p>
    <w:p w14:paraId="01F9DF07" w14:textId="01A0A58A" w:rsidR="002E13A3" w:rsidRDefault="002E13A3" w:rsidP="002E13A3">
      <w:r>
        <w:lastRenderedPageBreak/>
        <w:t xml:space="preserve">La garantie complémentaire frais de santé intervient en complément de la Sécurité Sociale, </w:t>
      </w:r>
      <w:proofErr w:type="gramStart"/>
      <w:r>
        <w:t>voire même</w:t>
      </w:r>
      <w:proofErr w:type="gramEnd"/>
      <w:r>
        <w:t xml:space="preserve"> dans certains cas lorsque la Sécurité Sociale n’intervient pas.</w:t>
      </w:r>
    </w:p>
    <w:p w14:paraId="155C7EDD" w14:textId="77777777" w:rsidR="004057A7" w:rsidRDefault="00723223" w:rsidP="004057A7">
      <w:pPr>
        <w:keepNext/>
        <w:jc w:val="center"/>
      </w:pPr>
      <w:r>
        <w:rPr>
          <w:noProof/>
        </w:rPr>
        <w:drawing>
          <wp:inline distT="0" distB="0" distL="0" distR="0" wp14:anchorId="2511DEE9" wp14:editId="0048032D">
            <wp:extent cx="4184208" cy="2679700"/>
            <wp:effectExtent l="152400" t="152400" r="368935" b="36830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2344" cy="2684911"/>
                    </a:xfrm>
                    <a:prstGeom prst="rect">
                      <a:avLst/>
                    </a:prstGeom>
                    <a:ln>
                      <a:noFill/>
                    </a:ln>
                    <a:effectLst>
                      <a:outerShdw blurRad="292100" dist="139700" dir="2700000" algn="tl" rotWithShape="0">
                        <a:srgbClr val="333333">
                          <a:alpha val="65000"/>
                        </a:srgbClr>
                      </a:outerShdw>
                    </a:effectLst>
                  </pic:spPr>
                </pic:pic>
              </a:graphicData>
            </a:graphic>
          </wp:inline>
        </w:drawing>
      </w:r>
    </w:p>
    <w:p w14:paraId="25A387DB" w14:textId="03E7BF72" w:rsidR="000C235A" w:rsidRPr="00070EF6" w:rsidRDefault="004057A7" w:rsidP="004057A7">
      <w:pPr>
        <w:pStyle w:val="Lgende"/>
        <w:jc w:val="center"/>
        <w:rPr>
          <w:noProof/>
        </w:rPr>
      </w:pPr>
      <w:r>
        <w:t xml:space="preserve">Figure </w:t>
      </w:r>
      <w:r w:rsidR="00423160">
        <w:fldChar w:fldCharType="begin"/>
      </w:r>
      <w:r w:rsidR="00423160">
        <w:instrText xml:space="preserve"> SEQ Figure \* ARABIC </w:instrText>
      </w:r>
      <w:r w:rsidR="00423160">
        <w:fldChar w:fldCharType="separate"/>
      </w:r>
      <w:r w:rsidR="00D2767C">
        <w:rPr>
          <w:noProof/>
        </w:rPr>
        <w:t>1</w:t>
      </w:r>
      <w:r w:rsidR="00423160">
        <w:rPr>
          <w:noProof/>
        </w:rPr>
        <w:fldChar w:fldCharType="end"/>
      </w:r>
      <w:r>
        <w:t xml:space="preserve"> : Intervention de la Sécurité Sociale</w:t>
      </w:r>
      <w:r>
        <w:rPr>
          <w:noProof/>
        </w:rPr>
        <w:t xml:space="preserve"> sur les frais de santé</w:t>
      </w:r>
    </w:p>
    <w:p w14:paraId="2C7A95CE" w14:textId="6A2109AC" w:rsidR="00D46B28" w:rsidRDefault="00D46B28" w:rsidP="00154541">
      <w:pPr>
        <w:pStyle w:val="Paragraphedeliste"/>
        <w:numPr>
          <w:ilvl w:val="0"/>
          <w:numId w:val="17"/>
        </w:numPr>
        <w:spacing w:after="0"/>
        <w:ind w:left="1210"/>
      </w:pPr>
      <w:r>
        <w:t>La Prévoyance Lourde</w:t>
      </w:r>
    </w:p>
    <w:p w14:paraId="107CFD9A" w14:textId="77777777" w:rsidR="00D46B28" w:rsidRDefault="00D46B28" w:rsidP="00D46B28">
      <w:pPr>
        <w:spacing w:after="0"/>
        <w:ind w:left="850"/>
      </w:pPr>
    </w:p>
    <w:p w14:paraId="7F93EF26" w14:textId="005BC44A" w:rsidR="00D46B28" w:rsidRDefault="00D46B28" w:rsidP="00154541">
      <w:pPr>
        <w:pStyle w:val="Paragraphedeliste"/>
        <w:numPr>
          <w:ilvl w:val="0"/>
          <w:numId w:val="18"/>
        </w:numPr>
        <w:spacing w:after="120"/>
        <w:ind w:left="643"/>
      </w:pPr>
      <w:r>
        <w:t>Capitaux Décès :</w:t>
      </w:r>
    </w:p>
    <w:p w14:paraId="5B860181" w14:textId="51B45A46" w:rsidR="00D46B28" w:rsidRDefault="00D46B28" w:rsidP="00163B1C">
      <w:pPr>
        <w:spacing w:after="0"/>
        <w:ind w:left="283"/>
      </w:pPr>
      <w:r>
        <w:t>Le capital décès est versé par la complémentaire en cas de décès de l’assuré mais peut aussi être versée par anticipation en cas d’IAD (Invalidité Absolue et Définitive). Son montant dépend de la rémunération annuelle brute de l’assuré.</w:t>
      </w:r>
    </w:p>
    <w:p w14:paraId="0EF8182F" w14:textId="5A8BAA73" w:rsidR="00D46B28" w:rsidRDefault="00D46B28" w:rsidP="00163B1C">
      <w:pPr>
        <w:spacing w:after="120"/>
        <w:ind w:left="283"/>
      </w:pPr>
      <w:r>
        <w:t xml:space="preserve">Ce capital est parfois accompagné de garanties annexes </w:t>
      </w:r>
      <w:r w:rsidR="00CC560A">
        <w:t>comme une garantie frais d’obsèques, majoration en cas décès accidentel, garantie « double effet » (en cas de décès du conjoint survivant, versement d’un capital aux enfants à charge), capital « </w:t>
      </w:r>
      <w:proofErr w:type="spellStart"/>
      <w:r w:rsidR="00CC560A">
        <w:t>pré-décès</w:t>
      </w:r>
      <w:proofErr w:type="spellEnd"/>
      <w:r w:rsidR="00CC560A">
        <w:t> », …</w:t>
      </w:r>
    </w:p>
    <w:p w14:paraId="70816D89" w14:textId="2472F06E" w:rsidR="00CC560A" w:rsidRDefault="00CC560A" w:rsidP="00154541">
      <w:pPr>
        <w:pStyle w:val="Paragraphedeliste"/>
        <w:numPr>
          <w:ilvl w:val="0"/>
          <w:numId w:val="18"/>
        </w:numPr>
        <w:spacing w:after="120"/>
        <w:ind w:left="643"/>
      </w:pPr>
      <w:r>
        <w:t>Rente de Conjoint :</w:t>
      </w:r>
    </w:p>
    <w:p w14:paraId="0A467463" w14:textId="77777777" w:rsidR="00CF7F66" w:rsidRDefault="00CC560A" w:rsidP="00163B1C">
      <w:pPr>
        <w:spacing w:after="0"/>
        <w:ind w:left="283"/>
      </w:pPr>
      <w:r>
        <w:t>La rente de Conjoint est destinée à compenser la disparition d’un revenu immédiat et/ou différé au sein de la famille</w:t>
      </w:r>
      <w:r w:rsidR="00AC1FD6">
        <w:t>, elle peut être de nature viagère ou temporaire dans l’attente de la pension de réversion des régimes de retraite obligatoire.</w:t>
      </w:r>
    </w:p>
    <w:p w14:paraId="687E7636" w14:textId="4569E36C" w:rsidR="00CC560A" w:rsidRDefault="00AC1FD6" w:rsidP="00163B1C">
      <w:pPr>
        <w:spacing w:after="120"/>
        <w:ind w:left="283"/>
      </w:pPr>
      <w:r>
        <w:t xml:space="preserve"> Elle est généralement calculée soit en fonction des droits de réversion acquis auprès des régimes de retraite complémentaire AGIRC-ARRCO, soit en fonction du dernier salaire de l’assuré décédé.</w:t>
      </w:r>
    </w:p>
    <w:p w14:paraId="2EC22C0F" w14:textId="0FF97DC3" w:rsidR="00D46B28" w:rsidRDefault="00CF7F66" w:rsidP="00154541">
      <w:pPr>
        <w:pStyle w:val="Paragraphedeliste"/>
        <w:numPr>
          <w:ilvl w:val="0"/>
          <w:numId w:val="18"/>
        </w:numPr>
        <w:spacing w:after="120"/>
        <w:ind w:left="643"/>
      </w:pPr>
      <w:r>
        <w:t>Rente éducation :</w:t>
      </w:r>
    </w:p>
    <w:p w14:paraId="5026E4A5" w14:textId="77777777" w:rsidR="00CF7F66" w:rsidRDefault="00CF7F66" w:rsidP="00163B1C">
      <w:pPr>
        <w:spacing w:after="0"/>
        <w:ind w:left="283"/>
      </w:pPr>
      <w:r>
        <w:t xml:space="preserve">La rente d’éducation est destinée à assurer le versement d’une rente aux enfants à charge de l’assuré décédé, au-delà d’un certain âge, elle peut être conditionnée à la poursuite des études par le bénéficiaire. </w:t>
      </w:r>
    </w:p>
    <w:p w14:paraId="2E019BDA" w14:textId="1ECFA538" w:rsidR="00CF7F66" w:rsidRDefault="00CF7F66" w:rsidP="00163B1C">
      <w:pPr>
        <w:spacing w:after="120"/>
        <w:ind w:left="283"/>
      </w:pPr>
      <w:r>
        <w:t>Le montant de la rente est généralement calculé au prorata du dernier salaire de l’assuré et est généralement exprimée par palier d’âge croissant du bénéficiaire.</w:t>
      </w:r>
    </w:p>
    <w:p w14:paraId="1F0208D2" w14:textId="592E523A" w:rsidR="00CF7F66" w:rsidRDefault="00F3594C" w:rsidP="00154541">
      <w:pPr>
        <w:pStyle w:val="Paragraphedeliste"/>
        <w:numPr>
          <w:ilvl w:val="0"/>
          <w:numId w:val="18"/>
        </w:numPr>
        <w:spacing w:after="120"/>
        <w:ind w:left="643"/>
      </w:pPr>
      <w:r>
        <w:t>Incapacité de travail :</w:t>
      </w:r>
    </w:p>
    <w:p w14:paraId="61155BBA" w14:textId="2CC0F34B" w:rsidR="00F3594C" w:rsidRDefault="00F3594C" w:rsidP="00163B1C">
      <w:pPr>
        <w:spacing w:after="0"/>
        <w:ind w:left="283"/>
      </w:pPr>
      <w:r>
        <w:lastRenderedPageBreak/>
        <w:t>La garantie incapacité de travail permet au salarié en arrêt de travail de percevoir des indemnités journalières afin de compenser sa perte de salaire, ces indemnités viennent en complément de la Sécurité Sociale ainsi que du complément de revenu versé par l’employeur.</w:t>
      </w:r>
    </w:p>
    <w:p w14:paraId="014255B3" w14:textId="4AF3C8DB" w:rsidR="00F3594C" w:rsidRDefault="00F3594C" w:rsidP="00163B1C">
      <w:pPr>
        <w:spacing w:after="0"/>
        <w:ind w:left="283"/>
      </w:pPr>
      <w:r>
        <w:t>Les principaux paramètres définissant une garantie incapacité sont :</w:t>
      </w:r>
    </w:p>
    <w:p w14:paraId="056D54C0" w14:textId="53B9E9E4" w:rsidR="00F3594C" w:rsidRDefault="00B948DB" w:rsidP="00154541">
      <w:pPr>
        <w:pStyle w:val="Paragraphedeliste"/>
        <w:numPr>
          <w:ilvl w:val="0"/>
          <w:numId w:val="17"/>
        </w:numPr>
        <w:spacing w:after="0"/>
        <w:ind w:left="1210"/>
      </w:pPr>
      <w:r>
        <w:t>La</w:t>
      </w:r>
      <w:r w:rsidR="00F3594C">
        <w:t xml:space="preserve"> franchise : type et durée (ferme ou continue, rétroactive, discontinue)</w:t>
      </w:r>
    </w:p>
    <w:p w14:paraId="114B958D" w14:textId="0E2CF05F" w:rsidR="00F3594C" w:rsidRDefault="00B948DB" w:rsidP="00154541">
      <w:pPr>
        <w:pStyle w:val="Paragraphedeliste"/>
        <w:numPr>
          <w:ilvl w:val="0"/>
          <w:numId w:val="17"/>
        </w:numPr>
        <w:spacing w:after="0"/>
        <w:ind w:left="1210"/>
      </w:pPr>
      <w:r>
        <w:t>Le</w:t>
      </w:r>
      <w:r w:rsidR="00F3594C">
        <w:t xml:space="preserve"> montant : en pourcentage du salaire de l’assuré</w:t>
      </w:r>
    </w:p>
    <w:p w14:paraId="23CF5C39" w14:textId="46813529" w:rsidR="00F3594C" w:rsidRDefault="00B948DB" w:rsidP="00154541">
      <w:pPr>
        <w:pStyle w:val="Paragraphedeliste"/>
        <w:numPr>
          <w:ilvl w:val="0"/>
          <w:numId w:val="17"/>
        </w:numPr>
        <w:spacing w:after="120"/>
        <w:ind w:left="1210"/>
      </w:pPr>
      <w:r>
        <w:t>L’assiette</w:t>
      </w:r>
      <w:r w:rsidR="00F3594C">
        <w:t xml:space="preserve"> de calcul</w:t>
      </w:r>
    </w:p>
    <w:p w14:paraId="44E4EBA5" w14:textId="27DADEB4" w:rsidR="00F3594C" w:rsidRDefault="00163B1C" w:rsidP="00163B1C">
      <w:pPr>
        <w:spacing w:after="0"/>
        <w:ind w:left="283"/>
      </w:pPr>
      <w:r>
        <w:t>L’employeur est tenu de verser un complément d’indemnisation appelé « Maintien de salaire » sous certaines conditions à un salarié en arrêt de travail. Cette obligation a été mise en place par la loi de mensualisation de 1978 puis améliorée par l’ANI du 11 janvier 2008. Les conditions pour bénéficier du maintien de salaire pour un assuré sont :</w:t>
      </w:r>
    </w:p>
    <w:p w14:paraId="129E6706" w14:textId="07B53BEF" w:rsidR="00163B1C" w:rsidRDefault="00163B1C" w:rsidP="00154541">
      <w:pPr>
        <w:pStyle w:val="Paragraphedeliste"/>
        <w:numPr>
          <w:ilvl w:val="0"/>
          <w:numId w:val="19"/>
        </w:numPr>
        <w:spacing w:after="0"/>
        <w:ind w:left="1210"/>
      </w:pPr>
      <w:r>
        <w:t>Condition d’ancienneté : le salarié doit avoir au moins 1 an d’ancienneté</w:t>
      </w:r>
    </w:p>
    <w:p w14:paraId="4EC8E2D1" w14:textId="653EBC62" w:rsidR="00163B1C" w:rsidRDefault="00163B1C" w:rsidP="00154541">
      <w:pPr>
        <w:pStyle w:val="Paragraphedeliste"/>
        <w:numPr>
          <w:ilvl w:val="0"/>
          <w:numId w:val="19"/>
        </w:numPr>
        <w:spacing w:after="0"/>
        <w:ind w:left="1210"/>
      </w:pPr>
      <w:r>
        <w:t>Franchise : 7 jours sauf en cas d’arrêt consécutif à un arrêt de travail ou une maladie professionnelle</w:t>
      </w:r>
    </w:p>
    <w:p w14:paraId="73DBD9CB" w14:textId="575BA1E2" w:rsidR="00163B1C" w:rsidRDefault="00163B1C" w:rsidP="00154541">
      <w:pPr>
        <w:pStyle w:val="Paragraphedeliste"/>
        <w:numPr>
          <w:ilvl w:val="0"/>
          <w:numId w:val="19"/>
        </w:numPr>
        <w:spacing w:after="0"/>
        <w:ind w:left="1210"/>
      </w:pPr>
      <w:r>
        <w:t xml:space="preserve">L’Employeur doit </w:t>
      </w:r>
      <w:r w:rsidR="00B948DB">
        <w:t>compléter</w:t>
      </w:r>
      <w:r>
        <w:t xml:space="preserve"> les indemnités versées par la Sécurité Sociale à hauteur de 90 %, puis de 66,66 % de la rémunération brute que le salarié aurait gagnée s’il avait continué à travailler, et ce pour </w:t>
      </w:r>
      <w:r w:rsidR="00B948DB">
        <w:t>les durées définies</w:t>
      </w:r>
      <w:r>
        <w:t xml:space="preserve"> ci-dessous :</w:t>
      </w:r>
    </w:p>
    <w:p w14:paraId="1797B407" w14:textId="31E22CA3" w:rsidR="00163B1C" w:rsidRDefault="00163B1C" w:rsidP="00163B1C">
      <w:pPr>
        <w:spacing w:after="0"/>
      </w:pPr>
    </w:p>
    <w:tbl>
      <w:tblPr>
        <w:tblStyle w:val="Grilledutableau"/>
        <w:tblpPr w:leftFromText="141" w:rightFromText="141" w:vertAnchor="text" w:horzAnchor="margin" w:tblpXSpec="right" w:tblpY="-21"/>
        <w:tblW w:w="0" w:type="auto"/>
        <w:tblLook w:val="04A0" w:firstRow="1" w:lastRow="0" w:firstColumn="1" w:lastColumn="0" w:noHBand="0" w:noVBand="1"/>
      </w:tblPr>
      <w:tblGrid>
        <w:gridCol w:w="2782"/>
        <w:gridCol w:w="2693"/>
        <w:gridCol w:w="2693"/>
      </w:tblGrid>
      <w:tr w:rsidR="00163B1C" w14:paraId="1F25B55C" w14:textId="77777777" w:rsidTr="00D2593E">
        <w:trPr>
          <w:trHeight w:val="557"/>
        </w:trPr>
        <w:tc>
          <w:tcPr>
            <w:tcW w:w="2782" w:type="dxa"/>
            <w:shd w:val="clear" w:color="auto" w:fill="1F3864" w:themeFill="accent1" w:themeFillShade="80"/>
            <w:vAlign w:val="center"/>
          </w:tcPr>
          <w:p w14:paraId="771D9C40" w14:textId="77777777" w:rsidR="00163B1C" w:rsidRDefault="00163B1C" w:rsidP="00D2593E">
            <w:pPr>
              <w:pStyle w:val="Paragraphedeliste"/>
              <w:ind w:left="0"/>
              <w:jc w:val="center"/>
            </w:pPr>
            <w:r>
              <w:t>Ancienneté</w:t>
            </w:r>
          </w:p>
        </w:tc>
        <w:tc>
          <w:tcPr>
            <w:tcW w:w="2693" w:type="dxa"/>
            <w:shd w:val="clear" w:color="auto" w:fill="1F3864" w:themeFill="accent1" w:themeFillShade="80"/>
            <w:vAlign w:val="center"/>
          </w:tcPr>
          <w:p w14:paraId="46004733" w14:textId="77777777" w:rsidR="00163B1C" w:rsidRDefault="00163B1C" w:rsidP="00D2593E">
            <w:pPr>
              <w:pStyle w:val="Paragraphedeliste"/>
              <w:ind w:left="0"/>
              <w:jc w:val="center"/>
            </w:pPr>
            <w:r>
              <w:t>90% du salaire brut</w:t>
            </w:r>
          </w:p>
        </w:tc>
        <w:tc>
          <w:tcPr>
            <w:tcW w:w="2693" w:type="dxa"/>
            <w:shd w:val="clear" w:color="auto" w:fill="1F3864" w:themeFill="accent1" w:themeFillShade="80"/>
            <w:vAlign w:val="center"/>
          </w:tcPr>
          <w:p w14:paraId="13B8446D" w14:textId="77777777" w:rsidR="00163B1C" w:rsidRDefault="00163B1C" w:rsidP="00D2593E">
            <w:pPr>
              <w:pStyle w:val="Paragraphedeliste"/>
              <w:ind w:left="0"/>
              <w:jc w:val="center"/>
            </w:pPr>
            <w:r>
              <w:t>66,6% du salaire brut</w:t>
            </w:r>
          </w:p>
        </w:tc>
      </w:tr>
      <w:tr w:rsidR="00163B1C" w14:paraId="065FA935" w14:textId="77777777" w:rsidTr="00D2593E">
        <w:trPr>
          <w:trHeight w:val="341"/>
        </w:trPr>
        <w:tc>
          <w:tcPr>
            <w:tcW w:w="2782" w:type="dxa"/>
            <w:tcBorders>
              <w:bottom w:val="nil"/>
            </w:tcBorders>
          </w:tcPr>
          <w:p w14:paraId="04AB40E6" w14:textId="7099E359" w:rsidR="00163B1C" w:rsidRDefault="00D2593E" w:rsidP="00163B1C">
            <w:pPr>
              <w:pStyle w:val="Paragraphedeliste"/>
              <w:ind w:left="0"/>
              <w:jc w:val="center"/>
            </w:pPr>
            <w:r>
              <w:t>1 – 6 années</w:t>
            </w:r>
          </w:p>
        </w:tc>
        <w:tc>
          <w:tcPr>
            <w:tcW w:w="2693" w:type="dxa"/>
            <w:tcBorders>
              <w:bottom w:val="nil"/>
            </w:tcBorders>
          </w:tcPr>
          <w:p w14:paraId="38E56D0E" w14:textId="370A55DD" w:rsidR="00163B1C" w:rsidRDefault="00D2593E" w:rsidP="00163B1C">
            <w:pPr>
              <w:pStyle w:val="Paragraphedeliste"/>
              <w:ind w:left="0"/>
              <w:jc w:val="center"/>
            </w:pPr>
            <w:r>
              <w:t>30 jours</w:t>
            </w:r>
          </w:p>
        </w:tc>
        <w:tc>
          <w:tcPr>
            <w:tcW w:w="2693" w:type="dxa"/>
            <w:tcBorders>
              <w:bottom w:val="nil"/>
            </w:tcBorders>
          </w:tcPr>
          <w:p w14:paraId="54958016" w14:textId="6BC30DA6" w:rsidR="00163B1C" w:rsidRDefault="00D2593E" w:rsidP="00163B1C">
            <w:pPr>
              <w:pStyle w:val="Paragraphedeliste"/>
              <w:ind w:left="0"/>
              <w:jc w:val="center"/>
            </w:pPr>
            <w:r>
              <w:t>30 jours</w:t>
            </w:r>
          </w:p>
        </w:tc>
      </w:tr>
      <w:tr w:rsidR="00D2593E" w14:paraId="17894033" w14:textId="77777777" w:rsidTr="00D2593E">
        <w:trPr>
          <w:trHeight w:val="341"/>
        </w:trPr>
        <w:tc>
          <w:tcPr>
            <w:tcW w:w="2782" w:type="dxa"/>
            <w:tcBorders>
              <w:top w:val="nil"/>
              <w:left w:val="single" w:sz="4" w:space="0" w:color="auto"/>
              <w:bottom w:val="nil"/>
              <w:right w:val="single" w:sz="4" w:space="0" w:color="auto"/>
            </w:tcBorders>
          </w:tcPr>
          <w:p w14:paraId="1EEB083C" w14:textId="35047B5A" w:rsidR="00D2593E" w:rsidRDefault="00D2593E" w:rsidP="00D2593E">
            <w:pPr>
              <w:pStyle w:val="Paragraphedeliste"/>
              <w:ind w:left="0"/>
              <w:jc w:val="center"/>
            </w:pPr>
            <w:r>
              <w:t>6 – 11 années</w:t>
            </w:r>
          </w:p>
        </w:tc>
        <w:tc>
          <w:tcPr>
            <w:tcW w:w="2693" w:type="dxa"/>
            <w:tcBorders>
              <w:top w:val="nil"/>
              <w:left w:val="single" w:sz="4" w:space="0" w:color="auto"/>
              <w:bottom w:val="nil"/>
              <w:right w:val="single" w:sz="4" w:space="0" w:color="auto"/>
            </w:tcBorders>
          </w:tcPr>
          <w:p w14:paraId="39A79F31" w14:textId="79517914" w:rsidR="00D2593E" w:rsidRDefault="00D2593E" w:rsidP="00D2593E">
            <w:pPr>
              <w:pStyle w:val="Paragraphedeliste"/>
              <w:ind w:left="0"/>
              <w:jc w:val="center"/>
            </w:pPr>
            <w:r>
              <w:t>40 jours</w:t>
            </w:r>
          </w:p>
        </w:tc>
        <w:tc>
          <w:tcPr>
            <w:tcW w:w="2693" w:type="dxa"/>
            <w:tcBorders>
              <w:top w:val="nil"/>
              <w:left w:val="single" w:sz="4" w:space="0" w:color="auto"/>
              <w:bottom w:val="nil"/>
              <w:right w:val="single" w:sz="4" w:space="0" w:color="auto"/>
            </w:tcBorders>
          </w:tcPr>
          <w:p w14:paraId="6E92F9E2" w14:textId="7DA83640" w:rsidR="00D2593E" w:rsidRDefault="00D2593E" w:rsidP="00D2593E">
            <w:pPr>
              <w:pStyle w:val="Paragraphedeliste"/>
              <w:ind w:left="0"/>
              <w:jc w:val="center"/>
            </w:pPr>
            <w:r>
              <w:t>40 jours</w:t>
            </w:r>
          </w:p>
        </w:tc>
      </w:tr>
      <w:tr w:rsidR="00D2593E" w14:paraId="5E7F2C48" w14:textId="77777777" w:rsidTr="00D2593E">
        <w:trPr>
          <w:trHeight w:val="341"/>
        </w:trPr>
        <w:tc>
          <w:tcPr>
            <w:tcW w:w="2782" w:type="dxa"/>
            <w:tcBorders>
              <w:top w:val="nil"/>
              <w:left w:val="single" w:sz="4" w:space="0" w:color="auto"/>
              <w:bottom w:val="nil"/>
              <w:right w:val="single" w:sz="4" w:space="0" w:color="auto"/>
            </w:tcBorders>
          </w:tcPr>
          <w:p w14:paraId="0770A9FD" w14:textId="0052F596" w:rsidR="00D2593E" w:rsidRDefault="00D2593E" w:rsidP="00D2593E">
            <w:pPr>
              <w:pStyle w:val="Paragraphedeliste"/>
              <w:ind w:left="0"/>
              <w:jc w:val="center"/>
            </w:pPr>
            <w:r>
              <w:t>11 – 16 années</w:t>
            </w:r>
          </w:p>
        </w:tc>
        <w:tc>
          <w:tcPr>
            <w:tcW w:w="2693" w:type="dxa"/>
            <w:tcBorders>
              <w:top w:val="nil"/>
              <w:left w:val="single" w:sz="4" w:space="0" w:color="auto"/>
              <w:bottom w:val="nil"/>
              <w:right w:val="single" w:sz="4" w:space="0" w:color="auto"/>
            </w:tcBorders>
          </w:tcPr>
          <w:p w14:paraId="08361100" w14:textId="71204420" w:rsidR="00D2593E" w:rsidRDefault="00D2593E" w:rsidP="00D2593E">
            <w:pPr>
              <w:pStyle w:val="Paragraphedeliste"/>
              <w:ind w:left="0"/>
              <w:jc w:val="center"/>
            </w:pPr>
            <w:r>
              <w:t>50 jours</w:t>
            </w:r>
          </w:p>
        </w:tc>
        <w:tc>
          <w:tcPr>
            <w:tcW w:w="2693" w:type="dxa"/>
            <w:tcBorders>
              <w:top w:val="nil"/>
              <w:left w:val="single" w:sz="4" w:space="0" w:color="auto"/>
              <w:bottom w:val="nil"/>
              <w:right w:val="single" w:sz="4" w:space="0" w:color="auto"/>
            </w:tcBorders>
          </w:tcPr>
          <w:p w14:paraId="1D36E86C" w14:textId="760F512B" w:rsidR="00D2593E" w:rsidRDefault="00D2593E" w:rsidP="00D2593E">
            <w:pPr>
              <w:pStyle w:val="Paragraphedeliste"/>
              <w:ind w:left="0"/>
              <w:jc w:val="center"/>
            </w:pPr>
            <w:r>
              <w:t>50 jours</w:t>
            </w:r>
          </w:p>
        </w:tc>
      </w:tr>
      <w:tr w:rsidR="00D2593E" w14:paraId="3D471208" w14:textId="77777777" w:rsidTr="00D2593E">
        <w:trPr>
          <w:trHeight w:val="341"/>
        </w:trPr>
        <w:tc>
          <w:tcPr>
            <w:tcW w:w="2782" w:type="dxa"/>
            <w:tcBorders>
              <w:top w:val="nil"/>
              <w:left w:val="single" w:sz="4" w:space="0" w:color="auto"/>
              <w:bottom w:val="nil"/>
              <w:right w:val="single" w:sz="4" w:space="0" w:color="auto"/>
            </w:tcBorders>
          </w:tcPr>
          <w:p w14:paraId="4FD2B713" w14:textId="7B065FBB" w:rsidR="00D2593E" w:rsidRDefault="00D2593E" w:rsidP="00D2593E">
            <w:pPr>
              <w:pStyle w:val="Paragraphedeliste"/>
              <w:ind w:left="0"/>
              <w:jc w:val="center"/>
            </w:pPr>
            <w:r>
              <w:t>16 – 21 années</w:t>
            </w:r>
          </w:p>
        </w:tc>
        <w:tc>
          <w:tcPr>
            <w:tcW w:w="2693" w:type="dxa"/>
            <w:tcBorders>
              <w:top w:val="nil"/>
              <w:left w:val="single" w:sz="4" w:space="0" w:color="auto"/>
              <w:bottom w:val="nil"/>
              <w:right w:val="single" w:sz="4" w:space="0" w:color="auto"/>
            </w:tcBorders>
          </w:tcPr>
          <w:p w14:paraId="61C62379" w14:textId="659BE7D5" w:rsidR="00D2593E" w:rsidRDefault="00D2593E" w:rsidP="00D2593E">
            <w:pPr>
              <w:pStyle w:val="Paragraphedeliste"/>
              <w:ind w:left="0"/>
              <w:jc w:val="center"/>
            </w:pPr>
            <w:r>
              <w:t>60 jours</w:t>
            </w:r>
          </w:p>
        </w:tc>
        <w:tc>
          <w:tcPr>
            <w:tcW w:w="2693" w:type="dxa"/>
            <w:tcBorders>
              <w:top w:val="nil"/>
              <w:left w:val="single" w:sz="4" w:space="0" w:color="auto"/>
              <w:bottom w:val="nil"/>
              <w:right w:val="single" w:sz="4" w:space="0" w:color="auto"/>
            </w:tcBorders>
          </w:tcPr>
          <w:p w14:paraId="094BD56B" w14:textId="44BC0C0E" w:rsidR="00D2593E" w:rsidRDefault="00D2593E" w:rsidP="00D2593E">
            <w:pPr>
              <w:pStyle w:val="Paragraphedeliste"/>
              <w:ind w:left="0"/>
              <w:jc w:val="center"/>
            </w:pPr>
            <w:r>
              <w:t>60 jours</w:t>
            </w:r>
          </w:p>
        </w:tc>
      </w:tr>
      <w:tr w:rsidR="00D2593E" w14:paraId="0AF30AA5" w14:textId="77777777" w:rsidTr="00D2593E">
        <w:trPr>
          <w:trHeight w:val="341"/>
        </w:trPr>
        <w:tc>
          <w:tcPr>
            <w:tcW w:w="2782" w:type="dxa"/>
            <w:tcBorders>
              <w:top w:val="nil"/>
              <w:left w:val="single" w:sz="4" w:space="0" w:color="auto"/>
              <w:bottom w:val="nil"/>
              <w:right w:val="single" w:sz="4" w:space="0" w:color="auto"/>
            </w:tcBorders>
          </w:tcPr>
          <w:p w14:paraId="6A8BA488" w14:textId="44A2C659" w:rsidR="00D2593E" w:rsidRDefault="00D2593E" w:rsidP="00D2593E">
            <w:pPr>
              <w:pStyle w:val="Paragraphedeliste"/>
              <w:ind w:left="0"/>
              <w:jc w:val="center"/>
            </w:pPr>
            <w:r>
              <w:t>21 – 26 années</w:t>
            </w:r>
          </w:p>
        </w:tc>
        <w:tc>
          <w:tcPr>
            <w:tcW w:w="2693" w:type="dxa"/>
            <w:tcBorders>
              <w:top w:val="nil"/>
              <w:left w:val="single" w:sz="4" w:space="0" w:color="auto"/>
              <w:bottom w:val="nil"/>
              <w:right w:val="single" w:sz="4" w:space="0" w:color="auto"/>
            </w:tcBorders>
          </w:tcPr>
          <w:p w14:paraId="0A33D744" w14:textId="5B44D219" w:rsidR="00D2593E" w:rsidRDefault="00D2593E" w:rsidP="00D2593E">
            <w:pPr>
              <w:pStyle w:val="Paragraphedeliste"/>
              <w:ind w:left="0"/>
              <w:jc w:val="center"/>
            </w:pPr>
            <w:r>
              <w:t>70 jours</w:t>
            </w:r>
          </w:p>
        </w:tc>
        <w:tc>
          <w:tcPr>
            <w:tcW w:w="2693" w:type="dxa"/>
            <w:tcBorders>
              <w:top w:val="nil"/>
              <w:left w:val="single" w:sz="4" w:space="0" w:color="auto"/>
              <w:bottom w:val="nil"/>
              <w:right w:val="single" w:sz="4" w:space="0" w:color="auto"/>
            </w:tcBorders>
          </w:tcPr>
          <w:p w14:paraId="01D607BA" w14:textId="0F69ABEC" w:rsidR="00D2593E" w:rsidRDefault="00D2593E" w:rsidP="00D2593E">
            <w:pPr>
              <w:pStyle w:val="Paragraphedeliste"/>
              <w:ind w:left="0"/>
              <w:jc w:val="center"/>
            </w:pPr>
            <w:r>
              <w:t>70 jours</w:t>
            </w:r>
          </w:p>
        </w:tc>
      </w:tr>
      <w:tr w:rsidR="00D2593E" w14:paraId="4555511B" w14:textId="77777777" w:rsidTr="00D2593E">
        <w:trPr>
          <w:trHeight w:val="341"/>
        </w:trPr>
        <w:tc>
          <w:tcPr>
            <w:tcW w:w="2782" w:type="dxa"/>
            <w:tcBorders>
              <w:top w:val="nil"/>
              <w:left w:val="single" w:sz="4" w:space="0" w:color="auto"/>
              <w:bottom w:val="nil"/>
              <w:right w:val="single" w:sz="4" w:space="0" w:color="auto"/>
            </w:tcBorders>
          </w:tcPr>
          <w:p w14:paraId="28EC0588" w14:textId="7C2B11B8" w:rsidR="00D2593E" w:rsidRDefault="00D2593E" w:rsidP="00D2593E">
            <w:pPr>
              <w:pStyle w:val="Paragraphedeliste"/>
              <w:ind w:left="0"/>
              <w:jc w:val="center"/>
            </w:pPr>
            <w:r>
              <w:t>26 – 31 années</w:t>
            </w:r>
          </w:p>
        </w:tc>
        <w:tc>
          <w:tcPr>
            <w:tcW w:w="2693" w:type="dxa"/>
            <w:tcBorders>
              <w:top w:val="nil"/>
              <w:left w:val="single" w:sz="4" w:space="0" w:color="auto"/>
              <w:bottom w:val="nil"/>
              <w:right w:val="single" w:sz="4" w:space="0" w:color="auto"/>
            </w:tcBorders>
          </w:tcPr>
          <w:p w14:paraId="019CF59D" w14:textId="68739090" w:rsidR="00D2593E" w:rsidRDefault="00D2593E" w:rsidP="00D2593E">
            <w:pPr>
              <w:pStyle w:val="Paragraphedeliste"/>
              <w:ind w:left="0"/>
              <w:jc w:val="center"/>
            </w:pPr>
            <w:r>
              <w:t>80 jours</w:t>
            </w:r>
          </w:p>
        </w:tc>
        <w:tc>
          <w:tcPr>
            <w:tcW w:w="2693" w:type="dxa"/>
            <w:tcBorders>
              <w:top w:val="nil"/>
              <w:left w:val="single" w:sz="4" w:space="0" w:color="auto"/>
              <w:bottom w:val="nil"/>
              <w:right w:val="single" w:sz="4" w:space="0" w:color="auto"/>
            </w:tcBorders>
          </w:tcPr>
          <w:p w14:paraId="7D8729A3" w14:textId="5327382E" w:rsidR="00D2593E" w:rsidRDefault="00D2593E" w:rsidP="00D2593E">
            <w:pPr>
              <w:pStyle w:val="Paragraphedeliste"/>
              <w:ind w:left="0"/>
              <w:jc w:val="center"/>
            </w:pPr>
            <w:r>
              <w:t>80 jours</w:t>
            </w:r>
          </w:p>
        </w:tc>
      </w:tr>
      <w:tr w:rsidR="00D2593E" w14:paraId="6395536C" w14:textId="77777777" w:rsidTr="00D2593E">
        <w:trPr>
          <w:trHeight w:val="341"/>
        </w:trPr>
        <w:tc>
          <w:tcPr>
            <w:tcW w:w="2782" w:type="dxa"/>
            <w:tcBorders>
              <w:top w:val="nil"/>
            </w:tcBorders>
          </w:tcPr>
          <w:p w14:paraId="75156261" w14:textId="45AE2816" w:rsidR="00D2593E" w:rsidRDefault="00D2593E" w:rsidP="00D2593E">
            <w:pPr>
              <w:pStyle w:val="Paragraphedeliste"/>
              <w:ind w:left="0"/>
              <w:jc w:val="center"/>
            </w:pPr>
            <w:r>
              <w:t>Plus de 31 années</w:t>
            </w:r>
          </w:p>
        </w:tc>
        <w:tc>
          <w:tcPr>
            <w:tcW w:w="2693" w:type="dxa"/>
            <w:tcBorders>
              <w:top w:val="nil"/>
            </w:tcBorders>
          </w:tcPr>
          <w:p w14:paraId="506C20D1" w14:textId="079AB827" w:rsidR="00D2593E" w:rsidRDefault="00D2593E" w:rsidP="00D2593E">
            <w:pPr>
              <w:pStyle w:val="Paragraphedeliste"/>
              <w:ind w:left="0"/>
              <w:jc w:val="center"/>
            </w:pPr>
            <w:r>
              <w:t>90 jours</w:t>
            </w:r>
          </w:p>
        </w:tc>
        <w:tc>
          <w:tcPr>
            <w:tcW w:w="2693" w:type="dxa"/>
            <w:tcBorders>
              <w:top w:val="nil"/>
            </w:tcBorders>
          </w:tcPr>
          <w:p w14:paraId="5F33DC3F" w14:textId="2E1568C0" w:rsidR="00D2593E" w:rsidRDefault="00D2593E" w:rsidP="00D2593E">
            <w:pPr>
              <w:pStyle w:val="Paragraphedeliste"/>
              <w:ind w:left="0"/>
              <w:jc w:val="center"/>
            </w:pPr>
            <w:r>
              <w:t>90 jours</w:t>
            </w:r>
          </w:p>
        </w:tc>
      </w:tr>
    </w:tbl>
    <w:p w14:paraId="4CD7369E" w14:textId="77571739" w:rsidR="00163B1C" w:rsidRDefault="00163B1C" w:rsidP="00163B1C">
      <w:pPr>
        <w:spacing w:after="0"/>
      </w:pPr>
    </w:p>
    <w:p w14:paraId="6322DF04" w14:textId="77777777" w:rsidR="00163B1C" w:rsidRDefault="00163B1C" w:rsidP="00163B1C">
      <w:pPr>
        <w:spacing w:after="0"/>
      </w:pPr>
    </w:p>
    <w:p w14:paraId="64B38E5E" w14:textId="77777777" w:rsidR="00163B1C" w:rsidRDefault="00163B1C" w:rsidP="00163B1C">
      <w:pPr>
        <w:pStyle w:val="Paragraphedeliste"/>
        <w:spacing w:after="0"/>
        <w:ind w:left="1210"/>
      </w:pPr>
    </w:p>
    <w:p w14:paraId="56CC4D34" w14:textId="0808D096" w:rsidR="00D2593E" w:rsidRDefault="00D2593E" w:rsidP="00154541">
      <w:pPr>
        <w:pStyle w:val="Paragraphedeliste"/>
        <w:numPr>
          <w:ilvl w:val="0"/>
          <w:numId w:val="18"/>
        </w:numPr>
        <w:spacing w:after="120"/>
        <w:ind w:left="643"/>
      </w:pPr>
      <w:r>
        <w:t>Invalidité :</w:t>
      </w:r>
    </w:p>
    <w:p w14:paraId="7CCBAD36" w14:textId="1A235BA4" w:rsidR="00F3594C" w:rsidRDefault="007A2019" w:rsidP="00296E07">
      <w:pPr>
        <w:spacing w:after="0"/>
        <w:ind w:left="283"/>
      </w:pPr>
      <w:r>
        <w:t>La rente d'invalidité compense, en totalité ou en partie, la perte de revenu d’un assuré déclaré invalide. Elle vient compléter la pension d’invalidité versée par la Sécurité sociale.</w:t>
      </w:r>
      <w:r w:rsidR="00296E07">
        <w:t xml:space="preserve"> Le montant de cette renta peut-être fixe ou bien correspondre à un pourcentage de son salaire, elle dépend souvent aussi de la catégorie d’invalidité définie par la Sécurité sociale.</w:t>
      </w:r>
    </w:p>
    <w:p w14:paraId="3B1A4313" w14:textId="77777777" w:rsidR="007A2019" w:rsidRDefault="007A2019" w:rsidP="007A2019">
      <w:pPr>
        <w:spacing w:after="0"/>
        <w:ind w:left="283"/>
      </w:pPr>
    </w:p>
    <w:p w14:paraId="0E8A87E7" w14:textId="597F57A0" w:rsidR="00D46B28" w:rsidRDefault="00D46B28" w:rsidP="00D46B28"/>
    <w:p w14:paraId="1F2ABC60" w14:textId="4F684BCE" w:rsidR="00070EF6" w:rsidRDefault="00A103B7" w:rsidP="005423EC">
      <w:pPr>
        <w:pStyle w:val="Titre2"/>
      </w:pPr>
      <w:bookmarkStart w:id="9" w:name="_Toc112955491"/>
      <w:r>
        <w:t>Qu’est-ce que la prévoyance collective ?</w:t>
      </w:r>
      <w:bookmarkEnd w:id="9"/>
    </w:p>
    <w:p w14:paraId="59842157" w14:textId="77777777" w:rsidR="005423EC" w:rsidRDefault="005423EC" w:rsidP="005423EC">
      <w:pPr>
        <w:spacing w:after="100"/>
      </w:pPr>
    </w:p>
    <w:p w14:paraId="128C34FF" w14:textId="6DFB3744" w:rsidR="005423EC" w:rsidRDefault="005423EC" w:rsidP="00850DE0">
      <w:r>
        <w:t>Dans le cadre de cette étude, nous avons la possibilité d’étudier les caractéristiques en matière d’absentéisme d’un portefeuille de prévoyance collective, celui de Generali Vie. La « prévoyance collective » est la couverture d’un groupe de personnes qui ont un lien objectif entre elles, ce groupe étant représenté par une personne qui va signer ce contrat, généralement l’entreprise dans laquelle travail un assuré.</w:t>
      </w:r>
    </w:p>
    <w:p w14:paraId="0BC27F1E" w14:textId="7F6BBAFF" w:rsidR="005423EC" w:rsidRDefault="005423EC" w:rsidP="00850DE0">
      <w:r>
        <w:t>Les différents intervenants dans un contrat de prévoyance collective sont le souscripteur, les affiliés, les assurés et les bénéficiaires.</w:t>
      </w:r>
    </w:p>
    <w:p w14:paraId="62F1B641" w14:textId="58392658" w:rsidR="00AC6C46" w:rsidRDefault="00AC6C46" w:rsidP="00154541">
      <w:pPr>
        <w:pStyle w:val="Paragraphedeliste"/>
        <w:numPr>
          <w:ilvl w:val="0"/>
          <w:numId w:val="20"/>
        </w:numPr>
        <w:spacing w:after="100"/>
        <w:ind w:left="643"/>
      </w:pPr>
      <w:r w:rsidRPr="00820C0F">
        <w:rPr>
          <w:b/>
          <w:bCs/>
        </w:rPr>
        <w:lastRenderedPageBreak/>
        <w:t>Le souscripteur :</w:t>
      </w:r>
      <w:r>
        <w:t xml:space="preserve"> la personne morale qui signe le contrat et paie les cotisations (entreprise, association, établissement de crédit)</w:t>
      </w:r>
    </w:p>
    <w:p w14:paraId="7987CAA1" w14:textId="7BEAA2E5" w:rsidR="00AC6C46" w:rsidRDefault="00AC6C46" w:rsidP="00154541">
      <w:pPr>
        <w:pStyle w:val="Paragraphedeliste"/>
        <w:numPr>
          <w:ilvl w:val="0"/>
          <w:numId w:val="20"/>
        </w:numPr>
        <w:spacing w:after="100"/>
        <w:ind w:left="643"/>
      </w:pPr>
      <w:r w:rsidRPr="00820C0F">
        <w:rPr>
          <w:b/>
          <w:bCs/>
        </w:rPr>
        <w:t>Les affiliés :</w:t>
      </w:r>
      <w:r>
        <w:t xml:space="preserve"> l’ensemble des personnes appartenant au groupe assurable </w:t>
      </w:r>
    </w:p>
    <w:p w14:paraId="5A16CE46" w14:textId="7659F616" w:rsidR="00AC6C46" w:rsidRDefault="00AC6C46" w:rsidP="00154541">
      <w:pPr>
        <w:pStyle w:val="Paragraphedeliste"/>
        <w:numPr>
          <w:ilvl w:val="0"/>
          <w:numId w:val="20"/>
        </w:numPr>
        <w:spacing w:after="100"/>
        <w:ind w:left="643"/>
      </w:pPr>
      <w:r w:rsidRPr="00820C0F">
        <w:rPr>
          <w:b/>
          <w:bCs/>
        </w:rPr>
        <w:t>Les assurés :</w:t>
      </w:r>
      <w:r>
        <w:t xml:space="preserve"> l’ensemble des personnes soumises au risque </w:t>
      </w:r>
    </w:p>
    <w:p w14:paraId="725C5981" w14:textId="2E82F1BE" w:rsidR="00A103B7" w:rsidRDefault="00AC6C46" w:rsidP="00154541">
      <w:pPr>
        <w:pStyle w:val="Paragraphedeliste"/>
        <w:numPr>
          <w:ilvl w:val="0"/>
          <w:numId w:val="20"/>
        </w:numPr>
        <w:spacing w:after="100"/>
        <w:ind w:left="643"/>
      </w:pPr>
      <w:r w:rsidRPr="00820C0F">
        <w:rPr>
          <w:b/>
          <w:bCs/>
        </w:rPr>
        <w:t>Les bénéficiaires :</w:t>
      </w:r>
      <w:r w:rsidR="00D71E35">
        <w:t xml:space="preserve"> l’ensemble des personnes susceptibles de recevoir des prestations (exemple : les enfants dans le cadre d’une rente éducation)</w:t>
      </w:r>
    </w:p>
    <w:p w14:paraId="461E4C36" w14:textId="4CBD0A5B" w:rsidR="00A103B7" w:rsidRPr="00AB44E0" w:rsidRDefault="00A71C6E" w:rsidP="00A103B7">
      <w:pPr>
        <w:pStyle w:val="Titre2"/>
      </w:pPr>
      <w:bookmarkStart w:id="10" w:name="_Toc112955492"/>
      <w:r>
        <w:t>Le</w:t>
      </w:r>
      <w:r w:rsidR="00FE2857">
        <w:t xml:space="preserve"> risque </w:t>
      </w:r>
      <w:r w:rsidR="00A103B7">
        <w:t>arrêt de travail</w:t>
      </w:r>
      <w:r>
        <w:t xml:space="preserve"> en France</w:t>
      </w:r>
      <w:bookmarkEnd w:id="10"/>
    </w:p>
    <w:p w14:paraId="135E8F7B" w14:textId="7080C51C" w:rsidR="00A103B7" w:rsidRDefault="00A103B7" w:rsidP="00A103B7"/>
    <w:p w14:paraId="5CCF138C" w14:textId="77777777" w:rsidR="00F5259B" w:rsidRDefault="00F5259B" w:rsidP="00F5259B">
      <w:pPr>
        <w:pStyle w:val="Titre3"/>
      </w:pPr>
      <w:bookmarkStart w:id="11" w:name="_Toc112955493"/>
      <w:r>
        <w:t>Contexte général</w:t>
      </w:r>
      <w:bookmarkEnd w:id="11"/>
    </w:p>
    <w:p w14:paraId="283C8C78" w14:textId="77777777" w:rsidR="00DC1238" w:rsidRDefault="00DC1238" w:rsidP="00DC1238">
      <w:pPr>
        <w:spacing w:after="100"/>
      </w:pPr>
    </w:p>
    <w:p w14:paraId="1716C121" w14:textId="36D04264" w:rsidR="00D71E35" w:rsidRDefault="00DC1238" w:rsidP="00850DE0">
      <w:r>
        <w:t>Pour l’assureur, la définition des prestations</w:t>
      </w:r>
      <w:r w:rsidR="0020223C">
        <w:t xml:space="preserve"> </w:t>
      </w:r>
      <w:r>
        <w:t>et de son intervention dans la prise en charge, est alignée sur la reconnaissance par la Sécurité Sociale</w:t>
      </w:r>
      <w:r w:rsidR="0020223C">
        <w:t xml:space="preserve"> </w:t>
      </w:r>
      <w:r>
        <w:t>d’un arrêt de travail</w:t>
      </w:r>
      <w:r w:rsidR="0020223C">
        <w:t xml:space="preserve"> vue précédemment</w:t>
      </w:r>
      <w:r>
        <w:t>. Les règles de base qui vont donc conduire à définir ce qu’est un arrêt de travail, avec la distinction entre l’incapacité et l’invalidité, sont donc celles de la Sécurité Sociale. On désigne en pratique par « incapacité » l’incapacité temporaire de travail et par « invalidité » l’incapacité permanente de travail.</w:t>
      </w:r>
    </w:p>
    <w:p w14:paraId="44E20C69" w14:textId="2F02E519" w:rsidR="00A71C6E" w:rsidRDefault="00A71C6E" w:rsidP="00DC1238">
      <w:pPr>
        <w:spacing w:after="0"/>
        <w:rPr>
          <w:sz w:val="23"/>
          <w:szCs w:val="23"/>
        </w:rPr>
      </w:pPr>
    </w:p>
    <w:p w14:paraId="644A4192" w14:textId="15254BE6" w:rsidR="00A71C6E" w:rsidRPr="00A71C6E" w:rsidRDefault="00A71C6E" w:rsidP="00154541">
      <w:pPr>
        <w:pStyle w:val="Titre4"/>
        <w:numPr>
          <w:ilvl w:val="0"/>
          <w:numId w:val="22"/>
        </w:numPr>
        <w:spacing w:after="240"/>
      </w:pPr>
      <w:r>
        <w:t xml:space="preserve">Que </w:t>
      </w:r>
      <w:r w:rsidR="00A37CC4">
        <w:t>désigne-t-on</w:t>
      </w:r>
      <w:r>
        <w:t xml:space="preserve"> par la notion de risque arrêt de travail ?</w:t>
      </w:r>
    </w:p>
    <w:p w14:paraId="64BA778A" w14:textId="03C69878" w:rsidR="00A71C6E" w:rsidRDefault="00DC1238" w:rsidP="00850DE0">
      <w:r>
        <w:t xml:space="preserve">Ce que </w:t>
      </w:r>
      <w:r w:rsidR="00266DD7">
        <w:t>nous désignerons dans cette étude</w:t>
      </w:r>
      <w:r>
        <w:t xml:space="preserve"> par la notion de « risque arrêt de travail » constitue en pratique pour l’</w:t>
      </w:r>
      <w:r w:rsidR="00F271A3">
        <w:t>assureur l</w:t>
      </w:r>
      <w:r w:rsidR="0020223C">
        <w:t xml:space="preserve">’association </w:t>
      </w:r>
      <w:r w:rsidR="00F271A3">
        <w:t xml:space="preserve">du risque incapacité </w:t>
      </w:r>
      <w:r w:rsidR="0020223C">
        <w:t>et</w:t>
      </w:r>
      <w:r w:rsidR="00F271A3">
        <w:t xml:space="preserve"> </w:t>
      </w:r>
      <w:r w:rsidR="0020223C">
        <w:t>du</w:t>
      </w:r>
      <w:r w:rsidR="00F271A3">
        <w:t xml:space="preserve"> risque invalidité</w:t>
      </w:r>
      <w:r w:rsidR="0020223C">
        <w:t>. Cette association est nécessaire car l’incapacité temporaire de travail peut devenir permanente, soit par aggravement du facteur incapacitant, soit après la durée maximum légale de l’incapacité (36 mois)</w:t>
      </w:r>
      <w:r w:rsidR="00A71C6E">
        <w:t>, d’ailleurs cela constitue un réel enjeu pour l’actuaire qui doit prendre en compte la probabilité de passage en invalidité pour le calcul des provisions ITIP via les tables de maintien en incapacité</w:t>
      </w:r>
      <w:r w:rsidR="0020223C">
        <w:t xml:space="preserve">. </w:t>
      </w:r>
      <w:r w:rsidR="00F86B6E">
        <w:t xml:space="preserve"> </w:t>
      </w:r>
    </w:p>
    <w:p w14:paraId="295035AB" w14:textId="74D3DFF3" w:rsidR="00B11043" w:rsidRDefault="00A71C6E" w:rsidP="00D52CBD">
      <w:r>
        <w:t>Malgré qu’en pratique il aurait été plus simple de ne considérer qu’un seul type d’arrêt, ces</w:t>
      </w:r>
      <w:r w:rsidR="00F86B6E">
        <w:t xml:space="preserve"> deux risques sont très différents </w:t>
      </w:r>
      <w:r>
        <w:t xml:space="preserve">notamment via leur statut clairement et leur durée définis par la loi. </w:t>
      </w:r>
    </w:p>
    <w:p w14:paraId="7F435B7E" w14:textId="59740E29" w:rsidR="00266DD7" w:rsidRDefault="00266DD7" w:rsidP="00D52CBD">
      <w:r>
        <w:t xml:space="preserve">Parmi </w:t>
      </w:r>
      <w:r w:rsidR="00335EBE">
        <w:t>les différents types</w:t>
      </w:r>
      <w:r>
        <w:t xml:space="preserve"> d’arrêts</w:t>
      </w:r>
      <w:r w:rsidR="00BA57B2">
        <w:t xml:space="preserve">, on distingue les maladies ordinaires, que l’on classera dans la partie dédiée à l’absentéisme parmi les arrêts difficilement évitable, et le reste des types d’arrêts que nous trouverons dans le graphique ci-dessous issu du baromètre sur les arrêts de travail établie par REHALTO en 2019 et intitulé « Comprendre pour agir » : </w:t>
      </w:r>
    </w:p>
    <w:p w14:paraId="71EAEBC1" w14:textId="77777777" w:rsidR="00B11043" w:rsidRDefault="00B11043" w:rsidP="00B11043">
      <w:pPr>
        <w:keepNext/>
        <w:jc w:val="center"/>
      </w:pPr>
      <w:r>
        <w:rPr>
          <w:noProof/>
        </w:rPr>
        <w:lastRenderedPageBreak/>
        <w:drawing>
          <wp:inline distT="0" distB="0" distL="0" distR="0" wp14:anchorId="04E5A546" wp14:editId="27F4D6F8">
            <wp:extent cx="5011947" cy="2707005"/>
            <wp:effectExtent l="152400" t="152400" r="360680" b="3600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6610"/>
                    <a:stretch/>
                  </pic:blipFill>
                  <pic:spPr bwMode="auto">
                    <a:xfrm>
                      <a:off x="0" y="0"/>
                      <a:ext cx="5039201" cy="27217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5BB9E9E" w14:textId="361D9F46" w:rsidR="00B11043" w:rsidRDefault="00B11043" w:rsidP="00B11043">
      <w:pPr>
        <w:pStyle w:val="Lgende"/>
        <w:jc w:val="center"/>
      </w:pPr>
      <w:r>
        <w:t xml:space="preserve">Figure </w:t>
      </w:r>
      <w:r w:rsidR="00423160">
        <w:fldChar w:fldCharType="begin"/>
      </w:r>
      <w:r w:rsidR="00423160">
        <w:instrText xml:space="preserve"> SEQ Figure \* ARABIC </w:instrText>
      </w:r>
      <w:r w:rsidR="00423160">
        <w:fldChar w:fldCharType="separate"/>
      </w:r>
      <w:r w:rsidR="00D2767C">
        <w:rPr>
          <w:noProof/>
        </w:rPr>
        <w:t>2</w:t>
      </w:r>
      <w:r w:rsidR="00423160">
        <w:rPr>
          <w:noProof/>
        </w:rPr>
        <w:fldChar w:fldCharType="end"/>
      </w:r>
      <w:r>
        <w:t xml:space="preserve"> : Proportion des types d'arrêts connu par des salariés en entreprise</w:t>
      </w:r>
    </w:p>
    <w:p w14:paraId="2C7B41C7" w14:textId="77777777" w:rsidR="00B71D8B" w:rsidRPr="00D52CBD" w:rsidRDefault="00B71D8B" w:rsidP="00D52CBD"/>
    <w:p w14:paraId="6059F352" w14:textId="496E5747" w:rsidR="00A71C6E" w:rsidRDefault="00F86B6E" w:rsidP="00D52CBD">
      <w:pPr>
        <w:pStyle w:val="Titre3"/>
        <w:spacing w:before="360" w:after="360"/>
      </w:pPr>
      <w:bookmarkStart w:id="12" w:name="_Toc112955494"/>
      <w:r>
        <w:t>Environnement juridique</w:t>
      </w:r>
      <w:bookmarkEnd w:id="12"/>
      <w:r>
        <w:t xml:space="preserve"> </w:t>
      </w:r>
    </w:p>
    <w:p w14:paraId="44564511" w14:textId="7B425157" w:rsidR="00A71C6E" w:rsidRDefault="00A71C6E" w:rsidP="00A71C6E">
      <w:r>
        <w:t>L’environnement juridique autour de la notion du risque arrêt de travail est défini par les textes juridiques suivants :</w:t>
      </w:r>
    </w:p>
    <w:p w14:paraId="29B59178" w14:textId="77777777" w:rsidR="00A71C6E" w:rsidRPr="00385FB3" w:rsidRDefault="00A71C6E" w:rsidP="00154541">
      <w:pPr>
        <w:pStyle w:val="Paragraphedeliste"/>
        <w:numPr>
          <w:ilvl w:val="0"/>
          <w:numId w:val="21"/>
        </w:numPr>
        <w:ind w:left="643"/>
        <w:rPr>
          <w:b/>
          <w:bCs/>
        </w:rPr>
      </w:pPr>
      <w:r w:rsidRPr="00385FB3">
        <w:rPr>
          <w:b/>
          <w:bCs/>
        </w:rPr>
        <w:t xml:space="preserve">Loi Evin (31 décembre 1989) : </w:t>
      </w:r>
    </w:p>
    <w:p w14:paraId="56F929F3" w14:textId="1865F81C" w:rsidR="00A71C6E" w:rsidRPr="003F058D" w:rsidRDefault="00A71C6E" w:rsidP="003F058D">
      <w:pPr>
        <w:pStyle w:val="Sansinterligne"/>
      </w:pPr>
      <w:r w:rsidRPr="003F058D">
        <w:t>Son titre exact est : « Loi 89-1009 du 31 décembre 1989 renforçant les garanties aux personnes assurées contre certains risques »</w:t>
      </w:r>
    </w:p>
    <w:p w14:paraId="1AEC02AC" w14:textId="77777777" w:rsidR="00A71C6E" w:rsidRPr="003F058D" w:rsidRDefault="00A71C6E" w:rsidP="003F058D">
      <w:pPr>
        <w:pStyle w:val="Sansinterligne"/>
      </w:pPr>
    </w:p>
    <w:p w14:paraId="39D5FC68" w14:textId="643B063C" w:rsidR="00A71C6E" w:rsidRPr="003F058D" w:rsidRDefault="00A71C6E" w:rsidP="003F058D">
      <w:pPr>
        <w:pStyle w:val="Sansinterligne"/>
      </w:pPr>
      <w:r w:rsidRPr="003F058D">
        <w:t xml:space="preserve">C’est la première loi spécifique de Prévoyance, elle crée le premier ensemble de règles applicables à toutes les familles d’assureurs (les institutions de prévoyances, les mutuelles, les assureurs). Elle impose les trois points suivants : </w:t>
      </w:r>
    </w:p>
    <w:p w14:paraId="6140F613" w14:textId="77777777" w:rsidR="00A71C6E" w:rsidRDefault="00A71C6E" w:rsidP="00154541">
      <w:pPr>
        <w:pStyle w:val="Paragraphedeliste"/>
        <w:numPr>
          <w:ilvl w:val="0"/>
          <w:numId w:val="31"/>
        </w:numPr>
        <w:spacing w:before="240"/>
      </w:pPr>
      <w:r w:rsidRPr="00A71C6E">
        <w:t>Évaluation des provisions techniques au niveau atteint.</w:t>
      </w:r>
    </w:p>
    <w:p w14:paraId="142D1E02" w14:textId="77777777" w:rsidR="00A71C6E" w:rsidRDefault="00A71C6E" w:rsidP="00154541">
      <w:pPr>
        <w:pStyle w:val="Paragraphedeliste"/>
        <w:numPr>
          <w:ilvl w:val="0"/>
          <w:numId w:val="31"/>
        </w:numPr>
      </w:pPr>
      <w:r w:rsidRPr="00A71C6E">
        <w:t>Reprise des encours (et évaluation des provisions pour revalorisation).</w:t>
      </w:r>
    </w:p>
    <w:p w14:paraId="4C823271" w14:textId="0AF33132" w:rsidR="00A71C6E" w:rsidRPr="00A71C6E" w:rsidRDefault="00A71C6E" w:rsidP="00154541">
      <w:pPr>
        <w:pStyle w:val="Paragraphedeliste"/>
        <w:numPr>
          <w:ilvl w:val="0"/>
          <w:numId w:val="31"/>
        </w:numPr>
      </w:pPr>
      <w:r w:rsidRPr="00A71C6E">
        <w:t xml:space="preserve">Maintien des garanties décès aux invalides et aux incapables (décret du 17 juillet 2001). </w:t>
      </w:r>
    </w:p>
    <w:p w14:paraId="265AEEAC" w14:textId="29171111" w:rsidR="00A71C6E" w:rsidRPr="00D52CBD" w:rsidRDefault="00A71C6E" w:rsidP="00D52CBD">
      <w:r w:rsidRPr="00A71C6E">
        <w:t xml:space="preserve">Cette loi oblige </w:t>
      </w:r>
      <w:r>
        <w:t xml:space="preserve">l’ensemble des familles d’assureurs </w:t>
      </w:r>
      <w:r w:rsidRPr="00A71C6E">
        <w:t>à provisionner les sinistres en cours pour les couvertures du risque décès, des risques portant atteinte à l'intégrité physique de la personne ou liés à la maternité, des risques d'incapacité de travail, d'invalidité et du risque chômage.</w:t>
      </w:r>
    </w:p>
    <w:p w14:paraId="54D73BB4" w14:textId="49D07B65" w:rsidR="00A71C6E" w:rsidRPr="00385FB3" w:rsidRDefault="00A71C6E" w:rsidP="00154541">
      <w:pPr>
        <w:pStyle w:val="Paragraphedeliste"/>
        <w:numPr>
          <w:ilvl w:val="0"/>
          <w:numId w:val="21"/>
        </w:numPr>
        <w:ind w:left="643"/>
        <w:rPr>
          <w:b/>
          <w:bCs/>
        </w:rPr>
      </w:pPr>
      <w:r w:rsidRPr="00385FB3">
        <w:rPr>
          <w:b/>
          <w:bCs/>
        </w:rPr>
        <w:t>Loi du 8 août 1994 :</w:t>
      </w:r>
    </w:p>
    <w:p w14:paraId="0FD1F96E" w14:textId="68DBBF98" w:rsidR="00A71C6E" w:rsidRDefault="00A71C6E" w:rsidP="003F058D">
      <w:pPr>
        <w:pStyle w:val="Sansinterligne"/>
      </w:pPr>
      <w:r>
        <w:t>Cette loi arriva en complément de la loi Evin</w:t>
      </w:r>
      <w:r w:rsidR="00820C0F">
        <w:t>,</w:t>
      </w:r>
      <w:r>
        <w:t xml:space="preserve"> dans le but de transposer dans le droit français </w:t>
      </w:r>
      <w:r w:rsidRPr="00A71C6E">
        <w:t>une directive européenne en matière</w:t>
      </w:r>
      <w:r>
        <w:t xml:space="preserve"> </w:t>
      </w:r>
      <w:r w:rsidRPr="00A71C6E">
        <w:t>d’assurance, cette loi crée le premier corps de règles</w:t>
      </w:r>
      <w:r>
        <w:t xml:space="preserve"> </w:t>
      </w:r>
      <w:r w:rsidRPr="00A71C6E">
        <w:t>relatives à la protection sociale</w:t>
      </w:r>
      <w:r>
        <w:t xml:space="preserve"> </w:t>
      </w:r>
      <w:r w:rsidRPr="00A71C6E">
        <w:t>des salariés.</w:t>
      </w:r>
    </w:p>
    <w:p w14:paraId="51521D3C" w14:textId="4D415226" w:rsidR="00820C0F" w:rsidRDefault="00820C0F" w:rsidP="003F058D">
      <w:pPr>
        <w:pStyle w:val="Sansinterligne"/>
      </w:pPr>
      <w:r>
        <w:t xml:space="preserve">Cette loi pose les fondements juridiques de toute couverture collective, elle impose notamment une période de réexamen d’au plus 5 années pour les conventions collectives de branche ou </w:t>
      </w:r>
      <w:r>
        <w:lastRenderedPageBreak/>
        <w:t xml:space="preserve">d’entreprise qui désigne un organisme assureur et, en complément à la loi Evin, elle ajoute l’obligation d’organiser la poursuite de la revalorisation des prestations en cours de service en cas de résiliation du contrat ainsi que le </w:t>
      </w:r>
      <w:r w:rsidR="00A37CC4">
        <w:t>maintien</w:t>
      </w:r>
      <w:r>
        <w:t xml:space="preserve"> de la garantie décès. </w:t>
      </w:r>
    </w:p>
    <w:p w14:paraId="43412EE7" w14:textId="77777777" w:rsidR="00A71C6E" w:rsidRPr="00A71C6E" w:rsidRDefault="00A71C6E" w:rsidP="00A71C6E">
      <w:pPr>
        <w:pStyle w:val="Default"/>
        <w:rPr>
          <w:rFonts w:ascii="Candara" w:hAnsi="Candara" w:cs="Candara"/>
          <w:sz w:val="23"/>
          <w:szCs w:val="23"/>
        </w:rPr>
      </w:pPr>
    </w:p>
    <w:p w14:paraId="1B1624B7" w14:textId="30A389EB" w:rsidR="00A71C6E" w:rsidRPr="00385FB3" w:rsidRDefault="00A71C6E" w:rsidP="00154541">
      <w:pPr>
        <w:pStyle w:val="Paragraphedeliste"/>
        <w:numPr>
          <w:ilvl w:val="0"/>
          <w:numId w:val="21"/>
        </w:numPr>
        <w:ind w:left="643"/>
        <w:rPr>
          <w:b/>
          <w:bCs/>
        </w:rPr>
      </w:pPr>
      <w:r w:rsidRPr="00385FB3">
        <w:rPr>
          <w:b/>
          <w:bCs/>
        </w:rPr>
        <w:t>Arrêté du 28 mars 1996 :</w:t>
      </w:r>
    </w:p>
    <w:p w14:paraId="0CEED28B" w14:textId="59001655" w:rsidR="00A71C6E" w:rsidRDefault="00850DE0" w:rsidP="00A71C6E">
      <w:r>
        <w:t>Cet arrêté a pour objectif</w:t>
      </w:r>
      <w:r w:rsidR="0046574F">
        <w:t xml:space="preserve"> la définition de règles sur l’évaluation des provisions mathématiques d’inventaire sur les risques incapacité et invalidité :</w:t>
      </w:r>
    </w:p>
    <w:p w14:paraId="1A635BA3" w14:textId="6AC1E57C" w:rsidR="0046574F" w:rsidRDefault="0046574F" w:rsidP="00154541">
      <w:pPr>
        <w:pStyle w:val="Paragraphedeliste"/>
        <w:numPr>
          <w:ilvl w:val="0"/>
          <w:numId w:val="32"/>
        </w:numPr>
        <w:ind w:left="1069"/>
      </w:pPr>
      <w:r>
        <w:t>Concernant le provisionnement incapacité : une provision de l’incapacité en cours doit être compléter par une provision de passage en invalidité ou encore appelée provision d’invalidité en attente.</w:t>
      </w:r>
    </w:p>
    <w:p w14:paraId="2B8DAC2D" w14:textId="79C9FA87" w:rsidR="0046574F" w:rsidRDefault="001322DF" w:rsidP="00154541">
      <w:pPr>
        <w:pStyle w:val="Paragraphedeliste"/>
        <w:numPr>
          <w:ilvl w:val="0"/>
          <w:numId w:val="32"/>
        </w:numPr>
        <w:ind w:left="1069"/>
      </w:pPr>
      <w:r>
        <w:t>Pour l’invalidité, une provision mathématique d’invalidité en cours doit être constituée</w:t>
      </w:r>
    </w:p>
    <w:p w14:paraId="0BD9965A" w14:textId="2349CBB7" w:rsidR="001322DF" w:rsidRDefault="001322DF" w:rsidP="00154541">
      <w:pPr>
        <w:pStyle w:val="Paragraphedeliste"/>
        <w:numPr>
          <w:ilvl w:val="0"/>
          <w:numId w:val="32"/>
        </w:numPr>
        <w:ind w:left="1069"/>
      </w:pPr>
      <w:r>
        <w:t xml:space="preserve">Les provisions mathématiques doivent </w:t>
      </w:r>
      <w:r w:rsidR="00AC25EE">
        <w:t>être calculées</w:t>
      </w:r>
      <w:r>
        <w:t xml:space="preserve"> en utilisant des tables réglementaires de maintien du BCAC, ou d’une table certifiée et en utilisant un taux actuariel inférieur à 75% du TME, majoré par 4,5%</w:t>
      </w:r>
    </w:p>
    <w:p w14:paraId="1875C9C3" w14:textId="48F630EA" w:rsidR="001322DF" w:rsidRDefault="001322DF" w:rsidP="001322DF">
      <w:pPr>
        <w:pStyle w:val="Paragraphedeliste"/>
        <w:ind w:left="1069"/>
      </w:pPr>
    </w:p>
    <w:p w14:paraId="7F9AA53C" w14:textId="77777777" w:rsidR="0046574F" w:rsidRDefault="0046574F" w:rsidP="0046574F">
      <w:pPr>
        <w:pStyle w:val="Paragraphedeliste"/>
        <w:ind w:left="1423"/>
      </w:pPr>
    </w:p>
    <w:p w14:paraId="00A5307A" w14:textId="77777777" w:rsidR="00A71C6E" w:rsidRDefault="00A71C6E" w:rsidP="00A71C6E"/>
    <w:p w14:paraId="44769485" w14:textId="23B02DE3" w:rsidR="00DC1238" w:rsidRDefault="00DC1238" w:rsidP="00A71C6E">
      <w:r>
        <w:br w:type="page"/>
      </w:r>
    </w:p>
    <w:p w14:paraId="099CC824" w14:textId="77777777" w:rsidR="00DC1238" w:rsidRDefault="00DC1238" w:rsidP="00DC1238">
      <w:pPr>
        <w:spacing w:after="0"/>
      </w:pPr>
    </w:p>
    <w:p w14:paraId="7AF88347" w14:textId="77777777" w:rsidR="00D71E35" w:rsidRDefault="00D71E35" w:rsidP="00A103B7"/>
    <w:p w14:paraId="2DB32FAF" w14:textId="7C92FFFC" w:rsidR="00A103B7" w:rsidRPr="009212F2" w:rsidRDefault="00A103B7" w:rsidP="009D0087">
      <w:pPr>
        <w:pStyle w:val="Titre1"/>
        <w:ind w:firstLine="708"/>
      </w:pPr>
      <w:bookmarkStart w:id="13" w:name="_Toc112955495"/>
      <w:r w:rsidRPr="009212F2">
        <w:t>L’absentéisme en entreprise en France</w:t>
      </w:r>
      <w:bookmarkEnd w:id="13"/>
    </w:p>
    <w:p w14:paraId="6BB6ACFB" w14:textId="45484E20" w:rsidR="004F5DA7" w:rsidRDefault="00A103B7" w:rsidP="004D450D">
      <w:pPr>
        <w:pStyle w:val="Titre2"/>
      </w:pPr>
      <w:bookmarkStart w:id="14" w:name="_Toc112955496"/>
      <w:r>
        <w:t>Qu’est-ce que l’absentéisme ?</w:t>
      </w:r>
      <w:bookmarkEnd w:id="14"/>
    </w:p>
    <w:p w14:paraId="3132FE3B" w14:textId="77777777" w:rsidR="00721820" w:rsidRDefault="004F5DA7" w:rsidP="00721820">
      <w:pPr>
        <w:spacing w:before="240" w:after="120"/>
        <w:jc w:val="left"/>
      </w:pPr>
      <w:r>
        <w:t>L</w:t>
      </w:r>
      <w:r w:rsidR="00CA31DB">
        <w:t>’</w:t>
      </w:r>
      <w:r>
        <w:t xml:space="preserve">absentéisme </w:t>
      </w:r>
      <w:r w:rsidR="00CA31DB">
        <w:t xml:space="preserve">est une notion dont la définition n’est pas unanime selon les sources et diffère en fonction de la nature de l’absence, selon l’encyclopédie Larousse, l’absentéisme est le fait d’être absent du lieu de travail ou de tout lieu où pour des raisons de travail, de participation à une action ou autre, la présence est obligatoire, en entreprise on distingue les absences non évitables comme par exemple les congés maternité, pour événements familiaux, </w:t>
      </w:r>
      <w:proofErr w:type="spellStart"/>
      <w:r w:rsidR="00CA31DB">
        <w:t>etc</w:t>
      </w:r>
      <w:proofErr w:type="spellEnd"/>
      <w:r w:rsidR="00CA31DB">
        <w:t xml:space="preserve">, et les arrêts évitables qui dépendrait autant de comportements personnels que de facteurs sociaux.  </w:t>
      </w:r>
    </w:p>
    <w:p w14:paraId="34B02254" w14:textId="3C1D1FC9" w:rsidR="004D450D" w:rsidRDefault="00CA31DB">
      <w:pPr>
        <w:jc w:val="left"/>
      </w:pPr>
      <w:r>
        <w:t xml:space="preserve">Selon le rapport de l’ANACT, l’absentéisme en entreprise </w:t>
      </w:r>
      <w:r w:rsidR="004F5DA7">
        <w:t>désigne toute absence qui aurait pu être évitée par une prévention suffisante</w:t>
      </w:r>
      <w:r w:rsidR="00721820">
        <w:t>,</w:t>
      </w:r>
      <w:r w:rsidR="004F5DA7">
        <w:t xml:space="preserve"> faite en amont sur les conditions de travail au sens large, c’est-à-dire les conditions qui concernent </w:t>
      </w:r>
      <w:r w:rsidR="0027197C">
        <w:t>les conditions physiques</w:t>
      </w:r>
      <w:r w:rsidR="007D653B">
        <w:t xml:space="preserve"> de travail (position de travail, matériel adapté à disposition du salarié, …), l’organisation du travail, la conciliation des temps professionnel et privé,</w:t>
      </w:r>
      <w:r w:rsidR="00721820">
        <w:t xml:space="preserve"> et tout autre facte</w:t>
      </w:r>
      <w:r w:rsidR="00C8300D">
        <w:t>ur pouvant améliorer la qualité de vie au travail.</w:t>
      </w:r>
      <w:r w:rsidR="004D450D">
        <w:t xml:space="preserve"> Selon ce rapport, les absences comme les congés de formation ou maternité font </w:t>
      </w:r>
      <w:proofErr w:type="spellStart"/>
      <w:r w:rsidR="004D450D">
        <w:t>parti</w:t>
      </w:r>
      <w:proofErr w:type="spellEnd"/>
      <w:r w:rsidR="004D450D">
        <w:t xml:space="preserve"> des absences qui ne sont pas de l’absentéisme. En bref, le choix de ce que l’on désigne ou pas comme de l’absentéisme appartient en pratique au responsable qui choisit ce que l’on considère ou non dans le calcul du taux d’absentéisme, qui est un indicateur que l’on détaillera dans la suite.</w:t>
      </w:r>
    </w:p>
    <w:p w14:paraId="4ED3E74E" w14:textId="325D8DAD" w:rsidR="004D450D" w:rsidRDefault="004D450D">
      <w:pPr>
        <w:jc w:val="left"/>
      </w:pPr>
    </w:p>
    <w:p w14:paraId="07B17DCC" w14:textId="37BB7E2D" w:rsidR="004D450D" w:rsidRDefault="004D450D" w:rsidP="004D450D">
      <w:pPr>
        <w:pStyle w:val="Titre2"/>
      </w:pPr>
      <w:bookmarkStart w:id="15" w:name="_Toc112955497"/>
      <w:r>
        <w:t>Quelles sont les causes de l’absentéisme ?</w:t>
      </w:r>
      <w:bookmarkEnd w:id="15"/>
    </w:p>
    <w:p w14:paraId="4A1106BB" w14:textId="77777777" w:rsidR="004D450D" w:rsidRDefault="004D450D">
      <w:pPr>
        <w:jc w:val="left"/>
      </w:pPr>
    </w:p>
    <w:p w14:paraId="7D548E23" w14:textId="2BD5DC7F" w:rsidR="004D450D" w:rsidRDefault="005100C8">
      <w:pPr>
        <w:jc w:val="left"/>
      </w:pPr>
      <w:r>
        <w:t xml:space="preserve">Les causes de l’absentéisme sont nombreuses et de nature très variées, en passant par des causes fréquentes et évidentes comme des conditions de travails pénibles ou inconfortable (ex : port de charge lourdes, mauvais matériel,…) et des causes un peu plus cachés comme l’ambiance au travail ou les exigences du travail qui peuvent avoir un impact psychologique important sur les salariés et ainsi être la source de troubles psychosociaux, </w:t>
      </w:r>
      <w:r w:rsidR="00B11043">
        <w:t>nous allons à présent tenter de présenter certaines causes importante d’absentéisme en entreprise :</w:t>
      </w:r>
      <w:r>
        <w:t xml:space="preserve"> </w:t>
      </w:r>
    </w:p>
    <w:p w14:paraId="607ADC22" w14:textId="3DF89181" w:rsidR="00245FB4" w:rsidRDefault="00B11043" w:rsidP="00154541">
      <w:pPr>
        <w:pStyle w:val="Paragraphedeliste"/>
        <w:numPr>
          <w:ilvl w:val="0"/>
          <w:numId w:val="33"/>
        </w:numPr>
        <w:spacing w:after="120"/>
        <w:ind w:left="927"/>
        <w:jc w:val="left"/>
      </w:pPr>
      <w:r w:rsidRPr="0019409C">
        <w:rPr>
          <w:b/>
          <w:bCs/>
        </w:rPr>
        <w:t>Les conditions matérielles de travail :</w:t>
      </w:r>
      <w:r>
        <w:t xml:space="preserve"> </w:t>
      </w:r>
      <w:r w:rsidR="00AF56B0">
        <w:t>il faut dans un premier temps considérer les conditions matérielles de réalisation du travail comme étant une cause très importante de l’absentéisme en entreprise, cela passe par la configuration et l’état des locaux de travail, les horaires de travail</w:t>
      </w:r>
      <w:r w:rsidR="00BD24A2">
        <w:t>, ces différents éléments augmentent la charge physique des salariés et sont souvent une des causes d’apparition de troubles comme les troubles musculo squelettiques ou psychosociaux.</w:t>
      </w:r>
      <w:r w:rsidR="00AF56B0">
        <w:t xml:space="preserve"> </w:t>
      </w:r>
      <w:r w:rsidR="00BD24A2">
        <w:t>Hormis</w:t>
      </w:r>
      <w:r w:rsidR="002B4499">
        <w:t xml:space="preserve"> les maladies ordinaires, les troubles musculo squelettiques (TMS) </w:t>
      </w:r>
      <w:r w:rsidR="00BD24A2">
        <w:t xml:space="preserve">et les troubles psychosociaux sont les causes principales d’arrêt de travail en France, selon </w:t>
      </w:r>
      <w:proofErr w:type="spellStart"/>
      <w:r w:rsidR="00BD24A2">
        <w:t>Rehalto</w:t>
      </w:r>
      <w:proofErr w:type="spellEnd"/>
      <w:r w:rsidR="00BD24A2">
        <w:t>, respectivement 27% et 29%.</w:t>
      </w:r>
      <w:r w:rsidR="00245FB4">
        <w:t xml:space="preserve"> Les TMS sont </w:t>
      </w:r>
      <w:r w:rsidR="003E41AA">
        <w:t>à l’origine de</w:t>
      </w:r>
      <w:r w:rsidR="00245FB4">
        <w:t xml:space="preserve"> gènes </w:t>
      </w:r>
      <w:r w:rsidR="003E41AA">
        <w:t>et de douleurs dans la vie quotidienne et dans le travail, ils sont qualifiés par l’OMS comme des « maladies liées au travail » (« </w:t>
      </w:r>
      <w:proofErr w:type="spellStart"/>
      <w:r w:rsidR="003E41AA">
        <w:t>work-related</w:t>
      </w:r>
      <w:proofErr w:type="spellEnd"/>
      <w:r w:rsidR="003E41AA">
        <w:t xml:space="preserve"> </w:t>
      </w:r>
      <w:proofErr w:type="spellStart"/>
      <w:r w:rsidR="003E41AA">
        <w:t>diseases</w:t>
      </w:r>
      <w:proofErr w:type="spellEnd"/>
      <w:r w:rsidR="003E41AA">
        <w:t xml:space="preserve"> ») car la nature, le milieu et les conditions de travail ont une part importante dans l’étiologie des maladies multifactorielles. En effet, on identifie dans </w:t>
      </w:r>
      <w:r w:rsidR="002D5679">
        <w:t>la littérature</w:t>
      </w:r>
      <w:r w:rsidR="003E41AA">
        <w:t xml:space="preserve"> de nombreux facteurs d’origine professionnelle et personnelle, dont des facteurs non modifiables comme </w:t>
      </w:r>
      <w:r w:rsidR="006F6474">
        <w:t>l’âge</w:t>
      </w:r>
      <w:r w:rsidR="003E41AA">
        <w:t xml:space="preserve">, le sexe ou la taille, et d’autres facteurs que l’on considérera évitable c’est-à-dire que l’on pourrait </w:t>
      </w:r>
      <w:r w:rsidR="006F6474">
        <w:t>atténuer</w:t>
      </w:r>
      <w:r w:rsidR="003E41AA">
        <w:t xml:space="preserve"> </w:t>
      </w:r>
      <w:r w:rsidR="006F6474">
        <w:t>par</w:t>
      </w:r>
      <w:r w:rsidR="003E41AA">
        <w:t xml:space="preserve"> de la prévention comme la consommation de tabac, la sédentarité ou la posture adoptée au travail. </w:t>
      </w:r>
      <w:r w:rsidR="003E41AA">
        <w:lastRenderedPageBreak/>
        <w:t>L</w:t>
      </w:r>
      <w:r w:rsidR="006F6474">
        <w:t>’entreprise a une responsabilité quant à la prévention des facteurs de risques de TMS de nature professionnelle ce sont en général des facteurs de risques biomécanique comme des mouvements trop répétitifs, des vibrations ou encore des séquelles dues au port de charges lourdes et des facteurs de risques psychosociaux.</w:t>
      </w:r>
    </w:p>
    <w:p w14:paraId="48BAEB2F" w14:textId="038096BE" w:rsidR="006F6474" w:rsidRDefault="002D5679" w:rsidP="00A51CCF">
      <w:pPr>
        <w:pStyle w:val="Paragraphedeliste"/>
        <w:spacing w:after="120"/>
        <w:ind w:left="927"/>
        <w:jc w:val="left"/>
      </w:pPr>
      <w:r>
        <w:t xml:space="preserve">Les risques psychosociaux sont réputés pour favoriser certaines pathologies de mal-être au travail </w:t>
      </w:r>
      <w:proofErr w:type="gramStart"/>
      <w:r>
        <w:t>comme par exemple</w:t>
      </w:r>
      <w:proofErr w:type="gramEnd"/>
      <w:r>
        <w:t xml:space="preserve"> le </w:t>
      </w:r>
      <w:proofErr w:type="spellStart"/>
      <w:r>
        <w:t>burn</w:t>
      </w:r>
      <w:proofErr w:type="spellEnd"/>
      <w:r>
        <w:t xml:space="preserve"> out qui est synonyme d’épuisement lié à une charge de travail et d’une pression trop intense. </w:t>
      </w:r>
      <w:r w:rsidR="00A51CCF">
        <w:t xml:space="preserve">La notion de risques psychosociaux est vaste </w:t>
      </w:r>
      <w:r w:rsidR="00830330">
        <w:t>et</w:t>
      </w:r>
      <w:r w:rsidR="003F058D">
        <w:t xml:space="preserve"> concerne l’ensemble des éléments inhérent</w:t>
      </w:r>
      <w:r>
        <w:t xml:space="preserve"> impactant la charge mentale de l’employé </w:t>
      </w:r>
      <w:r w:rsidR="00830330">
        <w:t>comme les situations de stress, les violences internes ou externes à l’entreprise qui peuvent générer un mal-être de l’employé au travail puis dérivé sur des pathologies menant à de l’absentéisme.</w:t>
      </w:r>
    </w:p>
    <w:p w14:paraId="59263BC3" w14:textId="2ACF7F0F" w:rsidR="003F058D" w:rsidRDefault="003F058D" w:rsidP="00A51CCF">
      <w:pPr>
        <w:pStyle w:val="Paragraphedeliste"/>
        <w:spacing w:after="120"/>
        <w:ind w:left="927"/>
        <w:jc w:val="left"/>
      </w:pPr>
    </w:p>
    <w:p w14:paraId="754A2668" w14:textId="77777777" w:rsidR="003F058D" w:rsidRDefault="003F058D" w:rsidP="00A51CCF">
      <w:pPr>
        <w:pStyle w:val="Paragraphedeliste"/>
        <w:spacing w:after="120"/>
        <w:ind w:left="927"/>
        <w:jc w:val="left"/>
      </w:pPr>
    </w:p>
    <w:p w14:paraId="12A58BBC" w14:textId="2B887926" w:rsidR="00BD24A2" w:rsidRDefault="0019409C" w:rsidP="00154541">
      <w:pPr>
        <w:pStyle w:val="Paragraphedeliste"/>
        <w:numPr>
          <w:ilvl w:val="0"/>
          <w:numId w:val="33"/>
        </w:numPr>
        <w:spacing w:after="100" w:afterAutospacing="1"/>
        <w:ind w:left="927"/>
        <w:jc w:val="left"/>
      </w:pPr>
      <w:r w:rsidRPr="0019409C">
        <w:rPr>
          <w:b/>
          <w:bCs/>
        </w:rPr>
        <w:t>L’engagement et le désengagement au travail :</w:t>
      </w:r>
      <w:r>
        <w:t xml:space="preserve"> Les causes de l’absentéisme ne sont pas uniquement dû à la santé physique ou psychologique des salariés, l’engagement au travail définit par LAWLER E.E. et HALL D.T. dans leur ouvrage </w:t>
      </w:r>
      <w:r w:rsidRPr="0019409C">
        <w:rPr>
          <w:i/>
          <w:iCs/>
        </w:rPr>
        <w:t xml:space="preserve">Journal of </w:t>
      </w:r>
      <w:proofErr w:type="spellStart"/>
      <w:r w:rsidRPr="0019409C">
        <w:rPr>
          <w:i/>
          <w:iCs/>
        </w:rPr>
        <w:t>Applied</w:t>
      </w:r>
      <w:proofErr w:type="spellEnd"/>
      <w:r w:rsidRPr="0019409C">
        <w:rPr>
          <w:i/>
          <w:iCs/>
        </w:rPr>
        <w:t xml:space="preserve"> Psychology</w:t>
      </w:r>
      <w:r>
        <w:t xml:space="preserve"> comme étant : « le degré selon lequel une personne perçoit son travail comme étant une partie importante de sa vie et de son identité, grâce aux opportunités qu’il offre de satisfaire des besoins importants » joue un rôle très important dans la vie d’une entreprise car il traduit la santé de la relation entre une personne et son employeur</w:t>
      </w:r>
      <w:r w:rsidR="00245FB4">
        <w:t>, particulièrement son degré d’implication dans son travail.</w:t>
      </w:r>
    </w:p>
    <w:p w14:paraId="4678B8FF" w14:textId="7AE8E042" w:rsidR="00B11043" w:rsidRDefault="00B11043" w:rsidP="00BD24A2">
      <w:pPr>
        <w:pStyle w:val="Paragraphedeliste"/>
        <w:ind w:left="927"/>
        <w:jc w:val="left"/>
      </w:pPr>
    </w:p>
    <w:p w14:paraId="2872AC9B" w14:textId="0724DF2E" w:rsidR="00FB72CD" w:rsidRDefault="00FB72CD">
      <w:pPr>
        <w:jc w:val="left"/>
        <w:rPr>
          <w:rFonts w:eastAsiaTheme="majorEastAsia" w:cstheme="majorBidi"/>
          <w:color w:val="2F5496" w:themeColor="accent1" w:themeShade="BF"/>
          <w:sz w:val="26"/>
          <w:szCs w:val="26"/>
        </w:rPr>
      </w:pPr>
      <w:r>
        <w:br w:type="page"/>
      </w:r>
    </w:p>
    <w:p w14:paraId="0204DC5D" w14:textId="2AF64C30" w:rsidR="00A103B7" w:rsidRDefault="00A103B7" w:rsidP="00A103B7">
      <w:pPr>
        <w:pStyle w:val="Titre2"/>
      </w:pPr>
      <w:bookmarkStart w:id="16" w:name="_Toc112955498"/>
      <w:r>
        <w:lastRenderedPageBreak/>
        <w:t>Comment mesurer l’absentéisme en entreprise ?</w:t>
      </w:r>
      <w:bookmarkEnd w:id="16"/>
    </w:p>
    <w:p w14:paraId="7180E7FB" w14:textId="2192CF75" w:rsidR="00CE6D17" w:rsidRPr="00CE6D17" w:rsidRDefault="00CE6D17" w:rsidP="00CE6D17">
      <w:pPr>
        <w:pStyle w:val="Sansinterligne"/>
        <w:spacing w:before="360"/>
        <w:rPr>
          <w:b/>
          <w:bCs/>
        </w:rPr>
      </w:pPr>
      <w:r>
        <w:t>L’absentéisme comporte de multiples aspects qui s’entrecroisent : administratifs, économiques, sociaux et sanitaires. Il n’y a pas de cause unique à l’absentéisme des salariés. L’absentéisme est un révélateur du fonctionnement de l’organisation, de l’attrait que celle-ci recèle pour les salariés (en favorisant l’engagement au travail), mais aussi de l’état de</w:t>
      </w:r>
      <w:r w:rsidRPr="000A3616">
        <w:t xml:space="preserve"> </w:t>
      </w:r>
      <w:r>
        <w:t>santé global d’une population et de ses caractéristiques (âge et genre, etc.). Dans tous les cas, il est nécessaire, avant d’agir, de procéder à un bon diagnostic de la situation. Ensuite, un débat nourri entre les directions, l’encadrement, le personnel et ses représentants sera indispensable pour mettre en place un programme d’action efficace.</w:t>
      </w:r>
    </w:p>
    <w:p w14:paraId="17BA76C6" w14:textId="76D20118" w:rsidR="00053CE5" w:rsidRDefault="00E677E6" w:rsidP="00CE6D17">
      <w:pPr>
        <w:pStyle w:val="Sansinterligne"/>
        <w:spacing w:before="120"/>
      </w:pPr>
      <w:r>
        <w:t xml:space="preserve">Pour pouvoir effectuer des actions </w:t>
      </w:r>
      <w:r w:rsidR="00053CE5">
        <w:t>de prévention</w:t>
      </w:r>
      <w:r>
        <w:t xml:space="preserve"> sur l’absentéisme en entreprise, il faut d’abord être en mesure de le quantifier et de la caractériser. </w:t>
      </w:r>
    </w:p>
    <w:p w14:paraId="06BB7123" w14:textId="77777777" w:rsidR="00843D17" w:rsidRDefault="00053CE5" w:rsidP="00CE6D17">
      <w:pPr>
        <w:pStyle w:val="Sansinterligne"/>
        <w:spacing w:before="120"/>
      </w:pPr>
      <w:r>
        <w:t>Pour caractériser de l’absentéisme,</w:t>
      </w:r>
      <w:r w:rsidR="00E677E6">
        <w:t xml:space="preserve"> il faut</w:t>
      </w:r>
      <w:r>
        <w:t xml:space="preserve"> être en mesure</w:t>
      </w:r>
      <w:r w:rsidR="00E677E6">
        <w:t xml:space="preserve"> </w:t>
      </w:r>
      <w:r>
        <w:t>d’</w:t>
      </w:r>
      <w:r w:rsidR="00E677E6">
        <w:t>identifier la nature des absences</w:t>
      </w:r>
      <w:r>
        <w:t>, la durée, la fréquence, potentiellement la rechute, etc.</w:t>
      </w:r>
      <w:r w:rsidR="00E677E6">
        <w:t xml:space="preserve"> </w:t>
      </w:r>
    </w:p>
    <w:p w14:paraId="370DBA17" w14:textId="2C6C548A" w:rsidR="00843D17" w:rsidRDefault="00843D17" w:rsidP="00053CE5">
      <w:pPr>
        <w:pStyle w:val="Sansinterligne"/>
        <w:spacing w:before="240"/>
      </w:pPr>
      <w:r>
        <w:t>Nous définissons ensuite les indicateurs que nous pouvons utiliser en pratique pour quantifier l’absentéisme en entreprise.</w:t>
      </w:r>
    </w:p>
    <w:p w14:paraId="52F3FA10" w14:textId="77777777" w:rsidR="00843D17" w:rsidRDefault="00843D17" w:rsidP="00053CE5">
      <w:pPr>
        <w:pStyle w:val="Sansinterligne"/>
        <w:spacing w:before="240"/>
      </w:pPr>
    </w:p>
    <w:p w14:paraId="0EE06DDD" w14:textId="00B561FF" w:rsidR="00FB72CD" w:rsidRDefault="00FB72CD" w:rsidP="00053CE5">
      <w:pPr>
        <w:pStyle w:val="Sansinterligne"/>
        <w:spacing w:before="240"/>
        <w:rPr>
          <w:rFonts w:eastAsiaTheme="majorEastAsia" w:cstheme="majorBidi"/>
          <w:color w:val="2F5496" w:themeColor="accent1" w:themeShade="BF"/>
          <w:sz w:val="26"/>
          <w:szCs w:val="26"/>
        </w:rPr>
      </w:pPr>
    </w:p>
    <w:p w14:paraId="497D27A3" w14:textId="691F99C8" w:rsidR="00843D17" w:rsidRDefault="00843D17" w:rsidP="006A3FB9">
      <w:pPr>
        <w:pStyle w:val="Sansinterligne"/>
      </w:pPr>
      <w:r w:rsidRPr="006A3FB9">
        <w:t xml:space="preserve">Le taux d’absentéisme </w:t>
      </w:r>
      <w:r w:rsidR="00D479BF">
        <w:t xml:space="preserve">est un indicateur </w:t>
      </w:r>
      <w:r w:rsidR="00637264">
        <w:t>fréquemment</w:t>
      </w:r>
      <w:r w:rsidR="00D479BF">
        <w:t xml:space="preserve"> utilisé pour quantifier l’absentéisme, c’est le rapport entre nombre de jours arrêté sur une année et le nombre de jours de travail total :</w:t>
      </w:r>
    </w:p>
    <w:p w14:paraId="15F4B0FA" w14:textId="7C5B8D41" w:rsidR="00D479BF" w:rsidRDefault="00D479BF" w:rsidP="00D479BF">
      <w:pPr>
        <w:pStyle w:val="Sansinterligne"/>
        <w:spacing w:before="240"/>
      </w:pPr>
      <m:oMathPara>
        <m:oMath>
          <m:r>
            <w:rPr>
              <w:rFonts w:ascii="Cambria Math" w:hAnsi="Cambria Math"/>
            </w:rPr>
            <m:t xml:space="preserve">Taux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absentéisme= </m:t>
          </m:r>
          <m:f>
            <m:fPr>
              <m:ctrlPr>
                <w:rPr>
                  <w:rFonts w:ascii="Cambria Math" w:hAnsi="Cambria Math"/>
                  <w:i/>
                </w:rPr>
              </m:ctrlPr>
            </m:fPr>
            <m:num>
              <m:r>
                <w:rPr>
                  <w:rFonts w:ascii="Cambria Math" w:hAnsi="Cambria Math"/>
                </w:rPr>
                <m:t xml:space="preserve">Nombre de jours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absence total sur la période d'étude</m:t>
              </m:r>
            </m:num>
            <m:den>
              <m:r>
                <w:rPr>
                  <w:rFonts w:ascii="Cambria Math" w:hAnsi="Cambria Math"/>
                </w:rPr>
                <m:t xml:space="preserve">Nombre de jours sur la période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étude</m:t>
              </m:r>
            </m:den>
          </m:f>
        </m:oMath>
      </m:oMathPara>
    </w:p>
    <w:p w14:paraId="39553C3D" w14:textId="186C3432" w:rsidR="00D479BF" w:rsidRDefault="00D479BF" w:rsidP="006A3FB9">
      <w:pPr>
        <w:pStyle w:val="Sansinterligne"/>
      </w:pPr>
    </w:p>
    <w:p w14:paraId="0A1B1053" w14:textId="4B4DEF6F" w:rsidR="006A3D5B" w:rsidRDefault="006A3D5B" w:rsidP="006A3FB9">
      <w:pPr>
        <w:pStyle w:val="Sansinterligne"/>
      </w:pPr>
    </w:p>
    <w:p w14:paraId="07E74068" w14:textId="4D9E8968" w:rsidR="006A3D5B" w:rsidRDefault="006A3D5B" w:rsidP="006A3FB9">
      <w:pPr>
        <w:pStyle w:val="Sansinterligne"/>
      </w:pPr>
    </w:p>
    <w:p w14:paraId="560A3A64" w14:textId="616EDF79" w:rsidR="006A3D5B" w:rsidRDefault="006A3D5B" w:rsidP="006A3FB9">
      <w:pPr>
        <w:pStyle w:val="Sansinterligne"/>
      </w:pPr>
    </w:p>
    <w:p w14:paraId="75801A4B" w14:textId="4E7D9A51" w:rsidR="006A3D5B" w:rsidRDefault="006A3D5B" w:rsidP="006A3FB9">
      <w:pPr>
        <w:pStyle w:val="Sansinterligne"/>
      </w:pPr>
    </w:p>
    <w:p w14:paraId="439604FE" w14:textId="6D4A6FDE" w:rsidR="006A3D5B" w:rsidRDefault="006A3D5B" w:rsidP="006A3FB9">
      <w:pPr>
        <w:pStyle w:val="Sansinterligne"/>
      </w:pPr>
    </w:p>
    <w:p w14:paraId="5BB2918E" w14:textId="6C86E2CE" w:rsidR="006A3D5B" w:rsidRDefault="006A3D5B" w:rsidP="006A3FB9">
      <w:pPr>
        <w:pStyle w:val="Sansinterligne"/>
      </w:pPr>
    </w:p>
    <w:p w14:paraId="0DB7DA19" w14:textId="61369BDD" w:rsidR="006A3D5B" w:rsidRDefault="006A3D5B" w:rsidP="006A3FB9">
      <w:pPr>
        <w:pStyle w:val="Sansinterligne"/>
      </w:pPr>
    </w:p>
    <w:p w14:paraId="070662A0" w14:textId="1B0258D6" w:rsidR="006A3D5B" w:rsidRDefault="006A3D5B" w:rsidP="006A3FB9">
      <w:pPr>
        <w:pStyle w:val="Sansinterligne"/>
      </w:pPr>
    </w:p>
    <w:p w14:paraId="4416D2DF" w14:textId="3AA499A4" w:rsidR="006A3D5B" w:rsidRDefault="006A3D5B" w:rsidP="006A3FB9">
      <w:pPr>
        <w:pStyle w:val="Sansinterligne"/>
      </w:pPr>
    </w:p>
    <w:p w14:paraId="57A7003E" w14:textId="3CC1384B" w:rsidR="006A3D5B" w:rsidRDefault="006A3D5B" w:rsidP="006A3FB9">
      <w:pPr>
        <w:pStyle w:val="Sansinterligne"/>
      </w:pPr>
    </w:p>
    <w:p w14:paraId="5B99730E" w14:textId="28DFC9D0" w:rsidR="006A3D5B" w:rsidRDefault="006A3D5B" w:rsidP="006A3FB9">
      <w:pPr>
        <w:pStyle w:val="Sansinterligne"/>
      </w:pPr>
    </w:p>
    <w:p w14:paraId="2C4DEF5B" w14:textId="44E431C7" w:rsidR="006A3D5B" w:rsidRDefault="006A3D5B" w:rsidP="006A3FB9">
      <w:pPr>
        <w:pStyle w:val="Sansinterligne"/>
      </w:pPr>
    </w:p>
    <w:p w14:paraId="01567038" w14:textId="6C1BCE69" w:rsidR="006A3D5B" w:rsidRDefault="006A3D5B" w:rsidP="006A3FB9">
      <w:pPr>
        <w:pStyle w:val="Sansinterligne"/>
      </w:pPr>
    </w:p>
    <w:p w14:paraId="01CA8996" w14:textId="520CECAC" w:rsidR="006A3D5B" w:rsidRDefault="006A3D5B" w:rsidP="006A3FB9">
      <w:pPr>
        <w:pStyle w:val="Sansinterligne"/>
      </w:pPr>
    </w:p>
    <w:p w14:paraId="54E070A1" w14:textId="414DC1C8" w:rsidR="006A3D5B" w:rsidRDefault="006A3D5B" w:rsidP="006A3FB9">
      <w:pPr>
        <w:pStyle w:val="Sansinterligne"/>
      </w:pPr>
    </w:p>
    <w:p w14:paraId="5F0FE1B5" w14:textId="7F52C49A" w:rsidR="006A3D5B" w:rsidRDefault="006A3D5B" w:rsidP="006A3FB9">
      <w:pPr>
        <w:pStyle w:val="Sansinterligne"/>
      </w:pPr>
    </w:p>
    <w:p w14:paraId="254D3EB5" w14:textId="1F6B7BD9" w:rsidR="006A3D5B" w:rsidRDefault="006A3D5B" w:rsidP="006A3FB9">
      <w:pPr>
        <w:pStyle w:val="Sansinterligne"/>
      </w:pPr>
    </w:p>
    <w:p w14:paraId="797B025B" w14:textId="77777777" w:rsidR="006A3D5B" w:rsidRPr="006A3FB9" w:rsidRDefault="006A3D5B" w:rsidP="006A3FB9">
      <w:pPr>
        <w:pStyle w:val="Sansinterligne"/>
      </w:pPr>
    </w:p>
    <w:tbl>
      <w:tblPr>
        <w:tblpPr w:leftFromText="141" w:rightFromText="141" w:vertAnchor="text" w:horzAnchor="margin" w:tblpXSpec="center" w:tblpY="1531"/>
        <w:tblW w:w="10055" w:type="dxa"/>
        <w:tblCellMar>
          <w:left w:w="0" w:type="dxa"/>
          <w:right w:w="0" w:type="dxa"/>
        </w:tblCellMar>
        <w:tblLook w:val="04A0" w:firstRow="1" w:lastRow="0" w:firstColumn="1" w:lastColumn="0" w:noHBand="0" w:noVBand="1"/>
      </w:tblPr>
      <w:tblGrid>
        <w:gridCol w:w="1750"/>
        <w:gridCol w:w="3430"/>
        <w:gridCol w:w="4875"/>
      </w:tblGrid>
      <w:tr w:rsidR="006A3D5B" w:rsidRPr="00843D17" w14:paraId="09107E8A" w14:textId="77777777" w:rsidTr="009D0087">
        <w:trPr>
          <w:trHeight w:val="516"/>
        </w:trPr>
        <w:tc>
          <w:tcPr>
            <w:tcW w:w="1750" w:type="dxa"/>
            <w:tcBorders>
              <w:top w:val="single" w:sz="8" w:space="0" w:color="FFFFFF"/>
              <w:left w:val="single" w:sz="8" w:space="0" w:color="FFFFFF"/>
              <w:bottom w:val="single" w:sz="24" w:space="0" w:color="FFFFFF"/>
              <w:right w:val="single" w:sz="8" w:space="0" w:color="FFFFFF"/>
            </w:tcBorders>
            <w:shd w:val="clear" w:color="auto" w:fill="FFFFFF"/>
            <w:tcMar>
              <w:top w:w="72" w:type="dxa"/>
              <w:left w:w="144" w:type="dxa"/>
              <w:bottom w:w="72" w:type="dxa"/>
              <w:right w:w="144" w:type="dxa"/>
            </w:tcMar>
            <w:vAlign w:val="center"/>
            <w:hideMark/>
          </w:tcPr>
          <w:p w14:paraId="23C21370" w14:textId="77777777" w:rsidR="006A3D5B" w:rsidRPr="00843D17" w:rsidRDefault="006A3D5B" w:rsidP="006A3D5B">
            <w:pPr>
              <w:pStyle w:val="Sansinterligne"/>
              <w:spacing w:before="240"/>
            </w:pPr>
          </w:p>
        </w:tc>
        <w:tc>
          <w:tcPr>
            <w:tcW w:w="3430" w:type="dxa"/>
            <w:tcBorders>
              <w:top w:val="single" w:sz="8" w:space="0" w:color="FFFFFF"/>
              <w:left w:val="single" w:sz="8" w:space="0" w:color="FFFFFF"/>
              <w:bottom w:val="single" w:sz="24" w:space="0" w:color="FFFFFF"/>
              <w:right w:val="single" w:sz="8" w:space="0" w:color="FFFFFF"/>
            </w:tcBorders>
            <w:shd w:val="clear" w:color="auto" w:fill="C00000"/>
            <w:tcMar>
              <w:top w:w="72" w:type="dxa"/>
              <w:left w:w="144" w:type="dxa"/>
              <w:bottom w:w="72" w:type="dxa"/>
              <w:right w:w="144" w:type="dxa"/>
            </w:tcMar>
            <w:vAlign w:val="bottom"/>
            <w:hideMark/>
          </w:tcPr>
          <w:p w14:paraId="67708029" w14:textId="77777777" w:rsidR="006A3D5B" w:rsidRPr="00843D17" w:rsidRDefault="006A3D5B" w:rsidP="006A3D5B">
            <w:pPr>
              <w:pStyle w:val="Sansinterligne"/>
              <w:spacing w:before="240"/>
              <w:jc w:val="center"/>
              <w:rPr>
                <w:color w:val="FFFFFF" w:themeColor="background1"/>
              </w:rPr>
            </w:pPr>
            <w:r w:rsidRPr="00843D17">
              <w:rPr>
                <w:b/>
                <w:bCs/>
                <w:color w:val="FFFFFF" w:themeColor="background1"/>
              </w:rPr>
              <w:t>Définition</w:t>
            </w:r>
          </w:p>
        </w:tc>
        <w:tc>
          <w:tcPr>
            <w:tcW w:w="4875" w:type="dxa"/>
            <w:tcBorders>
              <w:top w:val="single" w:sz="8" w:space="0" w:color="FFFFFF"/>
              <w:left w:val="single" w:sz="8" w:space="0" w:color="FFFFFF"/>
              <w:bottom w:val="single" w:sz="24" w:space="0" w:color="FFFFFF"/>
              <w:right w:val="single" w:sz="8" w:space="0" w:color="FFFFFF"/>
            </w:tcBorders>
            <w:shd w:val="clear" w:color="auto" w:fill="C00000"/>
            <w:tcMar>
              <w:top w:w="72" w:type="dxa"/>
              <w:left w:w="144" w:type="dxa"/>
              <w:bottom w:w="72" w:type="dxa"/>
              <w:right w:w="144" w:type="dxa"/>
            </w:tcMar>
            <w:vAlign w:val="center"/>
            <w:hideMark/>
          </w:tcPr>
          <w:p w14:paraId="61F181E1" w14:textId="77777777" w:rsidR="006A3D5B" w:rsidRPr="00843D17" w:rsidRDefault="006A3D5B" w:rsidP="006A3D5B">
            <w:pPr>
              <w:pStyle w:val="Sansinterligne"/>
              <w:spacing w:before="240"/>
              <w:jc w:val="center"/>
            </w:pPr>
            <w:r>
              <w:rPr>
                <w:b/>
                <w:bCs/>
                <w:color w:val="FFFFFF" w:themeColor="background1"/>
              </w:rPr>
              <w:t>R</w:t>
            </w:r>
            <w:r w:rsidRPr="00843D17">
              <w:rPr>
                <w:b/>
                <w:bCs/>
                <w:color w:val="FFFFFF" w:themeColor="background1"/>
              </w:rPr>
              <w:t>ôles</w:t>
            </w:r>
          </w:p>
        </w:tc>
      </w:tr>
      <w:tr w:rsidR="006A3D5B" w:rsidRPr="00843D17" w14:paraId="4C74AF17" w14:textId="77777777" w:rsidTr="009D0087">
        <w:trPr>
          <w:trHeight w:val="847"/>
        </w:trPr>
        <w:tc>
          <w:tcPr>
            <w:tcW w:w="1750" w:type="dxa"/>
            <w:tcBorders>
              <w:top w:val="single" w:sz="24" w:space="0" w:color="FFFFFF"/>
              <w:left w:val="single" w:sz="8" w:space="0" w:color="FFFFFF"/>
              <w:bottom w:val="single" w:sz="8" w:space="0" w:color="FFFFFF"/>
              <w:right w:val="single" w:sz="8" w:space="0" w:color="FFFFFF"/>
            </w:tcBorders>
            <w:shd w:val="clear" w:color="auto" w:fill="C00000"/>
            <w:tcMar>
              <w:top w:w="72" w:type="dxa"/>
              <w:left w:w="144" w:type="dxa"/>
              <w:bottom w:w="72" w:type="dxa"/>
              <w:right w:w="144" w:type="dxa"/>
            </w:tcMar>
            <w:vAlign w:val="center"/>
            <w:hideMark/>
          </w:tcPr>
          <w:p w14:paraId="58D339E4" w14:textId="77777777" w:rsidR="006A3D5B" w:rsidRPr="00843D17" w:rsidRDefault="006A3D5B" w:rsidP="006A3D5B">
            <w:pPr>
              <w:pStyle w:val="Sansinterligne"/>
              <w:spacing w:before="240"/>
              <w:rPr>
                <w:color w:val="FFFFFF" w:themeColor="background1"/>
              </w:rPr>
            </w:pPr>
            <w:r w:rsidRPr="00843D17">
              <w:rPr>
                <w:b/>
                <w:bCs/>
                <w:color w:val="FFFFFF" w:themeColor="background1"/>
              </w:rPr>
              <w:t>Nombre de jours d’arrêts</w:t>
            </w:r>
          </w:p>
        </w:tc>
        <w:tc>
          <w:tcPr>
            <w:tcW w:w="3430" w:type="dxa"/>
            <w:tcBorders>
              <w:top w:val="single" w:sz="24"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3A60BDCA" w14:textId="77777777" w:rsidR="006A3D5B" w:rsidRPr="00843D17" w:rsidRDefault="006A3D5B" w:rsidP="006A3D5B">
            <w:pPr>
              <w:pStyle w:val="Sansinterligne"/>
              <w:spacing w:before="240"/>
            </w:pPr>
            <w:r w:rsidRPr="00843D17">
              <w:t>Volume total des jours d’arrêts sur l’année</w:t>
            </w:r>
          </w:p>
        </w:tc>
        <w:tc>
          <w:tcPr>
            <w:tcW w:w="4875" w:type="dxa"/>
            <w:tcBorders>
              <w:top w:val="single" w:sz="24"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2C5DBFAE" w14:textId="77777777" w:rsidR="00843D17" w:rsidRPr="00843D17" w:rsidRDefault="00843D17" w:rsidP="00154541">
            <w:pPr>
              <w:pStyle w:val="Sansinterligne"/>
              <w:numPr>
                <w:ilvl w:val="0"/>
                <w:numId w:val="35"/>
              </w:numPr>
              <w:spacing w:before="240"/>
            </w:pPr>
            <w:r w:rsidRPr="00843D17">
              <w:t>Prise de conscience des volumes</w:t>
            </w:r>
          </w:p>
          <w:p w14:paraId="238F5320" w14:textId="77777777" w:rsidR="00843D17" w:rsidRPr="00843D17" w:rsidRDefault="00843D17" w:rsidP="00154541">
            <w:pPr>
              <w:pStyle w:val="Sansinterligne"/>
              <w:numPr>
                <w:ilvl w:val="0"/>
                <w:numId w:val="35"/>
              </w:numPr>
              <w:spacing w:before="240"/>
            </w:pPr>
            <w:r w:rsidRPr="00843D17">
              <w:t xml:space="preserve">Identification des « masses » </w:t>
            </w:r>
            <w:r w:rsidRPr="00843D17">
              <w:sym w:font="Wingdings" w:char="F0E0"/>
            </w:r>
            <w:r w:rsidRPr="00843D17">
              <w:t xml:space="preserve"> focaliser l’action</w:t>
            </w:r>
          </w:p>
        </w:tc>
      </w:tr>
      <w:tr w:rsidR="006A3D5B" w:rsidRPr="00843D17" w14:paraId="3EF02FD9" w14:textId="77777777" w:rsidTr="009D0087">
        <w:trPr>
          <w:trHeight w:val="847"/>
        </w:trPr>
        <w:tc>
          <w:tcPr>
            <w:tcW w:w="1750" w:type="dxa"/>
            <w:tcBorders>
              <w:top w:val="single" w:sz="8" w:space="0" w:color="FFFFFF"/>
              <w:left w:val="single" w:sz="8" w:space="0" w:color="FFFFFF"/>
              <w:bottom w:val="single" w:sz="8" w:space="0" w:color="FFFFFF"/>
              <w:right w:val="single" w:sz="8" w:space="0" w:color="FFFFFF"/>
            </w:tcBorders>
            <w:shd w:val="clear" w:color="auto" w:fill="C00000"/>
            <w:tcMar>
              <w:top w:w="72" w:type="dxa"/>
              <w:left w:w="144" w:type="dxa"/>
              <w:bottom w:w="72" w:type="dxa"/>
              <w:right w:w="144" w:type="dxa"/>
            </w:tcMar>
            <w:vAlign w:val="center"/>
            <w:hideMark/>
          </w:tcPr>
          <w:p w14:paraId="336DF599" w14:textId="77777777" w:rsidR="006A3D5B" w:rsidRPr="00843D17" w:rsidRDefault="006A3D5B" w:rsidP="006A3D5B">
            <w:pPr>
              <w:pStyle w:val="Sansinterligne"/>
              <w:spacing w:before="240"/>
              <w:rPr>
                <w:color w:val="FFFFFF" w:themeColor="background1"/>
              </w:rPr>
            </w:pPr>
            <w:r w:rsidRPr="00843D17">
              <w:rPr>
                <w:b/>
                <w:bCs/>
                <w:color w:val="FFFFFF" w:themeColor="background1"/>
              </w:rPr>
              <w:t>Taux d’absentéisme</w:t>
            </w:r>
          </w:p>
        </w:tc>
        <w:tc>
          <w:tcPr>
            <w:tcW w:w="3430" w:type="dxa"/>
            <w:tcBorders>
              <w:top w:val="single" w:sz="8" w:space="0" w:color="FFFFFF"/>
              <w:left w:val="single" w:sz="8" w:space="0" w:color="FFFFFF"/>
              <w:bottom w:val="single" w:sz="8" w:space="0" w:color="FFFFFF"/>
              <w:right w:val="single" w:sz="8" w:space="0" w:color="FFFFFF"/>
            </w:tcBorders>
            <w:shd w:val="clear" w:color="auto" w:fill="E7F0F7"/>
            <w:tcMar>
              <w:top w:w="72" w:type="dxa"/>
              <w:left w:w="144" w:type="dxa"/>
              <w:bottom w:w="72" w:type="dxa"/>
              <w:right w:w="144" w:type="dxa"/>
            </w:tcMar>
            <w:vAlign w:val="center"/>
            <w:hideMark/>
          </w:tcPr>
          <w:p w14:paraId="1C73CC2C" w14:textId="77777777" w:rsidR="006A3D5B" w:rsidRPr="00843D17" w:rsidRDefault="006A3D5B" w:rsidP="006A3D5B">
            <w:pPr>
              <w:pStyle w:val="Sansinterligne"/>
              <w:spacing w:before="240"/>
            </w:pPr>
            <w:r w:rsidRPr="00843D17">
              <w:t>Part des jours de l’année passés en arrêt de travail sur toute la population</w:t>
            </w:r>
          </w:p>
        </w:tc>
        <w:tc>
          <w:tcPr>
            <w:tcW w:w="4875" w:type="dxa"/>
            <w:tcBorders>
              <w:top w:val="single" w:sz="8" w:space="0" w:color="FFFFFF"/>
              <w:left w:val="single" w:sz="8" w:space="0" w:color="FFFFFF"/>
              <w:bottom w:val="single" w:sz="8" w:space="0" w:color="FFFFFF"/>
              <w:right w:val="single" w:sz="8" w:space="0" w:color="FFFFFF"/>
            </w:tcBorders>
            <w:shd w:val="clear" w:color="auto" w:fill="E7F0F7"/>
            <w:tcMar>
              <w:top w:w="72" w:type="dxa"/>
              <w:left w:w="144" w:type="dxa"/>
              <w:bottom w:w="72" w:type="dxa"/>
              <w:right w:w="144" w:type="dxa"/>
            </w:tcMar>
            <w:vAlign w:val="center"/>
            <w:hideMark/>
          </w:tcPr>
          <w:p w14:paraId="216C6271" w14:textId="77777777" w:rsidR="00843D17" w:rsidRPr="00843D17" w:rsidRDefault="00843D17" w:rsidP="00154541">
            <w:pPr>
              <w:pStyle w:val="Sansinterligne"/>
              <w:numPr>
                <w:ilvl w:val="0"/>
                <w:numId w:val="36"/>
              </w:numPr>
              <w:spacing w:before="240"/>
            </w:pPr>
            <w:r w:rsidRPr="00843D17">
              <w:t>Pilotage global</w:t>
            </w:r>
          </w:p>
          <w:p w14:paraId="56095434" w14:textId="77777777" w:rsidR="00843D17" w:rsidRPr="00843D17" w:rsidRDefault="00843D17" w:rsidP="00154541">
            <w:pPr>
              <w:pStyle w:val="Sansinterligne"/>
              <w:numPr>
                <w:ilvl w:val="0"/>
                <w:numId w:val="36"/>
              </w:numPr>
              <w:spacing w:before="240"/>
            </w:pPr>
            <w:r w:rsidRPr="00843D17">
              <w:t>Comparaison à la concurrence</w:t>
            </w:r>
          </w:p>
        </w:tc>
      </w:tr>
      <w:tr w:rsidR="006A3D5B" w:rsidRPr="00843D17" w14:paraId="1558B86C" w14:textId="77777777" w:rsidTr="009D0087">
        <w:trPr>
          <w:trHeight w:val="847"/>
        </w:trPr>
        <w:tc>
          <w:tcPr>
            <w:tcW w:w="1750" w:type="dxa"/>
            <w:tcBorders>
              <w:top w:val="single" w:sz="8" w:space="0" w:color="FFFFFF"/>
              <w:left w:val="single" w:sz="8" w:space="0" w:color="FFFFFF"/>
              <w:bottom w:val="single" w:sz="8" w:space="0" w:color="FFFFFF"/>
              <w:right w:val="single" w:sz="8" w:space="0" w:color="FFFFFF"/>
            </w:tcBorders>
            <w:shd w:val="clear" w:color="auto" w:fill="C00000"/>
            <w:tcMar>
              <w:top w:w="72" w:type="dxa"/>
              <w:left w:w="144" w:type="dxa"/>
              <w:bottom w:w="72" w:type="dxa"/>
              <w:right w:w="144" w:type="dxa"/>
            </w:tcMar>
            <w:vAlign w:val="center"/>
            <w:hideMark/>
          </w:tcPr>
          <w:p w14:paraId="1F687352" w14:textId="77777777" w:rsidR="006A3D5B" w:rsidRPr="00843D17" w:rsidRDefault="006A3D5B" w:rsidP="006A3D5B">
            <w:pPr>
              <w:pStyle w:val="Sansinterligne"/>
              <w:spacing w:before="240"/>
              <w:rPr>
                <w:color w:val="FFFFFF" w:themeColor="background1"/>
              </w:rPr>
            </w:pPr>
            <w:r w:rsidRPr="00843D17">
              <w:rPr>
                <w:b/>
                <w:bCs/>
                <w:color w:val="FFFFFF" w:themeColor="background1"/>
              </w:rPr>
              <w:t>Prévalence</w:t>
            </w:r>
          </w:p>
        </w:tc>
        <w:tc>
          <w:tcPr>
            <w:tcW w:w="3430" w:type="dxa"/>
            <w:tcBorders>
              <w:top w:val="single" w:sz="8"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051CE251" w14:textId="77777777" w:rsidR="006A3D5B" w:rsidRPr="00843D17" w:rsidRDefault="006A3D5B" w:rsidP="006A3D5B">
            <w:pPr>
              <w:pStyle w:val="Sansinterligne"/>
              <w:spacing w:before="240"/>
            </w:pPr>
            <w:r w:rsidRPr="00843D17">
              <w:t>Part des salariés ayant eu au moins un arrêt dans l’année</w:t>
            </w:r>
          </w:p>
        </w:tc>
        <w:tc>
          <w:tcPr>
            <w:tcW w:w="4875" w:type="dxa"/>
            <w:tcBorders>
              <w:top w:val="single" w:sz="8"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4022E284" w14:textId="77777777" w:rsidR="00843D17" w:rsidRPr="00843D17" w:rsidRDefault="00843D17" w:rsidP="00154541">
            <w:pPr>
              <w:pStyle w:val="Sansinterligne"/>
              <w:numPr>
                <w:ilvl w:val="0"/>
                <w:numId w:val="37"/>
              </w:numPr>
              <w:spacing w:before="240"/>
            </w:pPr>
            <w:r w:rsidRPr="00843D17">
              <w:t>Indicateur du contexte socio-économique d’une entreprise et des risques psychosociaux</w:t>
            </w:r>
          </w:p>
        </w:tc>
      </w:tr>
      <w:tr w:rsidR="006A3D5B" w:rsidRPr="00843D17" w14:paraId="3F6B2126" w14:textId="77777777" w:rsidTr="009D0087">
        <w:trPr>
          <w:trHeight w:val="847"/>
        </w:trPr>
        <w:tc>
          <w:tcPr>
            <w:tcW w:w="1750" w:type="dxa"/>
            <w:tcBorders>
              <w:top w:val="single" w:sz="8" w:space="0" w:color="FFFFFF"/>
              <w:left w:val="single" w:sz="8" w:space="0" w:color="FFFFFF"/>
              <w:bottom w:val="single" w:sz="8" w:space="0" w:color="FFFFFF"/>
              <w:right w:val="single" w:sz="8" w:space="0" w:color="FFFFFF"/>
            </w:tcBorders>
            <w:shd w:val="clear" w:color="auto" w:fill="C00000"/>
            <w:tcMar>
              <w:top w:w="72" w:type="dxa"/>
              <w:left w:w="144" w:type="dxa"/>
              <w:bottom w:w="72" w:type="dxa"/>
              <w:right w:w="144" w:type="dxa"/>
            </w:tcMar>
            <w:vAlign w:val="center"/>
            <w:hideMark/>
          </w:tcPr>
          <w:p w14:paraId="07A7D23E" w14:textId="77777777" w:rsidR="006A3D5B" w:rsidRPr="00843D17" w:rsidRDefault="006A3D5B" w:rsidP="006A3D5B">
            <w:pPr>
              <w:pStyle w:val="Sansinterligne"/>
              <w:spacing w:before="240"/>
              <w:rPr>
                <w:color w:val="FFFFFF" w:themeColor="background1"/>
              </w:rPr>
            </w:pPr>
            <w:r w:rsidRPr="00843D17">
              <w:rPr>
                <w:b/>
                <w:bCs/>
                <w:color w:val="FFFFFF" w:themeColor="background1"/>
              </w:rPr>
              <w:t>Fréquence</w:t>
            </w:r>
          </w:p>
        </w:tc>
        <w:tc>
          <w:tcPr>
            <w:tcW w:w="3430" w:type="dxa"/>
            <w:tcBorders>
              <w:top w:val="single" w:sz="8" w:space="0" w:color="FFFFFF"/>
              <w:left w:val="single" w:sz="8" w:space="0" w:color="FFFFFF"/>
              <w:bottom w:val="single" w:sz="8" w:space="0" w:color="FFFFFF"/>
              <w:right w:val="single" w:sz="8" w:space="0" w:color="FFFFFF"/>
            </w:tcBorders>
            <w:shd w:val="clear" w:color="auto" w:fill="E7F0F7"/>
            <w:tcMar>
              <w:top w:w="72" w:type="dxa"/>
              <w:left w:w="144" w:type="dxa"/>
              <w:bottom w:w="72" w:type="dxa"/>
              <w:right w:w="144" w:type="dxa"/>
            </w:tcMar>
            <w:vAlign w:val="center"/>
            <w:hideMark/>
          </w:tcPr>
          <w:p w14:paraId="4C39412E" w14:textId="77777777" w:rsidR="006A3D5B" w:rsidRPr="00843D17" w:rsidRDefault="006A3D5B" w:rsidP="006A3D5B">
            <w:pPr>
              <w:pStyle w:val="Sansinterligne"/>
              <w:spacing w:before="240"/>
            </w:pPr>
            <w:r w:rsidRPr="00843D17">
              <w:t>Nombre moyen d’arrêts par salarié dans l’année</w:t>
            </w:r>
          </w:p>
        </w:tc>
        <w:tc>
          <w:tcPr>
            <w:tcW w:w="4875" w:type="dxa"/>
            <w:tcBorders>
              <w:top w:val="single" w:sz="8" w:space="0" w:color="FFFFFF"/>
              <w:left w:val="single" w:sz="8" w:space="0" w:color="FFFFFF"/>
              <w:bottom w:val="single" w:sz="8" w:space="0" w:color="FFFFFF"/>
              <w:right w:val="single" w:sz="8" w:space="0" w:color="FFFFFF"/>
            </w:tcBorders>
            <w:shd w:val="clear" w:color="auto" w:fill="E7F0F7"/>
            <w:tcMar>
              <w:top w:w="72" w:type="dxa"/>
              <w:left w:w="144" w:type="dxa"/>
              <w:bottom w:w="72" w:type="dxa"/>
              <w:right w:w="144" w:type="dxa"/>
            </w:tcMar>
            <w:vAlign w:val="center"/>
            <w:hideMark/>
          </w:tcPr>
          <w:p w14:paraId="4B866571" w14:textId="77777777" w:rsidR="00843D17" w:rsidRPr="00843D17" w:rsidRDefault="00843D17" w:rsidP="00154541">
            <w:pPr>
              <w:pStyle w:val="Sansinterligne"/>
              <w:numPr>
                <w:ilvl w:val="0"/>
                <w:numId w:val="38"/>
              </w:numPr>
              <w:spacing w:before="240"/>
            </w:pPr>
            <w:r w:rsidRPr="00843D17">
              <w:t>Analyse et comparaison des populations entre elles</w:t>
            </w:r>
          </w:p>
          <w:p w14:paraId="7DEE70D2" w14:textId="77777777" w:rsidR="00843D17" w:rsidRPr="00843D17" w:rsidRDefault="00843D17" w:rsidP="00154541">
            <w:pPr>
              <w:pStyle w:val="Sansinterligne"/>
              <w:numPr>
                <w:ilvl w:val="0"/>
                <w:numId w:val="38"/>
              </w:numPr>
              <w:spacing w:before="240"/>
            </w:pPr>
            <w:r w:rsidRPr="00843D17">
              <w:t>Analyse et comparaison des arrêts par durée</w:t>
            </w:r>
          </w:p>
        </w:tc>
      </w:tr>
      <w:tr w:rsidR="006A3D5B" w:rsidRPr="00843D17" w14:paraId="1C94ED9C" w14:textId="77777777" w:rsidTr="009D0087">
        <w:trPr>
          <w:trHeight w:val="847"/>
        </w:trPr>
        <w:tc>
          <w:tcPr>
            <w:tcW w:w="1750" w:type="dxa"/>
            <w:tcBorders>
              <w:top w:val="single" w:sz="8" w:space="0" w:color="FFFFFF"/>
              <w:left w:val="single" w:sz="8" w:space="0" w:color="FFFFFF"/>
              <w:bottom w:val="single" w:sz="8" w:space="0" w:color="FFFFFF"/>
              <w:right w:val="single" w:sz="8" w:space="0" w:color="FFFFFF"/>
            </w:tcBorders>
            <w:shd w:val="clear" w:color="auto" w:fill="C00000"/>
            <w:tcMar>
              <w:top w:w="72" w:type="dxa"/>
              <w:left w:w="144" w:type="dxa"/>
              <w:bottom w:w="72" w:type="dxa"/>
              <w:right w:w="144" w:type="dxa"/>
            </w:tcMar>
            <w:vAlign w:val="center"/>
            <w:hideMark/>
          </w:tcPr>
          <w:p w14:paraId="0BE38833" w14:textId="77777777" w:rsidR="006A3D5B" w:rsidRPr="00843D17" w:rsidRDefault="006A3D5B" w:rsidP="006A3D5B">
            <w:pPr>
              <w:pStyle w:val="Sansinterligne"/>
              <w:spacing w:before="240"/>
              <w:rPr>
                <w:color w:val="FFFFFF" w:themeColor="background1"/>
              </w:rPr>
            </w:pPr>
            <w:r w:rsidRPr="00843D17">
              <w:rPr>
                <w:b/>
                <w:bCs/>
                <w:color w:val="FFFFFF" w:themeColor="background1"/>
              </w:rPr>
              <w:t>Durée moyenne annuelle</w:t>
            </w:r>
          </w:p>
        </w:tc>
        <w:tc>
          <w:tcPr>
            <w:tcW w:w="3430" w:type="dxa"/>
            <w:tcBorders>
              <w:top w:val="single" w:sz="8"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32ECB464" w14:textId="77777777" w:rsidR="006A3D5B" w:rsidRPr="00843D17" w:rsidRDefault="006A3D5B" w:rsidP="006A3D5B">
            <w:pPr>
              <w:pStyle w:val="Sansinterligne"/>
              <w:spacing w:before="240"/>
            </w:pPr>
            <w:r w:rsidRPr="00843D17">
              <w:t>Nombre moyen de jours d’arrêt dans l’année pour un salarié arrêté au moins une fois</w:t>
            </w:r>
          </w:p>
        </w:tc>
        <w:tc>
          <w:tcPr>
            <w:tcW w:w="4875" w:type="dxa"/>
            <w:tcBorders>
              <w:top w:val="single" w:sz="8"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3DD12C15" w14:textId="77777777" w:rsidR="00843D17" w:rsidRPr="00843D17" w:rsidRDefault="00843D17" w:rsidP="00154541">
            <w:pPr>
              <w:pStyle w:val="Sansinterligne"/>
              <w:numPr>
                <w:ilvl w:val="0"/>
                <w:numId w:val="39"/>
              </w:numPr>
              <w:spacing w:before="240"/>
            </w:pPr>
            <w:r w:rsidRPr="00843D17">
              <w:t>Indicateur notamment de la santé des salariés et du rôle de l’âge</w:t>
            </w:r>
          </w:p>
        </w:tc>
      </w:tr>
    </w:tbl>
    <w:p w14:paraId="061C249D" w14:textId="77777777" w:rsidR="00843D17" w:rsidRDefault="00843D17">
      <w:pPr>
        <w:jc w:val="left"/>
        <w:rPr>
          <w:rFonts w:eastAsiaTheme="majorEastAsia" w:cstheme="majorBidi"/>
          <w:color w:val="2F5496" w:themeColor="accent1" w:themeShade="BF"/>
          <w:sz w:val="26"/>
          <w:szCs w:val="26"/>
        </w:rPr>
      </w:pPr>
      <w:r>
        <w:br w:type="page"/>
      </w:r>
    </w:p>
    <w:p w14:paraId="0F86952F" w14:textId="6EC7E7FF" w:rsidR="00A103B7" w:rsidRDefault="00A103B7" w:rsidP="00A103B7">
      <w:pPr>
        <w:pStyle w:val="Titre2"/>
      </w:pPr>
      <w:bookmarkStart w:id="17" w:name="_Toc112955499"/>
      <w:r>
        <w:lastRenderedPageBreak/>
        <w:t>Quel est son coût réel sur les entreprises ?</w:t>
      </w:r>
      <w:bookmarkEnd w:id="17"/>
    </w:p>
    <w:p w14:paraId="5EC74AE0" w14:textId="6A14888D" w:rsidR="005F5B85" w:rsidRPr="00163B1C" w:rsidRDefault="005F5B85" w:rsidP="005F5B85">
      <w:pPr>
        <w:rPr>
          <w:b/>
          <w:bCs/>
        </w:rPr>
      </w:pPr>
    </w:p>
    <w:p w14:paraId="0A31D9ED" w14:textId="043E09C0" w:rsidR="006A3D5B" w:rsidRDefault="00EE78D8" w:rsidP="006A3D5B">
      <w:pPr>
        <w:pStyle w:val="Sansinterligne"/>
      </w:pPr>
      <w:r>
        <w:t>L’absentéisme engendre des coûts complexes en pratique pour l’entreprise</w:t>
      </w:r>
      <w:r w:rsidR="006A3D5B">
        <w:t>. Il existe deux types de coûts selon qu’ils soient directs ou indirects</w:t>
      </w:r>
      <w:r w:rsidR="002D74C7">
        <w:t> :</w:t>
      </w:r>
    </w:p>
    <w:p w14:paraId="42ABFBE5" w14:textId="77777777" w:rsidR="00EE78D8" w:rsidRDefault="00EE78D8" w:rsidP="006A3D5B">
      <w:pPr>
        <w:pStyle w:val="Sansinterligne"/>
      </w:pPr>
    </w:p>
    <w:p w14:paraId="35820A54" w14:textId="1F058065" w:rsidR="006A3D5B" w:rsidRDefault="006A3D5B" w:rsidP="00154541">
      <w:pPr>
        <w:pStyle w:val="Sansinterligne"/>
        <w:numPr>
          <w:ilvl w:val="0"/>
          <w:numId w:val="33"/>
        </w:numPr>
        <w:rPr>
          <w:rFonts w:ascii="Utopia-Bold" w:hAnsi="Utopia-Bold" w:cs="Utopia-Bold"/>
          <w:b/>
          <w:bCs/>
        </w:rPr>
      </w:pPr>
      <w:r>
        <w:rPr>
          <w:rFonts w:ascii="Utopia-Bold" w:hAnsi="Utopia-Bold" w:cs="Utopia-Bold"/>
          <w:b/>
          <w:bCs/>
        </w:rPr>
        <w:t xml:space="preserve">Les coûts directs : </w:t>
      </w:r>
    </w:p>
    <w:p w14:paraId="0E4A81ED" w14:textId="569FA0FC" w:rsidR="006A3D5B" w:rsidRPr="006A3D5B" w:rsidRDefault="006A3D5B" w:rsidP="006A3D5B">
      <w:pPr>
        <w:pStyle w:val="Sansinterligne"/>
      </w:pPr>
      <w:r>
        <w:t>Ce sont les plus simples à évaluer, puisqu’ils sont constitués principalement des montants de salaires et des cotisations sociales associés à la période d’absence d’un salarié. Ainsi, il s’agit de considérer le complément patronal durant l’absence du salarié par rapport aux</w:t>
      </w:r>
      <w:r>
        <w:rPr>
          <w:color w:val="000000"/>
        </w:rPr>
        <w:t xml:space="preserve"> indemnités journalières de la Sécurité sociale, et le maintien du salaire pendant le délai de carence.</w:t>
      </w:r>
    </w:p>
    <w:p w14:paraId="325A2CC2" w14:textId="4E1177B2" w:rsidR="006A3D5B" w:rsidRDefault="006A3D5B" w:rsidP="006A3D5B">
      <w:pPr>
        <w:pStyle w:val="Sansinterligne"/>
        <w:rPr>
          <w:color w:val="000000"/>
        </w:rPr>
      </w:pPr>
      <w:r>
        <w:rPr>
          <w:color w:val="000000"/>
        </w:rPr>
        <w:t xml:space="preserve">Ce coût dépend essentiellement de la politique RH de l’entreprise et de la convention collective : en effet, une entreprise peut décider si oui ou non elle souhaite maintenir le salaire d’un employé pendant le délai de carence en cas de maladie lorsque son ancienneté est inférieure </w:t>
      </w:r>
      <w:r w:rsidR="002D74C7">
        <w:rPr>
          <w:color w:val="000000"/>
        </w:rPr>
        <w:t>à</w:t>
      </w:r>
      <w:r>
        <w:rPr>
          <w:color w:val="000000"/>
        </w:rPr>
        <w:t xml:space="preserve"> un an.</w:t>
      </w:r>
    </w:p>
    <w:p w14:paraId="0ED61A04" w14:textId="77777777" w:rsidR="00EE78D8" w:rsidRDefault="00EE78D8" w:rsidP="006A3D5B">
      <w:pPr>
        <w:pStyle w:val="Sansinterligne"/>
        <w:rPr>
          <w:color w:val="000000"/>
        </w:rPr>
      </w:pPr>
    </w:p>
    <w:p w14:paraId="4873E338" w14:textId="5641C362" w:rsidR="006A3D5B" w:rsidRDefault="006A3D5B" w:rsidP="00154541">
      <w:pPr>
        <w:pStyle w:val="Sansinterligne"/>
        <w:numPr>
          <w:ilvl w:val="0"/>
          <w:numId w:val="33"/>
        </w:numPr>
        <w:rPr>
          <w:rFonts w:ascii="Utopia-Bold" w:hAnsi="Utopia-Bold" w:cs="Utopia-Bold"/>
          <w:b/>
          <w:bCs/>
          <w:color w:val="000000"/>
        </w:rPr>
      </w:pPr>
      <w:r>
        <w:rPr>
          <w:rFonts w:ascii="Utopia-Bold" w:hAnsi="Utopia-Bold" w:cs="Utopia-Bold"/>
          <w:b/>
          <w:bCs/>
          <w:color w:val="000000"/>
        </w:rPr>
        <w:t>Les co</w:t>
      </w:r>
      <w:r w:rsidR="00DF01E9">
        <w:rPr>
          <w:rFonts w:ascii="Utopia-Bold" w:hAnsi="Utopia-Bold" w:cs="Utopia-Bold"/>
          <w:b/>
          <w:bCs/>
          <w:color w:val="000000"/>
        </w:rPr>
        <w:t>û</w:t>
      </w:r>
      <w:r>
        <w:rPr>
          <w:rFonts w:ascii="Utopia-Bold" w:hAnsi="Utopia-Bold" w:cs="Utopia-Bold"/>
          <w:b/>
          <w:bCs/>
          <w:color w:val="000000"/>
        </w:rPr>
        <w:t>ts indirects</w:t>
      </w:r>
    </w:p>
    <w:p w14:paraId="346DBF65" w14:textId="4B493BB1" w:rsidR="006A3D5B" w:rsidRDefault="006A3D5B" w:rsidP="006A3D5B">
      <w:pPr>
        <w:pStyle w:val="Sansinterligne"/>
        <w:rPr>
          <w:color w:val="000000"/>
        </w:rPr>
      </w:pPr>
      <w:r>
        <w:rPr>
          <w:color w:val="000000"/>
        </w:rPr>
        <w:t>Il existe certains co</w:t>
      </w:r>
      <w:r w:rsidR="00DF01E9">
        <w:rPr>
          <w:color w:val="000000"/>
        </w:rPr>
        <w:t>û</w:t>
      </w:r>
      <w:r>
        <w:rPr>
          <w:color w:val="000000"/>
        </w:rPr>
        <w:t xml:space="preserve">ts, dits </w:t>
      </w:r>
      <w:r>
        <w:rPr>
          <w:rFonts w:ascii="Utopia-Italic" w:hAnsi="Utopia-Italic" w:cs="Utopia-Italic"/>
          <w:i/>
          <w:iCs/>
          <w:color w:val="000000"/>
        </w:rPr>
        <w:t>indirects</w:t>
      </w:r>
      <w:r>
        <w:rPr>
          <w:color w:val="000000"/>
        </w:rPr>
        <w:t xml:space="preserve">, </w:t>
      </w:r>
      <w:r w:rsidR="00DF01E9">
        <w:rPr>
          <w:color w:val="000000"/>
        </w:rPr>
        <w:t>reliés</w:t>
      </w:r>
      <w:r>
        <w:rPr>
          <w:color w:val="000000"/>
        </w:rPr>
        <w:t xml:space="preserve"> principalement </w:t>
      </w:r>
      <w:r w:rsidR="002D74C7">
        <w:rPr>
          <w:color w:val="000000"/>
        </w:rPr>
        <w:t>à</w:t>
      </w:r>
      <w:r>
        <w:rPr>
          <w:color w:val="000000"/>
        </w:rPr>
        <w:t xml:space="preserve"> des risques sociaux </w:t>
      </w:r>
      <w:r w:rsidR="00DF01E9">
        <w:rPr>
          <w:color w:val="000000"/>
        </w:rPr>
        <w:t xml:space="preserve">engendrés </w:t>
      </w:r>
      <w:r>
        <w:rPr>
          <w:color w:val="000000"/>
        </w:rPr>
        <w:t xml:space="preserve">par l’absence d’un </w:t>
      </w:r>
      <w:r w:rsidR="00DF01E9">
        <w:rPr>
          <w:color w:val="000000"/>
        </w:rPr>
        <w:t>salarié</w:t>
      </w:r>
      <w:r>
        <w:rPr>
          <w:color w:val="000000"/>
        </w:rPr>
        <w:t xml:space="preserve"> susceptibles de faire augmenter significativement le co</w:t>
      </w:r>
      <w:r w:rsidR="00DF01E9">
        <w:rPr>
          <w:color w:val="000000"/>
        </w:rPr>
        <w:t>û</w:t>
      </w:r>
      <w:r>
        <w:rPr>
          <w:color w:val="000000"/>
        </w:rPr>
        <w:t>t de l’absent</w:t>
      </w:r>
      <w:r w:rsidR="00DF01E9">
        <w:rPr>
          <w:color w:val="000000"/>
        </w:rPr>
        <w:t>é</w:t>
      </w:r>
      <w:r>
        <w:rPr>
          <w:color w:val="000000"/>
        </w:rPr>
        <w:t xml:space="preserve">isme. Parmi ceux-ci peuvent </w:t>
      </w:r>
      <w:r w:rsidR="00DF01E9">
        <w:rPr>
          <w:color w:val="000000"/>
        </w:rPr>
        <w:t>ê</w:t>
      </w:r>
      <w:r>
        <w:rPr>
          <w:color w:val="000000"/>
        </w:rPr>
        <w:t>tre nomm</w:t>
      </w:r>
      <w:r w:rsidR="00DF01E9">
        <w:rPr>
          <w:color w:val="000000"/>
        </w:rPr>
        <w:t>é</w:t>
      </w:r>
      <w:r>
        <w:rPr>
          <w:color w:val="000000"/>
        </w:rPr>
        <w:t>s :</w:t>
      </w:r>
    </w:p>
    <w:p w14:paraId="2F4FBF1F" w14:textId="49101AFE"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 xml:space="preserve">ts de remplacement </w:t>
      </w:r>
      <w:r w:rsidRPr="00EE78D8">
        <w:rPr>
          <w:b/>
          <w:bCs/>
          <w:color w:val="000000"/>
        </w:rPr>
        <w:t>:</w:t>
      </w:r>
      <w:r>
        <w:rPr>
          <w:color w:val="000000"/>
        </w:rPr>
        <w:t xml:space="preserve"> un salari</w:t>
      </w:r>
      <w:r w:rsidR="00DF01E9">
        <w:rPr>
          <w:color w:val="000000"/>
        </w:rPr>
        <w:t>é</w:t>
      </w:r>
      <w:r>
        <w:rPr>
          <w:color w:val="000000"/>
        </w:rPr>
        <w:t xml:space="preserve"> absent</w:t>
      </w:r>
      <w:r w:rsidR="00DF01E9">
        <w:rPr>
          <w:color w:val="000000"/>
        </w:rPr>
        <w:t xml:space="preserve"> </w:t>
      </w:r>
      <w:r>
        <w:rPr>
          <w:color w:val="000000"/>
        </w:rPr>
        <w:t xml:space="preserve">peut </w:t>
      </w:r>
      <w:r w:rsidR="00DF01E9">
        <w:rPr>
          <w:color w:val="000000"/>
        </w:rPr>
        <w:t>ê</w:t>
      </w:r>
      <w:r>
        <w:rPr>
          <w:color w:val="000000"/>
        </w:rPr>
        <w:t xml:space="preserve">tre </w:t>
      </w:r>
      <w:r w:rsidR="00DF01E9">
        <w:rPr>
          <w:color w:val="000000"/>
        </w:rPr>
        <w:t>remplacé</w:t>
      </w:r>
      <w:r>
        <w:rPr>
          <w:color w:val="000000"/>
        </w:rPr>
        <w:t xml:space="preserve"> par un autre </w:t>
      </w:r>
      <w:r w:rsidR="00DF01E9">
        <w:rPr>
          <w:color w:val="000000"/>
        </w:rPr>
        <w:t>salarié</w:t>
      </w:r>
      <w:r w:rsidR="002D74C7">
        <w:rPr>
          <w:color w:val="000000"/>
        </w:rPr>
        <w:t xml:space="preserve"> (</w:t>
      </w:r>
      <w:r>
        <w:rPr>
          <w:color w:val="000000"/>
        </w:rPr>
        <w:t>CDD</w:t>
      </w:r>
      <w:r w:rsidR="002D74C7">
        <w:rPr>
          <w:color w:val="000000"/>
        </w:rPr>
        <w:t xml:space="preserve">, </w:t>
      </w:r>
      <w:proofErr w:type="gramStart"/>
      <w:r>
        <w:rPr>
          <w:color w:val="000000"/>
        </w:rPr>
        <w:t>int</w:t>
      </w:r>
      <w:r w:rsidR="00DF01E9">
        <w:rPr>
          <w:color w:val="000000"/>
        </w:rPr>
        <w:t>éri</w:t>
      </w:r>
      <w:r>
        <w:rPr>
          <w:color w:val="000000"/>
        </w:rPr>
        <w:t>m,</w:t>
      </w:r>
      <w:r w:rsidR="002D74C7">
        <w:rPr>
          <w:color w:val="000000"/>
        </w:rPr>
        <w:t>…</w:t>
      </w:r>
      <w:proofErr w:type="gramEnd"/>
      <w:r w:rsidR="002D74C7">
        <w:rPr>
          <w:color w:val="000000"/>
        </w:rPr>
        <w:t>)</w:t>
      </w:r>
      <w:r>
        <w:rPr>
          <w:color w:val="000000"/>
        </w:rPr>
        <w:t xml:space="preserve"> ce qui engendrera</w:t>
      </w:r>
      <w:r w:rsidR="00DF01E9">
        <w:rPr>
          <w:color w:val="000000"/>
        </w:rPr>
        <w:t xml:space="preserve"> </w:t>
      </w:r>
      <w:r>
        <w:rPr>
          <w:color w:val="000000"/>
        </w:rPr>
        <w:t>un co</w:t>
      </w:r>
      <w:r w:rsidR="00DF01E9">
        <w:rPr>
          <w:color w:val="000000"/>
        </w:rPr>
        <w:t>û</w:t>
      </w:r>
      <w:r>
        <w:rPr>
          <w:color w:val="000000"/>
        </w:rPr>
        <w:t>t suppl</w:t>
      </w:r>
      <w:r w:rsidR="00DF01E9">
        <w:rPr>
          <w:color w:val="000000"/>
        </w:rPr>
        <w:t>é</w:t>
      </w:r>
      <w:r>
        <w:rPr>
          <w:color w:val="000000"/>
        </w:rPr>
        <w:t xml:space="preserve">mentaire </w:t>
      </w:r>
      <w:r w:rsidR="00DF01E9">
        <w:rPr>
          <w:color w:val="000000"/>
        </w:rPr>
        <w:t>à</w:t>
      </w:r>
      <w:r>
        <w:rPr>
          <w:color w:val="000000"/>
        </w:rPr>
        <w:t xml:space="preserve"> l’entreprise.</w:t>
      </w:r>
    </w:p>
    <w:p w14:paraId="2008CA39" w14:textId="77777777"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 xml:space="preserve">ts de gestion </w:t>
      </w:r>
      <w:r w:rsidRPr="00EE78D8">
        <w:rPr>
          <w:color w:val="000000"/>
        </w:rPr>
        <w:t>: la gestion des absences reste un processus long et co</w:t>
      </w:r>
      <w:r w:rsidR="00DF01E9" w:rsidRPr="00EE78D8">
        <w:rPr>
          <w:color w:val="000000"/>
        </w:rPr>
        <w:t>û</w:t>
      </w:r>
      <w:r w:rsidRPr="00EE78D8">
        <w:rPr>
          <w:color w:val="000000"/>
        </w:rPr>
        <w:t>teux</w:t>
      </w:r>
      <w:r w:rsidR="00DF01E9" w:rsidRPr="00EE78D8">
        <w:rPr>
          <w:color w:val="000000"/>
        </w:rPr>
        <w:t xml:space="preserve"> </w:t>
      </w:r>
      <w:r w:rsidRPr="00EE78D8">
        <w:rPr>
          <w:color w:val="000000"/>
        </w:rPr>
        <w:t>pour les ressources humaines.</w:t>
      </w:r>
    </w:p>
    <w:p w14:paraId="2CD79606" w14:textId="77777777"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ts li</w:t>
      </w:r>
      <w:r w:rsidR="00DF01E9" w:rsidRPr="00EE78D8">
        <w:rPr>
          <w:rFonts w:ascii="Utopia-Bold" w:hAnsi="Utopia-Bold" w:cs="Utopia-Bold"/>
          <w:b/>
          <w:bCs/>
          <w:color w:val="000000"/>
        </w:rPr>
        <w:t>é</w:t>
      </w:r>
      <w:r w:rsidRPr="00EE78D8">
        <w:rPr>
          <w:rFonts w:ascii="Utopia-Bold" w:hAnsi="Utopia-Bold" w:cs="Utopia-Bold"/>
          <w:b/>
          <w:bCs/>
          <w:color w:val="000000"/>
        </w:rPr>
        <w:t xml:space="preserve">s aux dysfonctionnements organisationnels </w:t>
      </w:r>
      <w:r w:rsidRPr="00EE78D8">
        <w:rPr>
          <w:b/>
          <w:bCs/>
          <w:color w:val="000000"/>
        </w:rPr>
        <w:t>:</w:t>
      </w:r>
      <w:r w:rsidRPr="00EE78D8">
        <w:rPr>
          <w:color w:val="000000"/>
        </w:rPr>
        <w:t xml:space="preserve"> une absence provoque</w:t>
      </w:r>
      <w:r w:rsidR="00DF01E9" w:rsidRPr="00EE78D8">
        <w:rPr>
          <w:color w:val="000000"/>
        </w:rPr>
        <w:t xml:space="preserve"> </w:t>
      </w:r>
      <w:r w:rsidRPr="00EE78D8">
        <w:rPr>
          <w:color w:val="000000"/>
        </w:rPr>
        <w:t>effectivement</w:t>
      </w:r>
      <w:r w:rsidR="00DF01E9" w:rsidRPr="00EE78D8">
        <w:rPr>
          <w:color w:val="000000"/>
        </w:rPr>
        <w:t xml:space="preserve"> </w:t>
      </w:r>
      <w:r w:rsidRPr="00EE78D8">
        <w:rPr>
          <w:color w:val="000000"/>
        </w:rPr>
        <w:t xml:space="preserve">un dysfonctionnement dans son </w:t>
      </w:r>
      <w:r w:rsidR="00DF01E9" w:rsidRPr="00EE78D8">
        <w:rPr>
          <w:color w:val="000000"/>
        </w:rPr>
        <w:t>é</w:t>
      </w:r>
      <w:r w:rsidRPr="00EE78D8">
        <w:rPr>
          <w:color w:val="000000"/>
        </w:rPr>
        <w:t>quipe puisque les t</w:t>
      </w:r>
      <w:r w:rsidR="00DF01E9" w:rsidRPr="00EE78D8">
        <w:rPr>
          <w:color w:val="000000"/>
        </w:rPr>
        <w:t>â</w:t>
      </w:r>
      <w:r w:rsidRPr="00EE78D8">
        <w:rPr>
          <w:color w:val="000000"/>
        </w:rPr>
        <w:t>ches qui lui reviendraient</w:t>
      </w:r>
      <w:r w:rsidR="00DF01E9" w:rsidRPr="00EE78D8">
        <w:rPr>
          <w:color w:val="000000"/>
        </w:rPr>
        <w:t xml:space="preserve"> </w:t>
      </w:r>
      <w:r w:rsidRPr="00EE78D8">
        <w:rPr>
          <w:color w:val="000000"/>
        </w:rPr>
        <w:t xml:space="preserve">en temps normal doivent </w:t>
      </w:r>
      <w:r w:rsidR="00DF01E9" w:rsidRPr="00EE78D8">
        <w:rPr>
          <w:color w:val="000000"/>
        </w:rPr>
        <w:t>ê</w:t>
      </w:r>
      <w:r w:rsidRPr="00EE78D8">
        <w:rPr>
          <w:color w:val="000000"/>
        </w:rPr>
        <w:t xml:space="preserve">tre </w:t>
      </w:r>
      <w:r w:rsidR="00DF01E9" w:rsidRPr="00EE78D8">
        <w:rPr>
          <w:color w:val="000000"/>
        </w:rPr>
        <w:t>redistribuées</w:t>
      </w:r>
      <w:r w:rsidRPr="00EE78D8">
        <w:rPr>
          <w:color w:val="000000"/>
        </w:rPr>
        <w:t xml:space="preserve"> </w:t>
      </w:r>
      <w:r w:rsidR="00DF01E9" w:rsidRPr="00EE78D8">
        <w:rPr>
          <w:color w:val="000000"/>
        </w:rPr>
        <w:t>à</w:t>
      </w:r>
      <w:r w:rsidRPr="00EE78D8">
        <w:rPr>
          <w:color w:val="000000"/>
        </w:rPr>
        <w:t xml:space="preserve"> d’autres </w:t>
      </w:r>
      <w:r w:rsidR="00DF01E9" w:rsidRPr="00EE78D8">
        <w:rPr>
          <w:color w:val="000000"/>
        </w:rPr>
        <w:t>salariés</w:t>
      </w:r>
      <w:r w:rsidRPr="00EE78D8">
        <w:rPr>
          <w:color w:val="000000"/>
        </w:rPr>
        <w:t>. A ce titre, elles</w:t>
      </w:r>
      <w:r w:rsidR="00DF01E9" w:rsidRPr="00EE78D8">
        <w:rPr>
          <w:color w:val="000000"/>
        </w:rPr>
        <w:t xml:space="preserve"> </w:t>
      </w:r>
      <w:r w:rsidRPr="00EE78D8">
        <w:rPr>
          <w:color w:val="000000"/>
        </w:rPr>
        <w:t xml:space="preserve">peuvent </w:t>
      </w:r>
      <w:r w:rsidR="00DF01E9" w:rsidRPr="00EE78D8">
        <w:rPr>
          <w:color w:val="000000"/>
        </w:rPr>
        <w:t>ê</w:t>
      </w:r>
      <w:r w:rsidRPr="00EE78D8">
        <w:rPr>
          <w:color w:val="000000"/>
        </w:rPr>
        <w:t xml:space="preserve">tre </w:t>
      </w:r>
      <w:r w:rsidR="00DF01E9" w:rsidRPr="00EE78D8">
        <w:rPr>
          <w:color w:val="000000"/>
        </w:rPr>
        <w:t>redistribuées</w:t>
      </w:r>
      <w:r w:rsidRPr="00EE78D8">
        <w:rPr>
          <w:color w:val="000000"/>
        </w:rPr>
        <w:t xml:space="preserve"> </w:t>
      </w:r>
      <w:r w:rsidR="00DF01E9" w:rsidRPr="00EE78D8">
        <w:rPr>
          <w:color w:val="000000"/>
        </w:rPr>
        <w:t>à</w:t>
      </w:r>
      <w:r w:rsidRPr="00EE78D8">
        <w:rPr>
          <w:color w:val="000000"/>
        </w:rPr>
        <w:t xml:space="preserve"> des coll</w:t>
      </w:r>
      <w:r w:rsidR="00DF01E9" w:rsidRPr="00EE78D8">
        <w:rPr>
          <w:color w:val="000000"/>
        </w:rPr>
        <w:t>è</w:t>
      </w:r>
      <w:r w:rsidRPr="00EE78D8">
        <w:rPr>
          <w:color w:val="000000"/>
        </w:rPr>
        <w:t>gues, ce qui pourra engendrer des heures suppl</w:t>
      </w:r>
      <w:r w:rsidR="00DF01E9" w:rsidRPr="00EE78D8">
        <w:rPr>
          <w:color w:val="000000"/>
        </w:rPr>
        <w:t>é</w:t>
      </w:r>
      <w:r w:rsidRPr="00EE78D8">
        <w:rPr>
          <w:color w:val="000000"/>
        </w:rPr>
        <w:t>mentaires,</w:t>
      </w:r>
      <w:r w:rsidR="00DF01E9" w:rsidRPr="00EE78D8">
        <w:rPr>
          <w:color w:val="000000"/>
        </w:rPr>
        <w:t xml:space="preserve"> </w:t>
      </w:r>
      <w:r w:rsidRPr="00EE78D8">
        <w:rPr>
          <w:color w:val="000000"/>
        </w:rPr>
        <w:t xml:space="preserve">ou elles peuvent </w:t>
      </w:r>
      <w:r w:rsidR="00DF01E9" w:rsidRPr="00EE78D8">
        <w:rPr>
          <w:color w:val="000000"/>
        </w:rPr>
        <w:t>ê</w:t>
      </w:r>
      <w:r w:rsidRPr="00EE78D8">
        <w:rPr>
          <w:color w:val="000000"/>
        </w:rPr>
        <w:t>tre relay</w:t>
      </w:r>
      <w:r w:rsidR="00DF01E9" w:rsidRPr="00EE78D8">
        <w:rPr>
          <w:color w:val="000000"/>
        </w:rPr>
        <w:t>é</w:t>
      </w:r>
      <w:r w:rsidRPr="00EE78D8">
        <w:rPr>
          <w:color w:val="000000"/>
        </w:rPr>
        <w:t xml:space="preserve">es </w:t>
      </w:r>
      <w:r w:rsidR="00DF01E9" w:rsidRPr="00EE78D8">
        <w:rPr>
          <w:color w:val="000000"/>
        </w:rPr>
        <w:t>à</w:t>
      </w:r>
      <w:r w:rsidRPr="00EE78D8">
        <w:rPr>
          <w:color w:val="000000"/>
        </w:rPr>
        <w:t xml:space="preserve"> un rempla</w:t>
      </w:r>
      <w:r w:rsidR="00DF01E9" w:rsidRPr="00EE78D8">
        <w:rPr>
          <w:color w:val="000000"/>
        </w:rPr>
        <w:t>ç</w:t>
      </w:r>
      <w:r w:rsidRPr="00EE78D8">
        <w:rPr>
          <w:color w:val="000000"/>
        </w:rPr>
        <w:t>ant qu’il faudra alors former.</w:t>
      </w:r>
    </w:p>
    <w:p w14:paraId="0FCF1A09" w14:textId="77777777"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ts d’</w:t>
      </w:r>
      <w:r w:rsidR="00DF01E9" w:rsidRPr="00EE78D8">
        <w:rPr>
          <w:rFonts w:ascii="Utopia-Bold" w:hAnsi="Utopia-Bold" w:cs="Utopia-Bold"/>
          <w:b/>
          <w:bCs/>
          <w:color w:val="000000"/>
        </w:rPr>
        <w:t>improductivité</w:t>
      </w:r>
      <w:r w:rsidRPr="00EE78D8">
        <w:rPr>
          <w:rFonts w:ascii="Utopia-Bold" w:hAnsi="Utopia-Bold" w:cs="Utopia-Bold"/>
          <w:b/>
          <w:bCs/>
          <w:color w:val="000000"/>
        </w:rPr>
        <w:t xml:space="preserve"> </w:t>
      </w:r>
      <w:r w:rsidRPr="00EE78D8">
        <w:rPr>
          <w:b/>
          <w:bCs/>
          <w:color w:val="000000"/>
        </w:rPr>
        <w:t>:</w:t>
      </w:r>
      <w:r w:rsidRPr="00EE78D8">
        <w:rPr>
          <w:color w:val="000000"/>
        </w:rPr>
        <w:t xml:space="preserve"> Une personne </w:t>
      </w:r>
      <w:r w:rsidR="00DF01E9" w:rsidRPr="00EE78D8">
        <w:rPr>
          <w:color w:val="000000"/>
        </w:rPr>
        <w:t>remplaçant</w:t>
      </w:r>
      <w:r w:rsidRPr="00EE78D8">
        <w:rPr>
          <w:color w:val="000000"/>
        </w:rPr>
        <w:t xml:space="preserve"> un </w:t>
      </w:r>
      <w:r w:rsidR="00DF01E9" w:rsidRPr="00EE78D8">
        <w:rPr>
          <w:color w:val="000000"/>
        </w:rPr>
        <w:t>salarié</w:t>
      </w:r>
      <w:r w:rsidRPr="00EE78D8">
        <w:rPr>
          <w:color w:val="000000"/>
        </w:rPr>
        <w:t xml:space="preserve"> absent aura besoin</w:t>
      </w:r>
      <w:r w:rsidR="00DF01E9" w:rsidRPr="00EE78D8">
        <w:rPr>
          <w:color w:val="000000"/>
        </w:rPr>
        <w:t xml:space="preserve"> </w:t>
      </w:r>
      <w:r w:rsidRPr="00EE78D8">
        <w:rPr>
          <w:color w:val="000000"/>
        </w:rPr>
        <w:t xml:space="preserve">de temps pour se former aux </w:t>
      </w:r>
      <w:r w:rsidR="00DF01E9" w:rsidRPr="00EE78D8">
        <w:rPr>
          <w:color w:val="000000"/>
        </w:rPr>
        <w:t>différentes</w:t>
      </w:r>
      <w:r w:rsidRPr="00EE78D8">
        <w:rPr>
          <w:color w:val="000000"/>
        </w:rPr>
        <w:t xml:space="preserve"> </w:t>
      </w:r>
      <w:r w:rsidR="00DF01E9" w:rsidRPr="00EE78D8">
        <w:rPr>
          <w:color w:val="000000"/>
        </w:rPr>
        <w:t>tâches</w:t>
      </w:r>
      <w:r w:rsidRPr="00EE78D8">
        <w:rPr>
          <w:color w:val="000000"/>
        </w:rPr>
        <w:t xml:space="preserve"> qui lui seront </w:t>
      </w:r>
      <w:r w:rsidR="00DF01E9" w:rsidRPr="00EE78D8">
        <w:rPr>
          <w:color w:val="000000"/>
        </w:rPr>
        <w:t>confiées</w:t>
      </w:r>
      <w:r w:rsidRPr="00EE78D8">
        <w:rPr>
          <w:color w:val="000000"/>
        </w:rPr>
        <w:t>, et seront moins</w:t>
      </w:r>
      <w:r w:rsidR="00DF01E9" w:rsidRPr="00EE78D8">
        <w:rPr>
          <w:color w:val="000000"/>
        </w:rPr>
        <w:t xml:space="preserve"> </w:t>
      </w:r>
      <w:r w:rsidRPr="00EE78D8">
        <w:rPr>
          <w:color w:val="000000"/>
        </w:rPr>
        <w:t xml:space="preserve">efficaces que le </w:t>
      </w:r>
      <w:r w:rsidR="00DF01E9" w:rsidRPr="00EE78D8">
        <w:rPr>
          <w:color w:val="000000"/>
        </w:rPr>
        <w:t>salarié</w:t>
      </w:r>
      <w:r w:rsidRPr="00EE78D8">
        <w:rPr>
          <w:color w:val="000000"/>
        </w:rPr>
        <w:t xml:space="preserve"> </w:t>
      </w:r>
      <w:r w:rsidR="00DF01E9" w:rsidRPr="00EE78D8">
        <w:rPr>
          <w:color w:val="000000"/>
        </w:rPr>
        <w:t>remplacé</w:t>
      </w:r>
      <w:r w:rsidRPr="00EE78D8">
        <w:rPr>
          <w:color w:val="000000"/>
        </w:rPr>
        <w:t>.</w:t>
      </w:r>
    </w:p>
    <w:p w14:paraId="4703C5F0" w14:textId="77777777"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 xml:space="preserve">ts sociaux </w:t>
      </w:r>
      <w:r w:rsidRPr="00EE78D8">
        <w:rPr>
          <w:b/>
          <w:bCs/>
          <w:color w:val="000000"/>
        </w:rPr>
        <w:t>:</w:t>
      </w:r>
      <w:r w:rsidRPr="00EE78D8">
        <w:rPr>
          <w:color w:val="000000"/>
        </w:rPr>
        <w:t xml:space="preserve"> les d</w:t>
      </w:r>
      <w:r w:rsidR="00DF01E9" w:rsidRPr="00EE78D8">
        <w:rPr>
          <w:color w:val="000000"/>
        </w:rPr>
        <w:t>é</w:t>
      </w:r>
      <w:r w:rsidRPr="00EE78D8">
        <w:rPr>
          <w:color w:val="000000"/>
        </w:rPr>
        <w:t>penses et la r</w:t>
      </w:r>
      <w:r w:rsidR="00DF01E9" w:rsidRPr="00EE78D8">
        <w:rPr>
          <w:color w:val="000000"/>
        </w:rPr>
        <w:t>é</w:t>
      </w:r>
      <w:r w:rsidRPr="00EE78D8">
        <w:rPr>
          <w:color w:val="000000"/>
        </w:rPr>
        <w:t>organisation du travail engendr</w:t>
      </w:r>
      <w:r w:rsidR="00DF01E9" w:rsidRPr="00EE78D8">
        <w:rPr>
          <w:color w:val="000000"/>
        </w:rPr>
        <w:t>é</w:t>
      </w:r>
      <w:r w:rsidRPr="00EE78D8">
        <w:rPr>
          <w:color w:val="000000"/>
        </w:rPr>
        <w:t>es par une</w:t>
      </w:r>
      <w:r w:rsidR="00DF01E9" w:rsidRPr="00EE78D8">
        <w:rPr>
          <w:color w:val="000000"/>
        </w:rPr>
        <w:t xml:space="preserve"> </w:t>
      </w:r>
      <w:r w:rsidRPr="00EE78D8">
        <w:rPr>
          <w:color w:val="000000"/>
        </w:rPr>
        <w:t>absence peuvent venir d</w:t>
      </w:r>
      <w:r w:rsidR="00DF01E9" w:rsidRPr="00EE78D8">
        <w:rPr>
          <w:color w:val="000000"/>
        </w:rPr>
        <w:t>é</w:t>
      </w:r>
      <w:r w:rsidRPr="00EE78D8">
        <w:rPr>
          <w:color w:val="000000"/>
        </w:rPr>
        <w:t>grader le climat social puisque les salari</w:t>
      </w:r>
      <w:r w:rsidR="00DF01E9" w:rsidRPr="00EE78D8">
        <w:rPr>
          <w:color w:val="000000"/>
        </w:rPr>
        <w:t>é</w:t>
      </w:r>
      <w:r w:rsidRPr="00EE78D8">
        <w:rPr>
          <w:color w:val="000000"/>
        </w:rPr>
        <w:t>s pr</w:t>
      </w:r>
      <w:r w:rsidR="00DF01E9" w:rsidRPr="00EE78D8">
        <w:rPr>
          <w:color w:val="000000"/>
        </w:rPr>
        <w:t>é</w:t>
      </w:r>
      <w:r w:rsidRPr="00EE78D8">
        <w:rPr>
          <w:color w:val="000000"/>
        </w:rPr>
        <w:t>sents peuvent voir</w:t>
      </w:r>
      <w:r w:rsidR="00DF01E9" w:rsidRPr="00EE78D8">
        <w:rPr>
          <w:color w:val="000000"/>
        </w:rPr>
        <w:t xml:space="preserve"> </w:t>
      </w:r>
      <w:r w:rsidRPr="00EE78D8">
        <w:rPr>
          <w:color w:val="000000"/>
        </w:rPr>
        <w:t>leur charge de travail augmenter significativement.</w:t>
      </w:r>
    </w:p>
    <w:p w14:paraId="78D4C03C" w14:textId="344A7D61" w:rsidR="00163B1C" w:rsidRP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 xml:space="preserve">ts d’image </w:t>
      </w:r>
      <w:r w:rsidRPr="00EE78D8">
        <w:rPr>
          <w:b/>
          <w:bCs/>
          <w:color w:val="000000"/>
        </w:rPr>
        <w:t>:</w:t>
      </w:r>
      <w:r w:rsidRPr="00EE78D8">
        <w:rPr>
          <w:color w:val="000000"/>
        </w:rPr>
        <w:t xml:space="preserve"> le risque de perdre en </w:t>
      </w:r>
      <w:r w:rsidR="00DF01E9" w:rsidRPr="00EE78D8">
        <w:rPr>
          <w:color w:val="000000"/>
        </w:rPr>
        <w:t>productivité</w:t>
      </w:r>
      <w:r w:rsidRPr="00EE78D8">
        <w:rPr>
          <w:color w:val="000000"/>
        </w:rPr>
        <w:t xml:space="preserve"> </w:t>
      </w:r>
      <w:r w:rsidR="00DF01E9" w:rsidRPr="00EE78D8">
        <w:rPr>
          <w:color w:val="000000"/>
        </w:rPr>
        <w:t>é</w:t>
      </w:r>
      <w:r w:rsidRPr="00EE78D8">
        <w:rPr>
          <w:color w:val="000000"/>
        </w:rPr>
        <w:t>tant tr</w:t>
      </w:r>
      <w:r w:rsidR="00DF01E9" w:rsidRPr="00EE78D8">
        <w:rPr>
          <w:color w:val="000000"/>
        </w:rPr>
        <w:t>è</w:t>
      </w:r>
      <w:r w:rsidRPr="00EE78D8">
        <w:rPr>
          <w:color w:val="000000"/>
        </w:rPr>
        <w:t xml:space="preserve">s </w:t>
      </w:r>
      <w:r w:rsidR="00DF01E9" w:rsidRPr="00EE78D8">
        <w:rPr>
          <w:color w:val="000000"/>
        </w:rPr>
        <w:t>prononcé</w:t>
      </w:r>
      <w:r w:rsidR="009875C8">
        <w:rPr>
          <w:color w:val="000000"/>
        </w:rPr>
        <w:t>.</w:t>
      </w:r>
    </w:p>
    <w:p w14:paraId="64EAEA5E" w14:textId="232E0A7E" w:rsidR="00163B1C" w:rsidRPr="00163B1C" w:rsidRDefault="00163B1C" w:rsidP="00163B1C">
      <w:pPr>
        <w:rPr>
          <w:b/>
          <w:bCs/>
        </w:rPr>
      </w:pPr>
    </w:p>
    <w:p w14:paraId="38553E4B" w14:textId="394397C4" w:rsidR="00163B1C" w:rsidRPr="00163B1C" w:rsidRDefault="00163B1C" w:rsidP="00163B1C">
      <w:pPr>
        <w:rPr>
          <w:b/>
          <w:bCs/>
        </w:rPr>
      </w:pPr>
    </w:p>
    <w:p w14:paraId="7C1870AE" w14:textId="77777777" w:rsidR="00C57E5E" w:rsidRDefault="00C57E5E">
      <w:pPr>
        <w:jc w:val="left"/>
        <w:rPr>
          <w:rFonts w:asciiTheme="majorHAnsi" w:eastAsiaTheme="majorEastAsia" w:hAnsiTheme="majorHAnsi" w:cstheme="majorBidi"/>
          <w:spacing w:val="-10"/>
          <w:kern w:val="28"/>
          <w:sz w:val="56"/>
          <w:szCs w:val="56"/>
        </w:rPr>
      </w:pPr>
      <w:r>
        <w:br w:type="page"/>
      </w:r>
    </w:p>
    <w:p w14:paraId="24138CA4" w14:textId="74A86ADC" w:rsidR="00260AC0" w:rsidRDefault="00260AC0" w:rsidP="006E5444">
      <w:pPr>
        <w:pStyle w:val="Titre1"/>
      </w:pPr>
      <w:bookmarkStart w:id="18" w:name="_Toc112955500"/>
      <w:r>
        <w:lastRenderedPageBreak/>
        <w:t>Etude de la base de données :</w:t>
      </w:r>
      <w:bookmarkEnd w:id="18"/>
    </w:p>
    <w:p w14:paraId="1D072FCB" w14:textId="77777777" w:rsidR="00260AC0" w:rsidRDefault="00260AC0" w:rsidP="00260AC0"/>
    <w:p w14:paraId="5E760429" w14:textId="77777777" w:rsidR="00260AC0" w:rsidRDefault="00260AC0" w:rsidP="006E5444">
      <w:pPr>
        <w:pStyle w:val="Titre2"/>
      </w:pPr>
      <w:bookmarkStart w:id="19" w:name="_Toc111644466"/>
      <w:bookmarkStart w:id="20" w:name="_Toc112955501"/>
      <w:r>
        <w:t>Présentation de la base données</w:t>
      </w:r>
      <w:bookmarkEnd w:id="19"/>
      <w:bookmarkEnd w:id="20"/>
    </w:p>
    <w:p w14:paraId="708A8A8F" w14:textId="77777777" w:rsidR="00260AC0" w:rsidRPr="002F2F04" w:rsidRDefault="00260AC0" w:rsidP="00260AC0"/>
    <w:p w14:paraId="0DF27ED9" w14:textId="77777777" w:rsidR="00260AC0" w:rsidRDefault="00260AC0" w:rsidP="006E5444">
      <w:pPr>
        <w:pStyle w:val="Titre3"/>
      </w:pPr>
      <w:bookmarkStart w:id="21" w:name="_Toc111644467"/>
      <w:bookmarkStart w:id="22" w:name="_Toc112955502"/>
      <w:r>
        <w:t>Extraction de la base de données</w:t>
      </w:r>
      <w:bookmarkEnd w:id="21"/>
      <w:bookmarkEnd w:id="22"/>
    </w:p>
    <w:p w14:paraId="2AF8F7B7" w14:textId="77777777" w:rsidR="00260AC0" w:rsidRPr="00D1236C" w:rsidRDefault="00260AC0" w:rsidP="00260AC0"/>
    <w:p w14:paraId="2C43F9C1" w14:textId="77777777" w:rsidR="00260AC0" w:rsidRDefault="00260AC0" w:rsidP="00260AC0">
      <w:pPr>
        <w:pStyle w:val="Sansinterligne"/>
      </w:pPr>
      <w:r>
        <w:t>Les données que nous utilisons pour cette étude sont des données de prestation en prévoyance collective du portefeuille de Generali VIE fournies par la direction de la Techniques Assurance.</w:t>
      </w:r>
    </w:p>
    <w:p w14:paraId="46D12586" w14:textId="77777777" w:rsidR="00260AC0" w:rsidRDefault="00260AC0" w:rsidP="00260AC0">
      <w:pPr>
        <w:pStyle w:val="Sansinterligne"/>
      </w:pPr>
      <w:r>
        <w:t>Cette base de données est alimentée par les équipes de gestion, actualisée et mise à jour chaque mois puis importé dans le logiciel de gestion AVT, utilisé par l’ensemble des équipes de souscription et surveillance de portefeuille pour leurs opérations au quotidien.</w:t>
      </w:r>
    </w:p>
    <w:p w14:paraId="6099594C" w14:textId="77777777" w:rsidR="00260AC0" w:rsidRDefault="00260AC0" w:rsidP="00260AC0">
      <w:pPr>
        <w:pStyle w:val="Sansinterligne"/>
      </w:pPr>
      <w:r>
        <w:t xml:space="preserve">Cette base de données nous donne accès à l’ensemble des sinistres ITIP survenu sur le périmètre collectif depuis 2012. </w:t>
      </w:r>
    </w:p>
    <w:p w14:paraId="7603ADB8" w14:textId="77777777" w:rsidR="00260AC0" w:rsidRDefault="00260AC0" w:rsidP="00260AC0">
      <w:pPr>
        <w:pStyle w:val="Sansinterligne"/>
      </w:pPr>
      <w:r>
        <w:t>Nous allons à présent nous focaliser dans le détail de la structure de cette base de données et des informations qu’elle pourra nous apporter dans notre démarche.</w:t>
      </w:r>
    </w:p>
    <w:p w14:paraId="062C6861" w14:textId="77777777" w:rsidR="00260AC0" w:rsidRDefault="00260AC0" w:rsidP="00260AC0">
      <w:pPr>
        <w:spacing w:after="0"/>
        <w:jc w:val="left"/>
      </w:pPr>
    </w:p>
    <w:p w14:paraId="70AD0084" w14:textId="77777777" w:rsidR="00260AC0" w:rsidRPr="002F2F04" w:rsidRDefault="00260AC0" w:rsidP="006E5444">
      <w:pPr>
        <w:pStyle w:val="Titre3"/>
      </w:pPr>
      <w:bookmarkStart w:id="23" w:name="_Toc111644468"/>
      <w:bookmarkStart w:id="24" w:name="_Toc112955503"/>
      <w:r>
        <w:t>Quelle est la structure de la base de données d’étude ?</w:t>
      </w:r>
      <w:bookmarkEnd w:id="23"/>
      <w:bookmarkEnd w:id="24"/>
    </w:p>
    <w:p w14:paraId="37F9B965" w14:textId="77777777" w:rsidR="00260AC0" w:rsidRDefault="00260AC0" w:rsidP="00260AC0">
      <w:pPr>
        <w:pStyle w:val="Sansinterligne"/>
        <w:spacing w:before="240"/>
      </w:pPr>
      <w:r>
        <w:t>La base de données d’étude est structurée par ligne, chacune d’elle correspond à un sinistre prévoyance, voici une liste non-exhaustive des garanties couvertes :</w:t>
      </w:r>
    </w:p>
    <w:p w14:paraId="024A31D6" w14:textId="77777777" w:rsidR="00260AC0" w:rsidRDefault="00260AC0" w:rsidP="00260AC0">
      <w:pPr>
        <w:pStyle w:val="Sansinterligne"/>
      </w:pPr>
    </w:p>
    <w:p w14:paraId="73667F8F" w14:textId="77777777" w:rsidR="00260AC0" w:rsidRDefault="00260AC0" w:rsidP="00260AC0">
      <w:pPr>
        <w:pStyle w:val="Sansinterligne"/>
        <w:jc w:val="center"/>
      </w:pPr>
      <w:r>
        <w:rPr>
          <w:noProof/>
        </w:rPr>
        <w:drawing>
          <wp:inline distT="0" distB="0" distL="0" distR="0" wp14:anchorId="14431AEF" wp14:editId="6D6D00B6">
            <wp:extent cx="5018567" cy="381315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610" cy="3821549"/>
                    </a:xfrm>
                    <a:prstGeom prst="rect">
                      <a:avLst/>
                    </a:prstGeom>
                  </pic:spPr>
                </pic:pic>
              </a:graphicData>
            </a:graphic>
          </wp:inline>
        </w:drawing>
      </w:r>
    </w:p>
    <w:p w14:paraId="3E388038" w14:textId="77777777" w:rsidR="00260AC0" w:rsidRDefault="00260AC0" w:rsidP="00260AC0">
      <w:pPr>
        <w:pStyle w:val="Sansinterligne"/>
        <w:spacing w:before="240"/>
      </w:pPr>
      <w:r>
        <w:t>La base de données initiale est composée de 63 variables pour chacun des sinistres, nous avons sélectionné parmi celles-ci, les variables suivantes :</w:t>
      </w:r>
    </w:p>
    <w:p w14:paraId="189BCB13" w14:textId="77777777" w:rsidR="00260AC0" w:rsidRDefault="00260AC0" w:rsidP="00260AC0">
      <w:pPr>
        <w:pStyle w:val="Sansinterligne"/>
      </w:pPr>
    </w:p>
    <w:p w14:paraId="2BCA4C81" w14:textId="77777777" w:rsidR="00260AC0" w:rsidRDefault="00260AC0" w:rsidP="00260AC0">
      <w:pPr>
        <w:pStyle w:val="Sansinterligne"/>
        <w:jc w:val="center"/>
      </w:pPr>
      <w:r>
        <w:rPr>
          <w:noProof/>
        </w:rPr>
        <w:lastRenderedPageBreak/>
        <w:drawing>
          <wp:inline distT="0" distB="0" distL="0" distR="0" wp14:anchorId="09C147AC" wp14:editId="56E74735">
            <wp:extent cx="4816444" cy="5080000"/>
            <wp:effectExtent l="0" t="0" r="381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6392"/>
                    <a:stretch/>
                  </pic:blipFill>
                  <pic:spPr bwMode="auto">
                    <a:xfrm>
                      <a:off x="0" y="0"/>
                      <a:ext cx="4816444" cy="5080000"/>
                    </a:xfrm>
                    <a:prstGeom prst="rect">
                      <a:avLst/>
                    </a:prstGeom>
                    <a:ln>
                      <a:noFill/>
                    </a:ln>
                    <a:extLst>
                      <a:ext uri="{53640926-AAD7-44D8-BBD7-CCE9431645EC}">
                        <a14:shadowObscured xmlns:a14="http://schemas.microsoft.com/office/drawing/2010/main"/>
                      </a:ext>
                    </a:extLst>
                  </pic:spPr>
                </pic:pic>
              </a:graphicData>
            </a:graphic>
          </wp:inline>
        </w:drawing>
      </w:r>
    </w:p>
    <w:p w14:paraId="0AE5B7F9" w14:textId="77777777" w:rsidR="00260AC0" w:rsidRDefault="00260AC0" w:rsidP="00260AC0">
      <w:pPr>
        <w:pStyle w:val="Sansinterligne"/>
        <w:jc w:val="center"/>
      </w:pPr>
    </w:p>
    <w:p w14:paraId="29CF8D65" w14:textId="77777777" w:rsidR="00260AC0" w:rsidRDefault="00260AC0" w:rsidP="00260AC0">
      <w:pPr>
        <w:spacing w:before="240"/>
        <w:jc w:val="left"/>
        <w:rPr>
          <w:rFonts w:eastAsiaTheme="majorEastAsia" w:cstheme="majorBidi"/>
          <w:color w:val="7030A0"/>
          <w:sz w:val="32"/>
          <w:szCs w:val="32"/>
        </w:rPr>
      </w:pPr>
      <w:r>
        <w:t>Après avoir sélectionné les informations intéressantes pour notre étude, un travail de data-</w:t>
      </w:r>
      <w:proofErr w:type="spellStart"/>
      <w:r>
        <w:t>cleaning</w:t>
      </w:r>
      <w:proofErr w:type="spellEnd"/>
      <w:r>
        <w:t xml:space="preserve"> était nécessaire pour différentes raisons, d’abord pour homogénéiser les données car elles ont été saisies par différentes équipes de gestions qui n’ont pas les mêmes process et les mêmes normes depuis 2012 donc il s’agira d’effectuer un travail d’homogénéisation des données, de plus il faut pouvoir être capable de capter les erreurs de saisie et de faire des choix quant au nettoyage ou au remplacement de celles-ci afin d’avoir la base de données la plus « propre » possible.</w:t>
      </w:r>
      <w:r>
        <w:br w:type="page"/>
      </w:r>
    </w:p>
    <w:p w14:paraId="1A702F8A" w14:textId="77777777" w:rsidR="00260AC0" w:rsidRPr="006F030E" w:rsidRDefault="00260AC0" w:rsidP="006E5444">
      <w:pPr>
        <w:pStyle w:val="Titre2"/>
      </w:pPr>
      <w:bookmarkStart w:id="25" w:name="_Toc111644469"/>
      <w:bookmarkStart w:id="26" w:name="_Toc112955504"/>
      <w:r>
        <w:lastRenderedPageBreak/>
        <w:t>Traitement de la donnée</w:t>
      </w:r>
      <w:bookmarkEnd w:id="25"/>
      <w:bookmarkEnd w:id="26"/>
    </w:p>
    <w:p w14:paraId="5CDC7E6C" w14:textId="77777777" w:rsidR="00260AC0" w:rsidRPr="00F91915" w:rsidRDefault="00260AC0" w:rsidP="006E5444">
      <w:pPr>
        <w:pStyle w:val="Titre3"/>
        <w:spacing w:before="240"/>
      </w:pPr>
      <w:bookmarkStart w:id="27" w:name="_Toc111644470"/>
      <w:bookmarkStart w:id="28" w:name="_Toc112955505"/>
      <w:r>
        <w:t>Ciblage sur le risque arrêt de travail</w:t>
      </w:r>
      <w:bookmarkEnd w:id="27"/>
      <w:bookmarkEnd w:id="28"/>
    </w:p>
    <w:p w14:paraId="11EAE568" w14:textId="77777777" w:rsidR="00260AC0" w:rsidRDefault="00260AC0" w:rsidP="00260AC0">
      <w:pPr>
        <w:pStyle w:val="Sansinterligne"/>
        <w:spacing w:before="240"/>
      </w:pPr>
      <w:r>
        <w:t>Pour étudier le risque arrêt de travail, il s’agit de sélectionner dans la base de données uniquement les sinistres de type ITT : Incapacité temporaire de travail. Pour ce faire, nous avons sélectionné dans la suite uniquement les sinistres dont la garantie élémentaire couverte contient les mentions “ITT” ou “INV” ou tout autres garanties incapacité/invalidité. De plus, parmi les données sélectionnées en incapacité, nous souhaitions ne considérer que les sinistres d’une durée inférieure à 3 ans, durée maximum légale de l’incapacité, c’est pourquoi nous avons calculé des variables à partir des données initiales pour en tirer les informations utiles à notre étude, ces variables vont être présentées et expliquées dans la suite.</w:t>
      </w:r>
    </w:p>
    <w:p w14:paraId="7B6F7708" w14:textId="77777777" w:rsidR="00260AC0" w:rsidRDefault="00260AC0" w:rsidP="00260AC0">
      <w:pPr>
        <w:pStyle w:val="Sansinterligne"/>
      </w:pPr>
    </w:p>
    <w:p w14:paraId="7E366D35" w14:textId="77777777" w:rsidR="00260AC0" w:rsidRPr="00F91915" w:rsidRDefault="00260AC0" w:rsidP="006E5444">
      <w:pPr>
        <w:pStyle w:val="Titre3"/>
        <w:spacing w:before="240"/>
      </w:pPr>
      <w:bookmarkStart w:id="29" w:name="_Toc111644471"/>
      <w:bookmarkStart w:id="30" w:name="_Toc112955506"/>
      <w:r>
        <w:t>Quels choix a-t-on effectué pour le nettoyage de la base de données ?</w:t>
      </w:r>
      <w:bookmarkEnd w:id="29"/>
      <w:bookmarkEnd w:id="30"/>
    </w:p>
    <w:p w14:paraId="09087B79" w14:textId="77777777" w:rsidR="00260AC0" w:rsidRDefault="00260AC0" w:rsidP="00260AC0">
      <w:pPr>
        <w:pStyle w:val="Sansinterligne"/>
        <w:spacing w:before="240"/>
      </w:pPr>
      <w:r>
        <w:t xml:space="preserve">Dans le processus de nettoyage d’une base de données différents cas de figures peuvent exister lorsque l’on parle d’une donnée que l’on juge impropre, celle-ci peut être erroné, décalée à cause d’une erreur de saisie manuelle par exemple, ou tout simplement manquante. Dans ces différents cas de figure plusieurs façons de résoudre le problème existent, on peut soit essayer de corriger les erreurs de saisie ce qui en pratique peut s’avérer très compliqué lorsque l’on travaille avec une base de données conséquente (notre base de données initiale contient 697000 lignes), soit trouver la source de l’erreur lorsqu’elle est automatique et la réparer, soit simplement supprimer la donnée. Dans le cas de notre étude, l’objectif était d’avoir la base de données la plus précise et donc pour ce faire nous avons fait les choix suivants : </w:t>
      </w:r>
    </w:p>
    <w:p w14:paraId="2575961E" w14:textId="77777777" w:rsidR="00260AC0" w:rsidRDefault="00260AC0" w:rsidP="00154541">
      <w:pPr>
        <w:pStyle w:val="Sansinterligne"/>
        <w:numPr>
          <w:ilvl w:val="0"/>
          <w:numId w:val="23"/>
        </w:numPr>
        <w:jc w:val="both"/>
      </w:pPr>
      <w:r>
        <w:t>Supprimer les lignes qui possédaient des informations importantes manquantes (ex : le code option)</w:t>
      </w:r>
    </w:p>
    <w:p w14:paraId="2B0CC97A" w14:textId="77777777" w:rsidR="00260AC0" w:rsidRDefault="00260AC0" w:rsidP="00154541">
      <w:pPr>
        <w:pStyle w:val="Sansinterligne"/>
        <w:numPr>
          <w:ilvl w:val="0"/>
          <w:numId w:val="23"/>
        </w:numPr>
        <w:jc w:val="both"/>
      </w:pPr>
      <w:r>
        <w:t>Homogénéiser et simplifier les informations de certaines variables (ex : les garanties élémentaires, les codes options), par exemple en regroupant, dans le cas des garanties élémentaires, l’ensemble des garanties faisant référence à de l’incapacité sous la mention « ITT »</w:t>
      </w:r>
    </w:p>
    <w:p w14:paraId="249A193A" w14:textId="77777777" w:rsidR="00260AC0" w:rsidRDefault="00260AC0" w:rsidP="00154541">
      <w:pPr>
        <w:pStyle w:val="Sansinterligne"/>
        <w:numPr>
          <w:ilvl w:val="0"/>
          <w:numId w:val="23"/>
        </w:numPr>
        <w:jc w:val="both"/>
      </w:pPr>
      <w:r>
        <w:t xml:space="preserve">Corriger lorsque c’était possible les erreurs de saisie :  par exemple lors de la saisie du nom et du prénom de l’assuré, dans de nombreux cas le nom et le prénom étaient saisis dans le même champ, celui du nom, ce qui fait qu’un grand nombre de prénoms d’assuré étaient manquants dans la variable prénom car saisi dans le champ nom. Cette anomalie par exemple était corrigeable pour la plupart des dossiers </w:t>
      </w:r>
    </w:p>
    <w:p w14:paraId="46C6799F" w14:textId="77777777" w:rsidR="00260AC0" w:rsidRPr="00F91915" w:rsidRDefault="00260AC0" w:rsidP="00260AC0">
      <w:pPr>
        <w:pStyle w:val="Sansinterligne"/>
      </w:pPr>
    </w:p>
    <w:p w14:paraId="4734A167" w14:textId="77777777" w:rsidR="00260AC0" w:rsidRDefault="00260AC0">
      <w:pPr>
        <w:jc w:val="left"/>
        <w:rPr>
          <w:rFonts w:eastAsiaTheme="majorEastAsia" w:cstheme="majorBidi"/>
          <w:color w:val="2F5496" w:themeColor="accent1" w:themeShade="BF"/>
          <w:sz w:val="26"/>
          <w:szCs w:val="26"/>
        </w:rPr>
      </w:pPr>
      <w:bookmarkStart w:id="31" w:name="_Toc111644472"/>
      <w:r>
        <w:br w:type="page"/>
      </w:r>
    </w:p>
    <w:p w14:paraId="4920C1B0" w14:textId="77777777" w:rsidR="00260AC0" w:rsidRDefault="00260AC0" w:rsidP="00260AC0">
      <w:pPr>
        <w:pStyle w:val="Titre2"/>
      </w:pPr>
      <w:bookmarkStart w:id="32" w:name="_Toc112955507"/>
      <w:r>
        <w:lastRenderedPageBreak/>
        <w:t>Variables d’étude à calculer</w:t>
      </w:r>
      <w:bookmarkEnd w:id="31"/>
      <w:bookmarkEnd w:id="32"/>
      <w:r>
        <w:t xml:space="preserve"> </w:t>
      </w:r>
    </w:p>
    <w:p w14:paraId="08B34B8A" w14:textId="77777777" w:rsidR="00260AC0" w:rsidRDefault="00260AC0" w:rsidP="00260AC0">
      <w:pPr>
        <w:pStyle w:val="Titre3"/>
        <w:spacing w:before="240"/>
      </w:pPr>
      <w:bookmarkStart w:id="33" w:name="_Toc111644473"/>
      <w:bookmarkStart w:id="34" w:name="_Toc112955508"/>
      <w:r>
        <w:t>Durée de l’</w:t>
      </w:r>
      <w:r w:rsidRPr="006B0751">
        <w:t>arrêt</w:t>
      </w:r>
      <w:r>
        <w:t xml:space="preserve"> de travail</w:t>
      </w:r>
      <w:bookmarkEnd w:id="33"/>
      <w:bookmarkEnd w:id="34"/>
    </w:p>
    <w:p w14:paraId="6165B55D" w14:textId="77777777" w:rsidR="00260AC0" w:rsidRDefault="00260AC0" w:rsidP="00260AC0">
      <w:pPr>
        <w:pStyle w:val="Sansinterligne"/>
        <w:spacing w:before="240"/>
      </w:pPr>
      <w:r>
        <w:t>L’une des informations importantes que nous devons capter grâce à cette base de données pour notre étude est la durée de l’arrêt de travail, pour cela nous devons procéder avec les informations que nous possédons et en particulier grâce à la période de couverture, ainsi on calcule la durée d’un sinistre incapacité de la façon suivante :</w:t>
      </w:r>
    </w:p>
    <w:p w14:paraId="15EB8E86" w14:textId="77777777" w:rsidR="00260AC0" w:rsidRPr="00A31EC0" w:rsidRDefault="00260AC0" w:rsidP="00260AC0">
      <w:pPr>
        <w:pStyle w:val="Sansinterligne"/>
        <w:spacing w:before="240"/>
        <w:rPr>
          <w:rFonts w:eastAsiaTheme="minorEastAsia"/>
        </w:rPr>
      </w:pPr>
      <m:oMathPara>
        <m:oMath>
          <m:r>
            <w:rPr>
              <w:rFonts w:ascii="Cambria Math" w:hAnsi="Cambria Math"/>
            </w:rPr>
            <m:t xml:space="preserve">Durée de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arrêt=FIN_COUVERTURE-DEB_COUVERTURE+1</m:t>
          </m:r>
        </m:oMath>
      </m:oMathPara>
    </w:p>
    <w:p w14:paraId="0448B09C" w14:textId="5EDC2172" w:rsidR="00B71D8B" w:rsidRPr="00602D96" w:rsidRDefault="00260AC0" w:rsidP="00602D96">
      <w:pPr>
        <w:pStyle w:val="Sansinterligne"/>
        <w:spacing w:before="240"/>
        <w:rPr>
          <w:rFonts w:eastAsiaTheme="minorEastAsia"/>
        </w:rPr>
      </w:pPr>
      <w:r>
        <w:rPr>
          <w:rFonts w:eastAsiaTheme="minorEastAsia"/>
        </w:rPr>
        <w:t>D’ailleurs</w:t>
      </w:r>
      <w:r w:rsidR="00EB1625">
        <w:rPr>
          <w:rFonts w:eastAsiaTheme="minorEastAsia"/>
        </w:rPr>
        <w:t xml:space="preserve"> nous ne possédons pas l’information sur la durée de la franchise pour chaque arrêt dans nos données</w:t>
      </w:r>
      <w:r>
        <w:rPr>
          <w:rFonts w:eastAsiaTheme="minorEastAsia"/>
        </w:rPr>
        <w:t xml:space="preserve"> </w:t>
      </w:r>
      <w:r w:rsidR="00EB1625">
        <w:rPr>
          <w:rFonts w:eastAsiaTheme="minorEastAsia"/>
        </w:rPr>
        <w:t xml:space="preserve">donc </w:t>
      </w:r>
      <w:r>
        <w:rPr>
          <w:rFonts w:eastAsiaTheme="minorEastAsia"/>
        </w:rPr>
        <w:t xml:space="preserve">il faut tenir compte que cette façon de calculer la durée d’un arrêt de travail n’est pas totalement exacte car elle ignore </w:t>
      </w:r>
      <w:r w:rsidR="00EB1625">
        <w:rPr>
          <w:rFonts w:eastAsiaTheme="minorEastAsia"/>
        </w:rPr>
        <w:t>cette période</w:t>
      </w:r>
      <w:r>
        <w:rPr>
          <w:rFonts w:eastAsiaTheme="minorEastAsia"/>
        </w:rPr>
        <w:t>.</w:t>
      </w:r>
    </w:p>
    <w:p w14:paraId="64CA06D0" w14:textId="18ADCC7B" w:rsidR="00260AC0" w:rsidRDefault="00260AC0" w:rsidP="00260AC0">
      <w:pPr>
        <w:pStyle w:val="Titre3"/>
        <w:spacing w:before="720"/>
      </w:pPr>
      <w:bookmarkStart w:id="35" w:name="_Toc112955509"/>
      <w:r>
        <w:t>Taux d’absentéisme</w:t>
      </w:r>
      <w:bookmarkEnd w:id="35"/>
      <w:r>
        <w:t xml:space="preserve"> </w:t>
      </w:r>
    </w:p>
    <w:p w14:paraId="35743B45" w14:textId="77777777" w:rsidR="00260AC0" w:rsidRDefault="00260AC0" w:rsidP="00260AC0">
      <w:pPr>
        <w:pStyle w:val="Sansinterligne"/>
        <w:spacing w:before="240"/>
      </w:pPr>
      <w:r>
        <w:t>Cette variable à calculer est très importante et représente un enjeu important de cette étude, notamment pour la modélisation GLM dans la suite, elle est cependant assez complexe à calculer dans le contexte de l’étude avec les données en notre possession. La difficulté de ce calcul provient du fait que nous avons besoin de l’information du notre de jour arrêté total sur une année pour chaque assuré et que cette base référence uniquement les sinistres un à un, la solution que nous avons choisie pour calculer ce taux dans la suite est la création d’une nouvelle base de données qui cette fois-ci sera une base de données agrégée par assurés et par année de survenance.</w:t>
      </w:r>
    </w:p>
    <w:p w14:paraId="47129A83" w14:textId="520DB66B" w:rsidR="00260AC0" w:rsidRDefault="00B71D8B" w:rsidP="00260AC0">
      <w:pPr>
        <w:pStyle w:val="Sansinterligne"/>
        <w:spacing w:before="240"/>
      </w:pPr>
      <w:r>
        <w:t>Rappelons à présent la formule de calcul de ce taux présenté dans la première partie :</w:t>
      </w:r>
    </w:p>
    <w:p w14:paraId="731C0787" w14:textId="08BC9893" w:rsidR="00B71D8B" w:rsidRDefault="00B71D8B" w:rsidP="00260AC0">
      <w:pPr>
        <w:pStyle w:val="Sansinterligne"/>
        <w:spacing w:before="240"/>
      </w:pPr>
      <m:oMathPara>
        <m:oMath>
          <m:r>
            <w:rPr>
              <w:rFonts w:ascii="Cambria Math" w:hAnsi="Cambria Math"/>
            </w:rPr>
            <m:t xml:space="preserve">Taux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absentéisme= </m:t>
          </m:r>
          <m:f>
            <m:fPr>
              <m:ctrlPr>
                <w:rPr>
                  <w:rFonts w:ascii="Cambria Math" w:hAnsi="Cambria Math"/>
                  <w:i/>
                </w:rPr>
              </m:ctrlPr>
            </m:fPr>
            <m:num>
              <m:r>
                <w:rPr>
                  <w:rFonts w:ascii="Cambria Math" w:hAnsi="Cambria Math"/>
                </w:rPr>
                <m:t xml:space="preserve">Nombre de jours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absence total sur la période d'étude</m:t>
              </m:r>
            </m:num>
            <m:den>
              <m:r>
                <w:rPr>
                  <w:rFonts w:ascii="Cambria Math" w:hAnsi="Cambria Math"/>
                </w:rPr>
                <m:t xml:space="preserve">Nombre de jours sur la période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étud</m:t>
              </m:r>
            </m:den>
          </m:f>
        </m:oMath>
      </m:oMathPara>
    </w:p>
    <w:p w14:paraId="2FBE6244" w14:textId="77777777" w:rsidR="00260AC0" w:rsidRDefault="00260AC0" w:rsidP="00260AC0">
      <w:pPr>
        <w:pStyle w:val="Sansinterligne"/>
        <w:spacing w:before="240"/>
        <w:rPr>
          <w:color w:val="7030A0"/>
          <w:sz w:val="32"/>
          <w:szCs w:val="32"/>
        </w:rPr>
      </w:pPr>
      <w:r>
        <w:br w:type="page"/>
      </w:r>
    </w:p>
    <w:p w14:paraId="35CC99E7" w14:textId="77777777" w:rsidR="00260AC0" w:rsidRDefault="00260AC0" w:rsidP="00260AC0">
      <w:pPr>
        <w:pStyle w:val="Titre1"/>
      </w:pPr>
      <w:bookmarkStart w:id="36" w:name="_Toc111644474"/>
      <w:bookmarkStart w:id="37" w:name="_Toc112955510"/>
      <w:r>
        <w:lastRenderedPageBreak/>
        <w:t>Analyse descriptive</w:t>
      </w:r>
      <w:bookmarkEnd w:id="36"/>
      <w:bookmarkEnd w:id="37"/>
    </w:p>
    <w:p w14:paraId="7BD33BFE" w14:textId="6E7F9EAF" w:rsidR="00E351F0" w:rsidRDefault="00E351F0" w:rsidP="00E351F0">
      <w:pPr>
        <w:spacing w:before="240"/>
        <w:jc w:val="left"/>
      </w:pPr>
      <w:bookmarkStart w:id="38" w:name="_Toc111644475"/>
      <w:r>
        <w:t xml:space="preserve">Dans cette partie nous </w:t>
      </w:r>
      <w:proofErr w:type="gramStart"/>
      <w:r>
        <w:t>tacherons</w:t>
      </w:r>
      <w:proofErr w:type="gramEnd"/>
      <w:r>
        <w:t xml:space="preserve"> d’analyser nos données en nous intéressant d’abord à la taille de notre portefeuille d’étude, puis à l’évolution du nombre d’arrêts de travail et sa saisonnalité.</w:t>
      </w:r>
    </w:p>
    <w:p w14:paraId="30F7A420" w14:textId="304503EE" w:rsidR="003B3EDA" w:rsidRDefault="00982F68" w:rsidP="00982F68">
      <w:pPr>
        <w:pStyle w:val="Titre2"/>
      </w:pPr>
      <w:bookmarkStart w:id="39" w:name="_Toc112955511"/>
      <w:r>
        <w:t>Evolution du risque arrêt de travail sur les dernières années</w:t>
      </w:r>
      <w:bookmarkEnd w:id="39"/>
    </w:p>
    <w:p w14:paraId="62B496BA" w14:textId="238C4224" w:rsidR="00982F68" w:rsidRDefault="00982F68" w:rsidP="00033CE8">
      <w:pPr>
        <w:pStyle w:val="Titre3"/>
        <w:spacing w:before="360"/>
      </w:pPr>
      <w:bookmarkStart w:id="40" w:name="_Toc112955512"/>
      <w:r>
        <w:t>Evolution globale du portefeuille arrêt de travail</w:t>
      </w:r>
      <w:bookmarkEnd w:id="40"/>
    </w:p>
    <w:p w14:paraId="49AD1738" w14:textId="4657B804" w:rsidR="00982F68" w:rsidRDefault="00982F68" w:rsidP="00033CE8">
      <w:pPr>
        <w:spacing w:before="480"/>
      </w:pPr>
      <w:r>
        <w:t>Nous nous intéresserons dans un premier temps à l’évolution du nombre d’arrêts de travail sans différencier incapacité, invalidité et sans prendre en compte l’évolution du portefeuille collectif. En effet l’évolution du portefeuille par année est une information importante pour que l’on puisse avoir des données comparables entre années.</w:t>
      </w:r>
    </w:p>
    <w:p w14:paraId="2E3B53D6" w14:textId="35554C29" w:rsidR="00982F68" w:rsidRPr="00982F68" w:rsidRDefault="00982F68" w:rsidP="00294B8F">
      <w:pPr>
        <w:jc w:val="center"/>
      </w:pPr>
    </w:p>
    <w:p w14:paraId="6E607210" w14:textId="77777777" w:rsidR="00BB40B6" w:rsidRDefault="00A84E4C" w:rsidP="00BB40B6">
      <w:pPr>
        <w:pStyle w:val="Sansinterligne"/>
        <w:keepNext/>
      </w:pPr>
      <w:r>
        <w:rPr>
          <w:noProof/>
        </w:rPr>
        <w:drawing>
          <wp:inline distT="0" distB="0" distL="0" distR="0" wp14:anchorId="31C962AF" wp14:editId="46A0391D">
            <wp:extent cx="5762625" cy="2604770"/>
            <wp:effectExtent l="152400" t="152400" r="352425" b="36703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6047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4F61A00" w14:textId="2CF94DD8" w:rsidR="00982F68" w:rsidRPr="00982F68" w:rsidRDefault="00BB40B6" w:rsidP="00BB40B6">
      <w:pPr>
        <w:pStyle w:val="Lgende"/>
        <w:jc w:val="center"/>
      </w:pPr>
      <w:r>
        <w:t xml:space="preserve">Figure </w:t>
      </w:r>
      <w:r w:rsidR="00423160">
        <w:fldChar w:fldCharType="begin"/>
      </w:r>
      <w:r w:rsidR="00423160">
        <w:instrText xml:space="preserve"> SEQ Figure \* ARABIC </w:instrText>
      </w:r>
      <w:r w:rsidR="00423160">
        <w:fldChar w:fldCharType="separate"/>
      </w:r>
      <w:r w:rsidR="00D2767C">
        <w:rPr>
          <w:noProof/>
        </w:rPr>
        <w:t>3</w:t>
      </w:r>
      <w:r w:rsidR="00423160">
        <w:rPr>
          <w:noProof/>
        </w:rPr>
        <w:fldChar w:fldCharType="end"/>
      </w:r>
      <w:r>
        <w:t xml:space="preserve"> : Evolution du nombre d'arrêts par année de survenance</w:t>
      </w:r>
    </w:p>
    <w:p w14:paraId="161C5D53" w14:textId="74FC8ECB" w:rsidR="00C4573A" w:rsidRDefault="00BB40B6" w:rsidP="00033CE8">
      <w:pPr>
        <w:spacing w:before="480"/>
        <w:jc w:val="left"/>
      </w:pPr>
      <w:r>
        <w:t>On observe une croissance relativement constante du nombre d’arrêt</w:t>
      </w:r>
      <w:r w:rsidR="00033CE8">
        <w:t xml:space="preserve"> de travail</w:t>
      </w:r>
      <w:r>
        <w:t xml:space="preserve"> entre 2014 et 2018 puis une forte hausse sur 2019/2020 suivi d’un retour à la normal en 2021. Nous verrons dans la suite lorsque nous étudierons la saisonnalité que la forte hausse sur 2020 est très probablement dû à un « effet COVID » car on observe une hausse significative des nombres d’arrêts durant les périodes de vague d’infection. La hausse en 2019 est surement dû à un agrandissement du portefeuille collectif.</w:t>
      </w:r>
    </w:p>
    <w:p w14:paraId="17FF0566" w14:textId="22491D42" w:rsidR="00033CE8" w:rsidRDefault="00033CE8" w:rsidP="00033CE8">
      <w:pPr>
        <w:spacing w:before="240"/>
        <w:jc w:val="left"/>
      </w:pPr>
      <w:r>
        <w:t>En divisant le nombre d’arrêts par la taille du portefeuille collectif, nous obtenons alors un taux d’arrêts maladie par salarié, ce qui semble très intéressant pour comparer les différentes années.</w:t>
      </w:r>
    </w:p>
    <w:p w14:paraId="69F43FD8" w14:textId="77777777" w:rsidR="00033CE8" w:rsidRDefault="00033CE8" w:rsidP="00033CE8">
      <w:pPr>
        <w:spacing w:before="240"/>
        <w:jc w:val="left"/>
      </w:pPr>
    </w:p>
    <w:p w14:paraId="4659902B" w14:textId="5AF5C142" w:rsidR="00033CE8" w:rsidRDefault="00033CE8" w:rsidP="00033CE8">
      <w:pPr>
        <w:pStyle w:val="Titre3"/>
        <w:spacing w:before="360"/>
      </w:pPr>
      <w:bookmarkStart w:id="41" w:name="_Toc112955513"/>
      <w:r>
        <w:lastRenderedPageBreak/>
        <w:t>Saisonnalité des arrêts de travail</w:t>
      </w:r>
      <w:r w:rsidR="00A41C6F">
        <w:t xml:space="preserve"> et mise en valeur d’un effet COVID sur 2020</w:t>
      </w:r>
      <w:bookmarkEnd w:id="41"/>
    </w:p>
    <w:p w14:paraId="03285366" w14:textId="4B92C621" w:rsidR="00A41C6F" w:rsidRDefault="00A41C6F" w:rsidP="001969F9">
      <w:pPr>
        <w:spacing w:before="240"/>
      </w:pPr>
      <w:r>
        <w:t>Il s’agit ici de s’intéresser à la saisonnalité de la survenance des arrêts de travail sur notre portefeuille afin de constater les tendances sur les dernières années.</w:t>
      </w:r>
    </w:p>
    <w:p w14:paraId="57D9467E" w14:textId="77777777" w:rsidR="00A41C6F" w:rsidRDefault="00A41C6F" w:rsidP="003D4032">
      <w:pPr>
        <w:keepNext/>
        <w:spacing w:after="0"/>
      </w:pPr>
      <w:r>
        <w:rPr>
          <w:noProof/>
        </w:rPr>
        <w:drawing>
          <wp:inline distT="0" distB="0" distL="0" distR="0" wp14:anchorId="6ED451F1" wp14:editId="598B9562">
            <wp:extent cx="5760720" cy="3020695"/>
            <wp:effectExtent l="152400" t="152400" r="354330" b="3702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020695"/>
                    </a:xfrm>
                    <a:prstGeom prst="rect">
                      <a:avLst/>
                    </a:prstGeom>
                    <a:ln>
                      <a:noFill/>
                    </a:ln>
                    <a:effectLst>
                      <a:outerShdw blurRad="292100" dist="139700" dir="2700000" algn="tl" rotWithShape="0">
                        <a:srgbClr val="333333">
                          <a:alpha val="65000"/>
                        </a:srgbClr>
                      </a:outerShdw>
                    </a:effectLst>
                  </pic:spPr>
                </pic:pic>
              </a:graphicData>
            </a:graphic>
          </wp:inline>
        </w:drawing>
      </w:r>
    </w:p>
    <w:p w14:paraId="3B248549" w14:textId="3C269787" w:rsidR="00A41C6F" w:rsidRDefault="00A41C6F" w:rsidP="003D4032">
      <w:pPr>
        <w:pStyle w:val="Lgende"/>
        <w:jc w:val="center"/>
      </w:pPr>
      <w:r>
        <w:t xml:space="preserve">Figure </w:t>
      </w:r>
      <w:r w:rsidR="00423160">
        <w:fldChar w:fldCharType="begin"/>
      </w:r>
      <w:r w:rsidR="00423160">
        <w:instrText xml:space="preserve"> SEQ Figure \* ARABIC </w:instrText>
      </w:r>
      <w:r w:rsidR="00423160">
        <w:fldChar w:fldCharType="separate"/>
      </w:r>
      <w:r w:rsidR="00D2767C">
        <w:rPr>
          <w:noProof/>
        </w:rPr>
        <w:t>4</w:t>
      </w:r>
      <w:r w:rsidR="00423160">
        <w:rPr>
          <w:noProof/>
        </w:rPr>
        <w:fldChar w:fldCharType="end"/>
      </w:r>
      <w:r>
        <w:t xml:space="preserve"> : Saisonnalité des arrêts de travail entre 2018 et 2021</w:t>
      </w:r>
    </w:p>
    <w:p w14:paraId="6A485DAE" w14:textId="078648A4" w:rsidR="00A41C6F" w:rsidRDefault="00A41C6F" w:rsidP="003D4032">
      <w:pPr>
        <w:spacing w:after="0"/>
      </w:pPr>
      <w:r>
        <w:t xml:space="preserve">Ce graphique est très intéressant car il nous permet de constater </w:t>
      </w:r>
      <w:r w:rsidR="003D4032">
        <w:t>une réelle saisonnalité</w:t>
      </w:r>
      <w:r>
        <w:t xml:space="preserve"> </w:t>
      </w:r>
      <w:r w:rsidR="003D4032">
        <w:t>du nombre d’arrêts par année si l’on omet l’année 2020 et son caractère exceptionnel, nous nous intéress</w:t>
      </w:r>
      <w:r w:rsidR="006E5444">
        <w:t>er</w:t>
      </w:r>
      <w:r w:rsidR="003D4032">
        <w:t>ons à cette année dans la suite mais dans un premier temps, nous allons considérer un nouveau graphique sans cette année :</w:t>
      </w:r>
    </w:p>
    <w:p w14:paraId="025655AB" w14:textId="77777777" w:rsidR="003D4032" w:rsidRDefault="003D4032" w:rsidP="003D4032">
      <w:pPr>
        <w:keepNext/>
        <w:spacing w:after="0"/>
      </w:pPr>
      <w:r>
        <w:rPr>
          <w:noProof/>
        </w:rPr>
        <w:lastRenderedPageBreak/>
        <w:drawing>
          <wp:inline distT="0" distB="0" distL="0" distR="0" wp14:anchorId="5AF33AE5" wp14:editId="4BABCCC4">
            <wp:extent cx="5760720" cy="3020695"/>
            <wp:effectExtent l="152400" t="152400" r="354330" b="3702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20695"/>
                    </a:xfrm>
                    <a:prstGeom prst="rect">
                      <a:avLst/>
                    </a:prstGeom>
                    <a:ln>
                      <a:noFill/>
                    </a:ln>
                    <a:effectLst>
                      <a:outerShdw blurRad="292100" dist="139700" dir="2700000" algn="tl" rotWithShape="0">
                        <a:srgbClr val="333333">
                          <a:alpha val="65000"/>
                        </a:srgbClr>
                      </a:outerShdw>
                    </a:effectLst>
                  </pic:spPr>
                </pic:pic>
              </a:graphicData>
            </a:graphic>
          </wp:inline>
        </w:drawing>
      </w:r>
    </w:p>
    <w:p w14:paraId="3861D583" w14:textId="7799927A" w:rsidR="003D4032" w:rsidRDefault="003D4032" w:rsidP="003D4032">
      <w:pPr>
        <w:pStyle w:val="Lgende"/>
        <w:jc w:val="center"/>
      </w:pPr>
      <w:r>
        <w:t xml:space="preserve">Figure </w:t>
      </w:r>
      <w:r w:rsidR="00423160">
        <w:fldChar w:fldCharType="begin"/>
      </w:r>
      <w:r w:rsidR="00423160">
        <w:instrText xml:space="preserve"> SEQ Figure \* ARABIC </w:instrText>
      </w:r>
      <w:r w:rsidR="00423160">
        <w:fldChar w:fldCharType="separate"/>
      </w:r>
      <w:r w:rsidR="00D2767C">
        <w:rPr>
          <w:noProof/>
        </w:rPr>
        <w:t>5</w:t>
      </w:r>
      <w:r w:rsidR="00423160">
        <w:rPr>
          <w:noProof/>
        </w:rPr>
        <w:fldChar w:fldCharType="end"/>
      </w:r>
      <w:r>
        <w:t xml:space="preserve"> : </w:t>
      </w:r>
      <w:r w:rsidRPr="00A12E2E">
        <w:t xml:space="preserve">Saisonnalité des arrêts de travail </w:t>
      </w:r>
      <w:r>
        <w:t>sur</w:t>
      </w:r>
      <w:r w:rsidRPr="00A12E2E">
        <w:t xml:space="preserve"> 2018</w:t>
      </w:r>
      <w:r>
        <w:t xml:space="preserve">, 2019 et </w:t>
      </w:r>
      <w:r w:rsidRPr="00A12E2E">
        <w:t>2021</w:t>
      </w:r>
    </w:p>
    <w:p w14:paraId="32712C20" w14:textId="09C6E2EB" w:rsidR="003D4032" w:rsidRDefault="003D4032" w:rsidP="003D4032">
      <w:r>
        <w:t xml:space="preserve">On remarque une baisse significative </w:t>
      </w:r>
      <w:r w:rsidR="00F13C33">
        <w:t xml:space="preserve">du nombre d’arrêts entre la </w:t>
      </w:r>
      <w:r w:rsidR="008C35AC">
        <w:t>période</w:t>
      </w:r>
      <w:r w:rsidR="00F13C33">
        <w:t xml:space="preserve"> automne-hiver et la période printemps-été, cette baisse est bien évidemment dû en partie à la présence accrue des maladies ordinaires </w:t>
      </w:r>
      <w:proofErr w:type="gramStart"/>
      <w:r w:rsidR="00F13C33">
        <w:t>comme par exemple</w:t>
      </w:r>
      <w:proofErr w:type="gramEnd"/>
      <w:r w:rsidR="00F13C33">
        <w:t xml:space="preserve"> le </w:t>
      </w:r>
      <w:proofErr w:type="spellStart"/>
      <w:r w:rsidR="00F13C33">
        <w:t>rhûme</w:t>
      </w:r>
      <w:proofErr w:type="spellEnd"/>
      <w:r w:rsidR="00F13C33">
        <w:t xml:space="preserve"> ou la grippe en hiver en sachant notamment que les maladies ordinaires représentent une partie importante du nombre d’arrêts maladie déclarés chaque année, </w:t>
      </w:r>
      <w:r w:rsidR="008C35AC">
        <w:t>46% des arrêts maladie selon l’étude effectuée par REHALTO. Pour bien se rendre compte de cette différence, considérons le graphique suivant qui présente le nombre d’arrêts de travail par saison :</w:t>
      </w:r>
    </w:p>
    <w:p w14:paraId="57F4188C" w14:textId="77777777" w:rsidR="008C35AC" w:rsidRDefault="008C35AC" w:rsidP="001969F9">
      <w:pPr>
        <w:keepNext/>
        <w:spacing w:after="0"/>
      </w:pPr>
      <w:r>
        <w:rPr>
          <w:noProof/>
        </w:rPr>
        <w:drawing>
          <wp:inline distT="0" distB="0" distL="0" distR="0" wp14:anchorId="54A5DED1" wp14:editId="75C1E083">
            <wp:extent cx="5760720" cy="3020695"/>
            <wp:effectExtent l="152400" t="152400" r="354330" b="3702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20695"/>
                    </a:xfrm>
                    <a:prstGeom prst="rect">
                      <a:avLst/>
                    </a:prstGeom>
                    <a:ln>
                      <a:noFill/>
                    </a:ln>
                    <a:effectLst>
                      <a:outerShdw blurRad="292100" dist="139700" dir="2700000" algn="tl" rotWithShape="0">
                        <a:srgbClr val="333333">
                          <a:alpha val="65000"/>
                        </a:srgbClr>
                      </a:outerShdw>
                    </a:effectLst>
                  </pic:spPr>
                </pic:pic>
              </a:graphicData>
            </a:graphic>
          </wp:inline>
        </w:drawing>
      </w:r>
    </w:p>
    <w:p w14:paraId="2DFC048C" w14:textId="30E9B108" w:rsidR="008C35AC" w:rsidRDefault="008C35AC" w:rsidP="008C35AC">
      <w:pPr>
        <w:pStyle w:val="Lgende"/>
        <w:jc w:val="center"/>
      </w:pPr>
      <w:r>
        <w:t xml:space="preserve">Figure </w:t>
      </w:r>
      <w:r w:rsidR="00423160">
        <w:fldChar w:fldCharType="begin"/>
      </w:r>
      <w:r w:rsidR="00423160">
        <w:instrText xml:space="preserve"> SEQ Figure \* ARABIC </w:instrText>
      </w:r>
      <w:r w:rsidR="00423160">
        <w:fldChar w:fldCharType="separate"/>
      </w:r>
      <w:r w:rsidR="00D2767C">
        <w:rPr>
          <w:noProof/>
        </w:rPr>
        <w:t>6</w:t>
      </w:r>
      <w:r w:rsidR="00423160">
        <w:rPr>
          <w:noProof/>
        </w:rPr>
        <w:fldChar w:fldCharType="end"/>
      </w:r>
      <w:r>
        <w:t xml:space="preserve"> :  Nombre d'arrêts de travail par saison</w:t>
      </w:r>
    </w:p>
    <w:p w14:paraId="33756D5E" w14:textId="14BC07A0" w:rsidR="008C35AC" w:rsidRDefault="008C35AC" w:rsidP="008C35AC">
      <w:r>
        <w:lastRenderedPageBreak/>
        <w:t>Sur 201</w:t>
      </w:r>
      <w:r w:rsidR="001969F9">
        <w:t>8</w:t>
      </w:r>
      <w:r>
        <w:t xml:space="preserve">, nous </w:t>
      </w:r>
      <w:r w:rsidR="001969F9">
        <w:t>observons</w:t>
      </w:r>
      <w:r>
        <w:t xml:space="preserve"> une hausse de 34,7% du nombre d’arrêts entre </w:t>
      </w:r>
      <w:r w:rsidR="001969F9">
        <w:t>l’été (=9196) et l’hiver (=12387), une légère baisse de 7,2% entre printemps et été et une hausse 9% entre été et l’automne.</w:t>
      </w:r>
    </w:p>
    <w:p w14:paraId="0C7D51B5" w14:textId="32D82F8E" w:rsidR="001969F9" w:rsidRDefault="001969F9" w:rsidP="001969F9">
      <w:pPr>
        <w:spacing w:after="120"/>
      </w:pPr>
      <w:r>
        <w:t>Intéressons-nous à présent à l’année 2020 et à l’effet COVID que l’on observe bien sur nos données.</w:t>
      </w:r>
    </w:p>
    <w:p w14:paraId="4566DCC5" w14:textId="5B4427AE" w:rsidR="001969F9" w:rsidRDefault="001969F9" w:rsidP="001969F9">
      <w:pPr>
        <w:pStyle w:val="Titre3"/>
        <w:spacing w:before="240"/>
      </w:pPr>
      <w:bookmarkStart w:id="42" w:name="_Toc112955514"/>
      <w:r>
        <w:t>Effet COVID sur l’année 2020</w:t>
      </w:r>
      <w:bookmarkEnd w:id="42"/>
    </w:p>
    <w:p w14:paraId="60B3272F" w14:textId="6F1372C7" w:rsidR="00350A0A" w:rsidRPr="00350A0A" w:rsidRDefault="00350A0A" w:rsidP="00350A0A">
      <w:r>
        <w:t>Nous reconsidérons à présent le graphique d’évolution du nombre d’arrêts de travail par année de survenance depuis 2018 et sans omettre d’année :</w:t>
      </w:r>
    </w:p>
    <w:p w14:paraId="4B44E232" w14:textId="77777777" w:rsidR="00A41C6F" w:rsidRDefault="00A41C6F" w:rsidP="001969F9">
      <w:pPr>
        <w:pStyle w:val="Sansinterligne"/>
        <w:keepNext/>
        <w:spacing w:before="240"/>
        <w:jc w:val="center"/>
      </w:pPr>
      <w:r>
        <w:rPr>
          <w:noProof/>
        </w:rPr>
        <w:drawing>
          <wp:inline distT="0" distB="0" distL="0" distR="0" wp14:anchorId="441C5790" wp14:editId="145442CC">
            <wp:extent cx="5925053" cy="1995311"/>
            <wp:effectExtent l="152400" t="152400" r="381000" b="36703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3267" cy="1998077"/>
                    </a:xfrm>
                    <a:prstGeom prst="rect">
                      <a:avLst/>
                    </a:prstGeom>
                    <a:ln>
                      <a:noFill/>
                    </a:ln>
                    <a:effectLst>
                      <a:outerShdw blurRad="292100" dist="139700" dir="2700000" algn="tl" rotWithShape="0">
                        <a:srgbClr val="333333">
                          <a:alpha val="65000"/>
                        </a:srgbClr>
                      </a:outerShdw>
                    </a:effectLst>
                  </pic:spPr>
                </pic:pic>
              </a:graphicData>
            </a:graphic>
          </wp:inline>
        </w:drawing>
      </w:r>
    </w:p>
    <w:p w14:paraId="57F182D3" w14:textId="77ABF5EF" w:rsidR="001969F9" w:rsidRDefault="00A41C6F" w:rsidP="001969F9">
      <w:pPr>
        <w:pStyle w:val="Lgende"/>
        <w:jc w:val="center"/>
      </w:pPr>
      <w:r>
        <w:t xml:space="preserve">Figure </w:t>
      </w:r>
      <w:r w:rsidR="00423160">
        <w:fldChar w:fldCharType="begin"/>
      </w:r>
      <w:r w:rsidR="00423160">
        <w:instrText xml:space="preserve"> SEQ Figure \* ARABIC </w:instrText>
      </w:r>
      <w:r w:rsidR="00423160">
        <w:fldChar w:fldCharType="separate"/>
      </w:r>
      <w:r w:rsidR="00D2767C">
        <w:rPr>
          <w:noProof/>
        </w:rPr>
        <w:t>7</w:t>
      </w:r>
      <w:r w:rsidR="00423160">
        <w:rPr>
          <w:noProof/>
        </w:rPr>
        <w:fldChar w:fldCharType="end"/>
      </w:r>
      <w:r>
        <w:t xml:space="preserve"> : Mise en valeur d'un « effet COVID » en comparaison avec la courbe d'évolution </w:t>
      </w:r>
      <w:r w:rsidR="003D4032">
        <w:t>des hospitalisations</w:t>
      </w:r>
      <w:r>
        <w:t xml:space="preserve"> sur 2020</w:t>
      </w:r>
    </w:p>
    <w:p w14:paraId="50CE334D" w14:textId="77777777" w:rsidR="00621C55" w:rsidRDefault="00421FAA" w:rsidP="001969F9">
      <w:pPr>
        <w:pStyle w:val="Sansinterligne"/>
      </w:pPr>
      <w:r>
        <w:t xml:space="preserve">Nous observons un énorme bond du nombre d’arrêts intervenus en mars 2020, date de la première grosse vague d’infection de COVID-19 en France et du premier confinement. Puis avec le confinement et les mesures gouvernementales, nous observons un nombre d’arrêts inférieur à la moyenne sur la période avril-juin, ce qui correspond à la période du premier confinement. Ensuite, nous observons </w:t>
      </w:r>
      <w:r w:rsidR="009177F2">
        <w:t xml:space="preserve">une hausse significative du nombre d’arrêts sur la période septembre-novembre, ce qui semble correspondre avec la seconde grosse vague d’infection intervenue en 2020 et qui s’explique aussi par les mesures prises par le gouvernement pour simplifier la mise en arrêt de travail à la suite d’une infection au COVID.  </w:t>
      </w:r>
    </w:p>
    <w:p w14:paraId="4BABC638" w14:textId="77777777" w:rsidR="00621C55" w:rsidRDefault="00621C55" w:rsidP="001969F9">
      <w:pPr>
        <w:pStyle w:val="Sansinterligne"/>
      </w:pPr>
    </w:p>
    <w:p w14:paraId="71D24495" w14:textId="164DE2E1" w:rsidR="00621C55" w:rsidRDefault="00621C55" w:rsidP="00621C55">
      <w:pPr>
        <w:pStyle w:val="Titre3"/>
        <w:spacing w:before="240"/>
      </w:pPr>
      <w:bookmarkStart w:id="43" w:name="_Toc112955515"/>
      <w:r>
        <w:t>Evolution des types d’arrêts par année de survenance</w:t>
      </w:r>
      <w:bookmarkEnd w:id="43"/>
    </w:p>
    <w:p w14:paraId="7FFC9ED7" w14:textId="31508B8C" w:rsidR="00621C55" w:rsidRDefault="00621C55" w:rsidP="00621C55">
      <w:pPr>
        <w:pStyle w:val="Sansinterligne"/>
        <w:spacing w:before="240"/>
      </w:pPr>
      <w:r>
        <w:t>Nous allons à présent distinguer les différents types d’arrêts :</w:t>
      </w:r>
    </w:p>
    <w:p w14:paraId="7A063593" w14:textId="1D99654B" w:rsidR="00621C55" w:rsidRDefault="00621C55" w:rsidP="00621C55">
      <w:pPr>
        <w:pStyle w:val="Sansinterligne"/>
        <w:numPr>
          <w:ilvl w:val="0"/>
          <w:numId w:val="43"/>
        </w:numPr>
      </w:pPr>
      <w:r>
        <w:t xml:space="preserve">Arrêt court : arrêt inférieur à 10 jours </w:t>
      </w:r>
    </w:p>
    <w:p w14:paraId="2B6C5D84" w14:textId="1C001F18" w:rsidR="00621C55" w:rsidRDefault="00621C55" w:rsidP="00621C55">
      <w:pPr>
        <w:pStyle w:val="Sansinterligne"/>
        <w:numPr>
          <w:ilvl w:val="0"/>
          <w:numId w:val="43"/>
        </w:numPr>
      </w:pPr>
      <w:r>
        <w:t>Arrêt moyen : arrêt durant entre 10 et 90 jours</w:t>
      </w:r>
    </w:p>
    <w:p w14:paraId="65EFA407" w14:textId="4ADE4580" w:rsidR="00621C55" w:rsidRDefault="00621C55" w:rsidP="00621C55">
      <w:pPr>
        <w:pStyle w:val="Sansinterligne"/>
        <w:numPr>
          <w:ilvl w:val="0"/>
          <w:numId w:val="43"/>
        </w:numPr>
      </w:pPr>
      <w:r>
        <w:t>Arrêt long : arrêts d’une durée supérieure à 90 jours</w:t>
      </w:r>
    </w:p>
    <w:p w14:paraId="576C9927" w14:textId="72BE1E78" w:rsidR="00621C55" w:rsidRDefault="00621C55" w:rsidP="001811D2">
      <w:pPr>
        <w:pStyle w:val="Sansinterligne"/>
        <w:spacing w:before="100" w:beforeAutospacing="1"/>
      </w:pPr>
      <w:r>
        <w:t xml:space="preserve">Il semble très intéressant d’étudier l’évolution du type d’arrêt des salariés notamment pendant l’année 2020, mais aussi pour vérifier certaines tendances que nous pouvons lire dans la littérature </w:t>
      </w:r>
      <w:proofErr w:type="gramStart"/>
      <w:r>
        <w:t>comme par exemple</w:t>
      </w:r>
      <w:proofErr w:type="gramEnd"/>
      <w:r>
        <w:t xml:space="preserve"> le fait que les jeunes ont de plus en plus tendance à faire des arrêts court.</w:t>
      </w:r>
    </w:p>
    <w:p w14:paraId="6DC9FAA9" w14:textId="77777777" w:rsidR="00230D49" w:rsidRDefault="00230D49" w:rsidP="001969F9">
      <w:pPr>
        <w:pStyle w:val="Sansinterligne"/>
      </w:pPr>
    </w:p>
    <w:p w14:paraId="36039151" w14:textId="77777777" w:rsidR="00E26834" w:rsidRDefault="00E26834" w:rsidP="00E26834">
      <w:pPr>
        <w:pStyle w:val="Sansinterligne"/>
        <w:keepNext/>
      </w:pPr>
      <w:r>
        <w:rPr>
          <w:noProof/>
        </w:rPr>
        <w:lastRenderedPageBreak/>
        <w:drawing>
          <wp:inline distT="0" distB="0" distL="0" distR="0" wp14:anchorId="262E6C50" wp14:editId="35025A70">
            <wp:extent cx="5760720" cy="3020695"/>
            <wp:effectExtent l="152400" t="152400" r="354330" b="3702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20695"/>
                    </a:xfrm>
                    <a:prstGeom prst="rect">
                      <a:avLst/>
                    </a:prstGeom>
                    <a:ln>
                      <a:noFill/>
                    </a:ln>
                    <a:effectLst>
                      <a:outerShdw blurRad="292100" dist="139700" dir="2700000" algn="tl" rotWithShape="0">
                        <a:srgbClr val="333333">
                          <a:alpha val="65000"/>
                        </a:srgbClr>
                      </a:outerShdw>
                    </a:effectLst>
                  </pic:spPr>
                </pic:pic>
              </a:graphicData>
            </a:graphic>
          </wp:inline>
        </w:drawing>
      </w:r>
    </w:p>
    <w:p w14:paraId="41EA9DAE" w14:textId="6F842C16" w:rsidR="00E26834" w:rsidRDefault="00E26834" w:rsidP="00E26834">
      <w:pPr>
        <w:pStyle w:val="Lgende"/>
        <w:jc w:val="center"/>
      </w:pPr>
      <w:r>
        <w:t xml:space="preserve">Figure </w:t>
      </w:r>
      <w:r w:rsidR="00423160">
        <w:fldChar w:fldCharType="begin"/>
      </w:r>
      <w:r w:rsidR="00423160">
        <w:instrText xml:space="preserve"> SEQ Figure \* ARABIC </w:instrText>
      </w:r>
      <w:r w:rsidR="00423160">
        <w:fldChar w:fldCharType="separate"/>
      </w:r>
      <w:r w:rsidR="00D2767C">
        <w:rPr>
          <w:noProof/>
        </w:rPr>
        <w:t>8</w:t>
      </w:r>
      <w:r w:rsidR="00423160">
        <w:rPr>
          <w:noProof/>
        </w:rPr>
        <w:fldChar w:fldCharType="end"/>
      </w:r>
      <w:r>
        <w:t xml:space="preserve"> : Evolution du nombre d'arrêt par type</w:t>
      </w:r>
    </w:p>
    <w:p w14:paraId="517FF06E" w14:textId="2E2BC06D" w:rsidR="003E5258" w:rsidRDefault="0007518C" w:rsidP="008706F7">
      <w:pPr>
        <w:pStyle w:val="Sansinterligne"/>
      </w:pPr>
      <w:r>
        <w:t>Nous observons ici une hausse significative du nombre d’arrêts moyen sur 2020, cette hausse est encore une fois sûrement dû aux dispositifs d’indemnisations des salariés lors des interruptions de travails à la suite d’un test positif au COVID-19, dans ces cas il était très fréquent que la période d’arrêt dépassai</w:t>
      </w:r>
      <w:bookmarkEnd w:id="38"/>
      <w:r w:rsidR="008706F7">
        <w:t xml:space="preserve">t 10 jours </w:t>
      </w:r>
      <w:r w:rsidR="002D74C7">
        <w:t>qui correspondait au</w:t>
      </w:r>
      <w:r w:rsidR="008706F7">
        <w:t xml:space="preserve"> temps </w:t>
      </w:r>
      <w:r w:rsidR="002D74C7">
        <w:t xml:space="preserve">moyen </w:t>
      </w:r>
      <w:r w:rsidR="008706F7">
        <w:t xml:space="preserve">d’atténuation des symptômes </w:t>
      </w:r>
      <w:r w:rsidR="002D74C7">
        <w:t>sauf pour les cas plus graves de COVID comme les COVID long</w:t>
      </w:r>
      <w:r w:rsidR="008706F7">
        <w:t>.</w:t>
      </w:r>
      <w:r w:rsidR="003A76E2">
        <w:t xml:space="preserve"> </w:t>
      </w:r>
    </w:p>
    <w:p w14:paraId="36CB018B" w14:textId="77777777" w:rsidR="004D3176" w:rsidRDefault="004D3176" w:rsidP="00260AC0"/>
    <w:p w14:paraId="5281EAB8" w14:textId="77777777" w:rsidR="003E5258" w:rsidRPr="00896CA2" w:rsidRDefault="003E5258" w:rsidP="00260AC0"/>
    <w:p w14:paraId="43054386" w14:textId="77777777" w:rsidR="00260AC0" w:rsidRDefault="00260AC0">
      <w:pPr>
        <w:jc w:val="left"/>
        <w:rPr>
          <w:rFonts w:asciiTheme="majorHAnsi" w:eastAsiaTheme="majorEastAsia" w:hAnsiTheme="majorHAnsi" w:cstheme="majorBidi"/>
          <w:spacing w:val="-10"/>
          <w:kern w:val="28"/>
          <w:sz w:val="56"/>
          <w:szCs w:val="56"/>
        </w:rPr>
      </w:pPr>
      <w:r>
        <w:br w:type="page"/>
      </w:r>
    </w:p>
    <w:p w14:paraId="78452A7C" w14:textId="77777777" w:rsidR="00260AC0" w:rsidRDefault="00260AC0" w:rsidP="00260AC0">
      <w:pPr>
        <w:pStyle w:val="Titre1"/>
      </w:pPr>
      <w:bookmarkStart w:id="44" w:name="_Toc112955516"/>
      <w:r>
        <w:lastRenderedPageBreak/>
        <w:t>Aspect théorique des modèles linéaires généralisés</w:t>
      </w:r>
      <w:bookmarkEnd w:id="44"/>
    </w:p>
    <w:p w14:paraId="107BDE25" w14:textId="77777777" w:rsidR="00260AC0" w:rsidRDefault="00260AC0" w:rsidP="00260AC0">
      <w:pPr>
        <w:rPr>
          <w:sz w:val="20"/>
          <w:szCs w:val="20"/>
        </w:rPr>
      </w:pPr>
    </w:p>
    <w:p w14:paraId="7B05F818" w14:textId="77777777" w:rsidR="00260AC0" w:rsidRDefault="00260AC0" w:rsidP="00260AC0">
      <w:pPr>
        <w:rPr>
          <w:sz w:val="20"/>
          <w:szCs w:val="20"/>
        </w:rPr>
      </w:pPr>
      <w:r>
        <w:rPr>
          <w:sz w:val="20"/>
          <w:szCs w:val="20"/>
        </w:rPr>
        <w:t xml:space="preserve">Les modèles linéaires généralisés ont été introduits par </w:t>
      </w:r>
      <w:proofErr w:type="spellStart"/>
      <w:r>
        <w:rPr>
          <w:sz w:val="20"/>
          <w:szCs w:val="20"/>
        </w:rPr>
        <w:t>Nelder</w:t>
      </w:r>
      <w:proofErr w:type="spellEnd"/>
      <w:r>
        <w:rPr>
          <w:sz w:val="20"/>
          <w:szCs w:val="20"/>
        </w:rPr>
        <w:t xml:space="preserve"> et </w:t>
      </w:r>
      <w:proofErr w:type="spellStart"/>
      <w:r>
        <w:rPr>
          <w:sz w:val="20"/>
          <w:szCs w:val="20"/>
        </w:rPr>
        <w:t>Wedderburn</w:t>
      </w:r>
      <w:proofErr w:type="spellEnd"/>
      <w:r>
        <w:rPr>
          <w:sz w:val="20"/>
          <w:szCs w:val="20"/>
        </w:rPr>
        <w:t xml:space="preserve"> en 1972, ils constituent la base de référence pour modéliser l’effet des variables de segmentation sur un tarif en assurance. Ces modèles sont adaptés à de nombreuses problématiques courante dans le domaine de la statistique et de l’actuariat.</w:t>
      </w:r>
    </w:p>
    <w:p w14:paraId="2F0BBBF0" w14:textId="77777777" w:rsidR="00260AC0" w:rsidRDefault="00260AC0" w:rsidP="00260AC0"/>
    <w:p w14:paraId="7035AC8B" w14:textId="77777777" w:rsidR="00260AC0" w:rsidRDefault="00260AC0" w:rsidP="00260AC0">
      <w:pPr>
        <w:pStyle w:val="Titre2"/>
      </w:pPr>
      <w:bookmarkStart w:id="45" w:name="_Toc112955517"/>
      <w:r>
        <w:t>Intérêt des modèles linéaires généralisés</w:t>
      </w:r>
      <w:bookmarkEnd w:id="45"/>
    </w:p>
    <w:p w14:paraId="56293FD7" w14:textId="77777777" w:rsidR="00260AC0" w:rsidRDefault="00260AC0" w:rsidP="00260AC0">
      <w:pPr>
        <w:pStyle w:val="Sansinterligne"/>
      </w:pPr>
      <w:r w:rsidRPr="00B40245">
        <w:t xml:space="preserve">Les </w:t>
      </w:r>
      <w:r>
        <w:t>modèles linéaires généralisés</w:t>
      </w:r>
      <w:r w:rsidRPr="00B40245">
        <w:t xml:space="preserve"> sont des modèles régulièrement utilisés en assurance </w:t>
      </w:r>
      <w:r>
        <w:t xml:space="preserve">que ce soit en assurance santé (remboursements soins, frais d’hospitalisation), en assurance auto (dommage matériel, vol, …), en assurance MRH (incendie, vol, dégâts des eaux, …). </w:t>
      </w:r>
    </w:p>
    <w:p w14:paraId="0782F1F3" w14:textId="77777777" w:rsidR="00260AC0" w:rsidRDefault="00260AC0" w:rsidP="00260AC0">
      <w:pPr>
        <w:pStyle w:val="Sansinterligne"/>
      </w:pPr>
    </w:p>
    <w:p w14:paraId="4588BEC2" w14:textId="77777777" w:rsidR="00260AC0" w:rsidRDefault="00260AC0" w:rsidP="00260AC0">
      <w:pPr>
        <w:pStyle w:val="Sansinterligne"/>
      </w:pPr>
      <w:r>
        <w:t>Les GLM permettent de :</w:t>
      </w:r>
    </w:p>
    <w:p w14:paraId="2A0AFD42" w14:textId="77777777" w:rsidR="00260AC0" w:rsidRDefault="00260AC0" w:rsidP="00154541">
      <w:pPr>
        <w:pStyle w:val="Sansinterligne"/>
        <w:numPr>
          <w:ilvl w:val="0"/>
          <w:numId w:val="24"/>
        </w:numPr>
        <w:jc w:val="both"/>
      </w:pPr>
      <w:r>
        <w:t xml:space="preserve">Modéliser des réponses diverses </w:t>
      </w:r>
    </w:p>
    <w:p w14:paraId="02A28C38" w14:textId="77777777" w:rsidR="00260AC0" w:rsidRDefault="00260AC0" w:rsidP="00154541">
      <w:pPr>
        <w:pStyle w:val="Sansinterligne"/>
        <w:numPr>
          <w:ilvl w:val="0"/>
          <w:numId w:val="24"/>
        </w:numPr>
        <w:jc w:val="both"/>
      </w:pPr>
      <w:r>
        <w:t>Intégrer toute type d’information exogène susceptible d’influer sur la variable dépendante (réponse Y)</w:t>
      </w:r>
    </w:p>
    <w:p w14:paraId="30E9FF82" w14:textId="77777777" w:rsidR="00260AC0" w:rsidRDefault="00260AC0" w:rsidP="00154541">
      <w:pPr>
        <w:pStyle w:val="Sansinterligne"/>
        <w:numPr>
          <w:ilvl w:val="0"/>
          <w:numId w:val="24"/>
        </w:numPr>
        <w:jc w:val="both"/>
      </w:pPr>
      <w:r>
        <w:t>Quantifier l’impact des facteurs de risque X (sens/intensité)</w:t>
      </w:r>
    </w:p>
    <w:p w14:paraId="1BFBFCCA" w14:textId="77777777" w:rsidR="00260AC0" w:rsidRDefault="00260AC0" w:rsidP="00154541">
      <w:pPr>
        <w:pStyle w:val="Sansinterligne"/>
        <w:numPr>
          <w:ilvl w:val="0"/>
          <w:numId w:val="24"/>
        </w:numPr>
        <w:jc w:val="both"/>
      </w:pPr>
      <w:r>
        <w:t>Résidus hétéroscédastiques (la loi varie par profil)</w:t>
      </w:r>
    </w:p>
    <w:p w14:paraId="2D1DA4B4" w14:textId="77777777" w:rsidR="00260AC0" w:rsidRDefault="00260AC0" w:rsidP="00260AC0">
      <w:pPr>
        <w:pStyle w:val="Sansinterligne"/>
      </w:pPr>
    </w:p>
    <w:p w14:paraId="654466A1" w14:textId="77777777" w:rsidR="00260AC0" w:rsidRDefault="00260AC0" w:rsidP="00260AC0">
      <w:pPr>
        <w:pStyle w:val="Sansinterligne"/>
      </w:pPr>
      <w:r>
        <w:t xml:space="preserve">Cependant, leur mise en place nécessite d’introduire deux hypothèses fondamentales : </w:t>
      </w:r>
    </w:p>
    <w:p w14:paraId="0C221525" w14:textId="77777777" w:rsidR="00260AC0" w:rsidRDefault="00260AC0" w:rsidP="00154541">
      <w:pPr>
        <w:pStyle w:val="Sansinterligne"/>
        <w:numPr>
          <w:ilvl w:val="0"/>
          <w:numId w:val="25"/>
        </w:numPr>
        <w:jc w:val="both"/>
      </w:pPr>
      <w:r>
        <w:t xml:space="preserve">Les données que l’on cherche à expliquer sont indépendants entre elles  </w:t>
      </w:r>
    </w:p>
    <w:p w14:paraId="1291DA13" w14:textId="77777777" w:rsidR="00260AC0" w:rsidRDefault="00260AC0" w:rsidP="00154541">
      <w:pPr>
        <w:pStyle w:val="Sansinterligne"/>
        <w:numPr>
          <w:ilvl w:val="0"/>
          <w:numId w:val="25"/>
        </w:numPr>
        <w:jc w:val="both"/>
      </w:pPr>
      <w:r>
        <w:t>Les variables explicatives X sont indépendantes deux à deux</w:t>
      </w:r>
    </w:p>
    <w:p w14:paraId="0067D622" w14:textId="77777777" w:rsidR="00260AC0" w:rsidRDefault="00260AC0" w:rsidP="00260AC0">
      <w:pPr>
        <w:pStyle w:val="Sansinterligne"/>
      </w:pPr>
      <w:r>
        <w:t xml:space="preserve">Ces hypothèses sont très importantes notamment car l’un des intérêts des modèles linéaires généralisés en assurance est la tarification et donc le calcul d’une prime pure, calculée généralement de la façon suivante avec une approche fréquence-sinistre :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N|X</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e>
        </m:d>
        <m:r>
          <w:rPr>
            <w:rFonts w:ascii="Cambria Math" w:hAnsi="Cambria Math"/>
          </w:rPr>
          <m:t xml:space="preserve"> </m:t>
        </m:r>
      </m:oMath>
      <w:r>
        <w:rPr>
          <w:rFonts w:eastAsiaTheme="minorEastAsia"/>
        </w:rPr>
        <w:t xml:space="preserve"> </w:t>
      </w:r>
    </w:p>
    <w:p w14:paraId="2A8E97EA" w14:textId="77777777" w:rsidR="00260AC0" w:rsidRDefault="00260AC0">
      <w:pPr>
        <w:rPr>
          <w:rFonts w:asciiTheme="majorHAnsi" w:eastAsiaTheme="majorEastAsia" w:hAnsiTheme="majorHAnsi" w:cstheme="majorBidi"/>
          <w:color w:val="2F5496" w:themeColor="accent1" w:themeShade="BF"/>
          <w:sz w:val="26"/>
          <w:szCs w:val="26"/>
        </w:rPr>
      </w:pPr>
      <w:r>
        <w:br w:type="page"/>
      </w:r>
    </w:p>
    <w:p w14:paraId="3B66C360" w14:textId="77777777" w:rsidR="00260AC0" w:rsidRDefault="00260AC0" w:rsidP="00260AC0">
      <w:pPr>
        <w:pStyle w:val="Titre2"/>
      </w:pPr>
      <w:bookmarkStart w:id="46" w:name="_Toc112955518"/>
      <w:r>
        <w:lastRenderedPageBreak/>
        <w:t>Principe des GLM</w:t>
      </w:r>
      <w:bookmarkEnd w:id="46"/>
    </w:p>
    <w:p w14:paraId="70621A28" w14:textId="77777777" w:rsidR="00260AC0" w:rsidRDefault="00260AC0" w:rsidP="00260AC0">
      <w:pPr>
        <w:pStyle w:val="Sansinterligne"/>
      </w:pPr>
    </w:p>
    <w:p w14:paraId="7E925A07" w14:textId="77777777" w:rsidR="00260AC0" w:rsidRDefault="00260AC0" w:rsidP="00260AC0">
      <w:pPr>
        <w:pStyle w:val="Titre3"/>
        <w:spacing w:after="240"/>
      </w:pPr>
      <w:bookmarkStart w:id="47" w:name="_Toc112955519"/>
      <w:r>
        <w:t>Composant d’un GLM :</w:t>
      </w:r>
      <w:bookmarkEnd w:id="47"/>
    </w:p>
    <w:p w14:paraId="4F94B527" w14:textId="77777777" w:rsidR="00260AC0" w:rsidRDefault="00260AC0" w:rsidP="00260AC0">
      <w:pPr>
        <w:pStyle w:val="Sansinterligne"/>
      </w:pPr>
      <w:r>
        <w:t>Les différents composants d’un modèle linéaire généralisé sont :</w:t>
      </w:r>
    </w:p>
    <w:p w14:paraId="16F687B1" w14:textId="77777777" w:rsidR="00260AC0" w:rsidRDefault="00260AC0" w:rsidP="00154541">
      <w:pPr>
        <w:pStyle w:val="Sansinterligne"/>
        <w:numPr>
          <w:ilvl w:val="0"/>
          <w:numId w:val="26"/>
        </w:numPr>
        <w:jc w:val="both"/>
      </w:pPr>
      <w:r w:rsidRPr="007244EB">
        <w:rPr>
          <w:b/>
          <w:bCs/>
        </w:rPr>
        <w:t>La loi de la réponse aléatoire Y</w:t>
      </w:r>
      <w:r w:rsidRPr="007244EB">
        <w:rPr>
          <w:b/>
          <w:bCs/>
          <w:vertAlign w:val="subscript"/>
        </w:rPr>
        <w:t>i</w:t>
      </w:r>
      <w:r w:rsidRPr="007244EB">
        <w:rPr>
          <w:b/>
          <w:bCs/>
        </w:rPr>
        <w:t> :</w:t>
      </w:r>
      <w:r>
        <w:t xml:space="preserve"> par hypothèse la distribution de cette loi appartient à la famille exponentielle </w:t>
      </w:r>
    </w:p>
    <w:p w14:paraId="0AC041B5" w14:textId="77777777" w:rsidR="00260AC0" w:rsidRDefault="00260AC0" w:rsidP="00260AC0">
      <w:pPr>
        <w:pStyle w:val="Sansinterligne"/>
        <w:ind w:left="708"/>
      </w:pPr>
      <w:r w:rsidRPr="006B182C">
        <w:rPr>
          <w:u w:val="single"/>
        </w:rPr>
        <w:t>Rappel :</w:t>
      </w:r>
      <w:r w:rsidRPr="006B182C">
        <w:t xml:space="preserve"> </w:t>
      </w:r>
      <w:r>
        <w:t xml:space="preserve"> La densité de probabilité d’une loi appartenant à la famille exponentielle s’écrit de la façon suivante :</w:t>
      </w:r>
    </w:p>
    <w:p w14:paraId="0CA57D45" w14:textId="77777777" w:rsidR="00260AC0" w:rsidRPr="000D7F95" w:rsidRDefault="00260AC0" w:rsidP="00260AC0">
      <w:pPr>
        <w:ind w:left="360"/>
        <w:rPr>
          <w:rFonts w:eastAsiaTheme="minorEastAsia"/>
          <w:sz w:val="20"/>
          <w:szCs w:val="20"/>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sz w:val="20"/>
                  <w:szCs w:val="20"/>
                </w:rPr>
                <m:t>θ, ϕ</m:t>
              </m:r>
              <m:ctrlPr>
                <w:rPr>
                  <w:rFonts w:ascii="Cambria Math" w:hAnsi="Cambria Math"/>
                  <w:sz w:val="20"/>
                  <w:szCs w:val="20"/>
                </w:rPr>
              </m:ctrlPr>
            </m:e>
          </m:d>
          <m:r>
            <m:rPr>
              <m:sty m:val="p"/>
            </m:rPr>
            <w:rPr>
              <w:rFonts w:ascii="Cambria Math" w:hAnsi="Cambria Math"/>
              <w:sz w:val="20"/>
              <w:szCs w:val="20"/>
            </w:rPr>
            <m:t>=exp⁡(</m:t>
          </m:r>
          <m:f>
            <m:fPr>
              <m:ctrlPr>
                <w:rPr>
                  <w:rFonts w:ascii="Cambria Math" w:hAnsi="Cambria Math"/>
                  <w:sz w:val="20"/>
                  <w:szCs w:val="20"/>
                </w:rPr>
              </m:ctrlPr>
            </m:fPr>
            <m:num>
              <m:r>
                <w:rPr>
                  <w:rFonts w:ascii="Cambria Math" w:hAnsi="Cambria Math"/>
                  <w:sz w:val="20"/>
                  <w:szCs w:val="20"/>
                </w:rPr>
                <m:t>y</m:t>
              </m:r>
              <m:r>
                <m:rPr>
                  <m:sty m:val="p"/>
                </m:rPr>
                <w:rPr>
                  <w:rFonts w:ascii="Cambria Math" w:hAnsi="Cambria Math"/>
                  <w:sz w:val="20"/>
                  <w:szCs w:val="20"/>
                </w:rPr>
                <m:t>θ-b</m:t>
              </m:r>
              <m:d>
                <m:dPr>
                  <m:ctrlPr>
                    <w:rPr>
                      <w:rFonts w:ascii="Cambria Math" w:hAnsi="Cambria Math"/>
                      <w:sz w:val="20"/>
                      <w:szCs w:val="20"/>
                    </w:rPr>
                  </m:ctrlPr>
                </m:dPr>
                <m:e>
                  <m:r>
                    <m:rPr>
                      <m:sty m:val="p"/>
                    </m:rPr>
                    <w:rPr>
                      <w:rFonts w:ascii="Cambria Math" w:hAnsi="Cambria Math"/>
                      <w:sz w:val="20"/>
                      <w:szCs w:val="20"/>
                    </w:rPr>
                    <m:t>θ</m:t>
                  </m:r>
                </m:e>
              </m:d>
            </m:num>
            <m:den>
              <m:r>
                <m:rPr>
                  <m:sty m:val="p"/>
                </m:rPr>
                <w:rPr>
                  <w:rFonts w:ascii="Cambria Math" w:hAnsi="Cambria Math"/>
                  <w:sz w:val="20"/>
                  <w:szCs w:val="20"/>
                </w:rPr>
                <m:t>ϕ</m:t>
              </m:r>
            </m:den>
          </m:f>
          <m:r>
            <m:rPr>
              <m:sty m:val="p"/>
            </m:rPr>
            <w:rPr>
              <w:rFonts w:ascii="Cambria Math" w:hAnsi="Cambria Math"/>
              <w:sz w:val="20"/>
              <w:szCs w:val="20"/>
            </w:rPr>
            <m:t>+c</m:t>
          </m:r>
          <m:d>
            <m:dPr>
              <m:ctrlPr>
                <w:rPr>
                  <w:rFonts w:ascii="Cambria Math" w:hAnsi="Cambria Math"/>
                  <w:sz w:val="20"/>
                  <w:szCs w:val="20"/>
                </w:rPr>
              </m:ctrlPr>
            </m:dPr>
            <m:e>
              <m:r>
                <m:rPr>
                  <m:sty m:val="p"/>
                </m:rPr>
                <w:rPr>
                  <w:rFonts w:ascii="Cambria Math" w:hAnsi="Cambria Math"/>
                  <w:sz w:val="20"/>
                  <w:szCs w:val="20"/>
                </w:rPr>
                <m:t>y,ϕ</m:t>
              </m:r>
            </m:e>
          </m:d>
          <m:r>
            <w:rPr>
              <w:rFonts w:ascii="Cambria Math" w:eastAsiaTheme="minorEastAsia" w:hAnsi="Cambria Math"/>
              <w:sz w:val="20"/>
              <w:szCs w:val="20"/>
            </w:rPr>
            <m:t>)</m:t>
          </m:r>
        </m:oMath>
      </m:oMathPara>
    </w:p>
    <w:p w14:paraId="43C3829A" w14:textId="77777777" w:rsidR="00260AC0" w:rsidRDefault="00260AC0" w:rsidP="00260AC0">
      <w:pPr>
        <w:pStyle w:val="Sansinterligne"/>
        <w:ind w:left="1068"/>
      </w:pPr>
      <w:r w:rsidRPr="000D7F95">
        <w:t>Avec :</w:t>
      </w:r>
    </w:p>
    <w:p w14:paraId="3E76332D" w14:textId="77777777" w:rsidR="00260AC0" w:rsidRDefault="00260AC0" w:rsidP="00154541">
      <w:pPr>
        <w:pStyle w:val="Sansinterligne"/>
        <w:numPr>
          <w:ilvl w:val="0"/>
          <w:numId w:val="27"/>
        </w:numPr>
        <w:jc w:val="both"/>
      </w:pPr>
      <w:r>
        <w:t xml:space="preserve">Avec θ le paramètre naturel de la dispersion, </w:t>
      </w:r>
    </w:p>
    <w:p w14:paraId="57960808" w14:textId="77777777" w:rsidR="00260AC0" w:rsidRDefault="00260AC0" w:rsidP="00154541">
      <w:pPr>
        <w:pStyle w:val="Sansinterligne"/>
        <w:numPr>
          <w:ilvl w:val="0"/>
          <w:numId w:val="27"/>
        </w:numPr>
        <w:jc w:val="both"/>
      </w:pPr>
      <w:proofErr w:type="gramStart"/>
      <w:r>
        <w:t>φ</w:t>
      </w:r>
      <w:proofErr w:type="gramEnd"/>
      <w:r>
        <w:t xml:space="preserve"> le paramètre de dispersion, b une fonction définie sur </w:t>
      </w:r>
      <m:oMath>
        <m:r>
          <m:rPr>
            <m:scr m:val="double-struck"/>
          </m:rPr>
          <w:rPr>
            <w:rFonts w:ascii="Cambria Math" w:hAnsi="Cambria Math"/>
          </w:rPr>
          <m:t>R</m:t>
        </m:r>
      </m:oMath>
      <w:r>
        <w:t xml:space="preserve"> deux fois dérivable et de dérivée première injective, </w:t>
      </w:r>
    </w:p>
    <w:p w14:paraId="31BF0E12" w14:textId="77777777" w:rsidR="00260AC0" w:rsidRDefault="00260AC0" w:rsidP="00154541">
      <w:pPr>
        <w:pStyle w:val="Sansinterligne"/>
        <w:numPr>
          <w:ilvl w:val="0"/>
          <w:numId w:val="27"/>
        </w:numPr>
        <w:jc w:val="both"/>
      </w:pPr>
      <w:proofErr w:type="gramStart"/>
      <w:r>
        <w:t>c</w:t>
      </w:r>
      <w:proofErr w:type="gramEnd"/>
      <w:r>
        <w:t xml:space="preserve"> une fonction définie sur </w:t>
      </w:r>
      <m:oMath>
        <m:r>
          <m:rPr>
            <m:scr m:val="double-struck"/>
          </m:rPr>
          <w:rPr>
            <w:rFonts w:ascii="Cambria Math" w:hAnsi="Cambria Math"/>
          </w:rPr>
          <m:t>R²</m:t>
        </m:r>
      </m:oMath>
      <w:r>
        <w:t xml:space="preserve"> </w:t>
      </w:r>
    </w:p>
    <w:p w14:paraId="098BA95A" w14:textId="77777777" w:rsidR="00260AC0" w:rsidRDefault="00260AC0" w:rsidP="00260AC0">
      <w:pPr>
        <w:pStyle w:val="Sansinterligne"/>
        <w:ind w:left="708"/>
      </w:pPr>
    </w:p>
    <w:p w14:paraId="4DEC88E2" w14:textId="77777777" w:rsidR="00260AC0" w:rsidRDefault="00260AC0" w:rsidP="00260AC0">
      <w:pPr>
        <w:pStyle w:val="Sansinterligne"/>
        <w:ind w:left="708"/>
      </w:pPr>
      <w:r>
        <w:t>De plus on a en particulier avec les lois de cette famille :</w:t>
      </w:r>
    </w:p>
    <w:p w14:paraId="064C1FDF" w14:textId="77777777" w:rsidR="00260AC0" w:rsidRDefault="00260AC0" w:rsidP="00260AC0">
      <w:pPr>
        <w:pStyle w:val="Sansinterligne"/>
        <w:spacing w:before="240"/>
        <w:ind w:left="708"/>
        <w:jc w:val="center"/>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r>
              <m:rPr>
                <m:sty m:val="p"/>
              </m:rPr>
              <w:rPr>
                <w:rFonts w:ascii="Cambria Math" w:hAnsi="Cambria Math"/>
                <w:sz w:val="20"/>
                <w:szCs w:val="20"/>
              </w:rPr>
              <m:t>θ</m:t>
            </m:r>
            <m:ctrlPr>
              <w:rPr>
                <w:rFonts w:ascii="Cambria Math" w:hAnsi="Cambria Math"/>
                <w:sz w:val="20"/>
                <w:szCs w:val="20"/>
              </w:rPr>
            </m:ctrlPr>
          </m:e>
        </m:d>
      </m:oMath>
      <w:r>
        <w:rPr>
          <w:rFonts w:eastAsiaTheme="minorEastAsia"/>
          <w:sz w:val="20"/>
          <w:szCs w:val="20"/>
        </w:rPr>
        <w:t xml:space="preserve"> </w:t>
      </w:r>
      <w:proofErr w:type="gramStart"/>
      <w:r>
        <w:rPr>
          <w:rFonts w:eastAsiaTheme="minorEastAsia"/>
          <w:sz w:val="20"/>
          <w:szCs w:val="20"/>
        </w:rPr>
        <w:t>ainsi</w:t>
      </w:r>
      <w:proofErr w:type="gramEnd"/>
      <w:r>
        <w:rPr>
          <w:rFonts w:eastAsiaTheme="minorEastAsia"/>
          <w:sz w:val="20"/>
          <w:szCs w:val="20"/>
        </w:rPr>
        <w:t xml:space="preserve"> que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r>
              <m:rPr>
                <m:sty m:val="p"/>
              </m:rPr>
              <w:rPr>
                <w:rFonts w:ascii="Cambria Math" w:hAnsi="Cambria Math"/>
                <w:sz w:val="20"/>
                <w:szCs w:val="20"/>
              </w:rPr>
              <m:t>θ</m:t>
            </m:r>
            <m:ctrlPr>
              <w:rPr>
                <w:rFonts w:ascii="Cambria Math" w:hAnsi="Cambria Math"/>
                <w:sz w:val="20"/>
                <w:szCs w:val="20"/>
              </w:rPr>
            </m:ctrlPr>
          </m:e>
        </m:d>
        <m:r>
          <m:rPr>
            <m:sty m:val="p"/>
          </m:rPr>
          <w:rPr>
            <w:rFonts w:ascii="Cambria Math" w:hAnsi="Cambria Math"/>
            <w:sz w:val="20"/>
            <w:szCs w:val="20"/>
          </w:rPr>
          <m:t>ϕ</m:t>
        </m:r>
      </m:oMath>
    </w:p>
    <w:p w14:paraId="316F525A" w14:textId="77777777" w:rsidR="00260AC0" w:rsidRDefault="00260AC0" w:rsidP="00260AC0">
      <w:pPr>
        <w:pStyle w:val="Paragraphedeliste"/>
      </w:pPr>
    </w:p>
    <w:p w14:paraId="16B72435" w14:textId="77777777" w:rsidR="00260AC0" w:rsidRPr="00AA148E" w:rsidRDefault="00260AC0" w:rsidP="00154541">
      <w:pPr>
        <w:pStyle w:val="Sansinterligne"/>
        <w:numPr>
          <w:ilvl w:val="0"/>
          <w:numId w:val="26"/>
        </w:numPr>
        <w:jc w:val="both"/>
      </w:pPr>
      <w:r w:rsidRPr="007244EB">
        <w:rPr>
          <w:b/>
          <w:bCs/>
        </w:rPr>
        <w:t>Le prédicteur</w:t>
      </w:r>
      <w:r>
        <w:t xml:space="preserve"> noté </w:t>
      </w:r>
      <w:proofErr w:type="spellStart"/>
      <w:r>
        <w:rPr>
          <w:rFonts w:cstheme="minorHAnsi"/>
        </w:rPr>
        <w:t>η</w:t>
      </w:r>
      <w:r>
        <w:rPr>
          <w:vertAlign w:val="subscript"/>
        </w:rPr>
        <w:t>i</w:t>
      </w:r>
      <w:proofErr w:type="spellEnd"/>
      <w:r>
        <w:rPr>
          <w:vertAlign w:val="subscript"/>
        </w:rPr>
        <w:t xml:space="preserve"> </w:t>
      </w:r>
      <w:r>
        <w:t xml:space="preserve">et défini tel que </w:t>
      </w:r>
      <m:oMath>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vertAlign w:val="subscript"/>
              </w:rPr>
              <m:t>i</m:t>
            </m:r>
          </m:sub>
        </m:sSub>
        <m:r>
          <m:rPr>
            <m:sty m:val="p"/>
          </m:rPr>
          <w:rPr>
            <w:rFonts w:ascii="Cambria Math" w:hAnsi="Cambria Math"/>
            <w:vertAlign w:val="subscript"/>
          </w:rPr>
          <m:t>=</m:t>
        </m:r>
        <m:nary>
          <m:naryPr>
            <m:chr m:val="∑"/>
            <m:limLoc m:val="undOvr"/>
            <m:ctrlPr>
              <w:rPr>
                <w:rFonts w:ascii="Cambria Math" w:hAnsi="Cambria Math"/>
                <w:vertAlign w:val="subscript"/>
              </w:rPr>
            </m:ctrlPr>
          </m:naryPr>
          <m:sub>
            <m:r>
              <w:rPr>
                <w:rFonts w:ascii="Cambria Math" w:hAnsi="Cambria Math"/>
                <w:vertAlign w:val="subscript"/>
              </w:rPr>
              <m:t>j=1</m:t>
            </m:r>
          </m:sub>
          <m:sup>
            <m:r>
              <w:rPr>
                <w:rFonts w:ascii="Cambria Math" w:hAnsi="Cambria Math"/>
                <w:vertAlign w:val="subscript"/>
              </w:rPr>
              <m:t>J</m:t>
            </m:r>
          </m:sup>
          <m:e>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j</m:t>
                </m:r>
              </m:sub>
            </m:sSub>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ij</m:t>
                </m:r>
              </m:sub>
            </m:sSub>
          </m:e>
        </m:nary>
      </m:oMath>
      <w:r>
        <w:rPr>
          <w:rFonts w:eastAsiaTheme="minorEastAsia"/>
          <w:vertAlign w:val="subscript"/>
        </w:rPr>
        <w:t xml:space="preserve"> </w:t>
      </w:r>
      <w:r>
        <w:rPr>
          <w:rFonts w:eastAsiaTheme="minorEastAsia"/>
        </w:rPr>
        <w:t>est linéaire et déterministe : il est calculé via les facteurs de risques explicatifs</w:t>
      </w:r>
    </w:p>
    <w:p w14:paraId="0AF4D31C" w14:textId="77777777" w:rsidR="00260AC0" w:rsidRDefault="00260AC0" w:rsidP="00154541">
      <w:pPr>
        <w:pStyle w:val="Sansinterligne"/>
        <w:numPr>
          <w:ilvl w:val="0"/>
          <w:numId w:val="26"/>
        </w:numPr>
        <w:spacing w:after="240"/>
        <w:jc w:val="both"/>
      </w:pPr>
      <w:r>
        <w:rPr>
          <w:b/>
          <w:bCs/>
        </w:rPr>
        <w:t xml:space="preserve">La fonction de lien g : </w:t>
      </w:r>
      <w:r>
        <w:t>elle est par définition monotone, dérivable et inversible. Elle est définie et utilisée en pratique de la façon suivante :</w:t>
      </w:r>
    </w:p>
    <w:p w14:paraId="6D538215" w14:textId="77777777" w:rsidR="00260AC0" w:rsidRPr="00D20CD3" w:rsidRDefault="00260AC0" w:rsidP="00260AC0">
      <w:pPr>
        <w:pStyle w:val="Sansinterligne"/>
        <w:spacing w:after="240"/>
      </w:pPr>
      <m:oMathPara>
        <m:oMathParaPr>
          <m:jc m:val="center"/>
        </m:oMathParaPr>
        <m:oMath>
          <m:r>
            <w:rPr>
              <w:rFonts w:ascii="Cambria Math" w:hAnsi="Cambria Math"/>
            </w:rPr>
            <m:t>g</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ctrlPr>
                <w:rPr>
                  <w:rFonts w:ascii="Cambria Math" w:eastAsiaTheme="minorEastAsia" w:hAnsi="Cambria Math"/>
                  <w:i/>
                </w:rPr>
              </m:ctrlPr>
            </m:e>
          </m:d>
          <m:r>
            <w:rPr>
              <w:rFonts w:ascii="Cambria Math" w:eastAsiaTheme="minorEastAsia" w:hAnsi="Cambria Math"/>
            </w:rPr>
            <m:t xml:space="preserve">= </m:t>
          </m:r>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vertAlign w:val="subscript"/>
                </w:rPr>
                <m:t>i</m:t>
              </m:r>
            </m:sub>
          </m:sSub>
        </m:oMath>
      </m:oMathPara>
    </w:p>
    <w:p w14:paraId="37B24036" w14:textId="77777777" w:rsidR="00260AC0" w:rsidRDefault="00260AC0" w:rsidP="00260AC0">
      <w:r>
        <w:t>En pratique, il faut adapter la fonction de lien au domaine de définition de Y, voici un tableau qui présente les différentes fonction lien utilisées en pratique :</w:t>
      </w:r>
    </w:p>
    <w:p w14:paraId="4C5636B3" w14:textId="77777777" w:rsidR="00260AC0" w:rsidRDefault="00260AC0" w:rsidP="00260AC0">
      <w:pPr>
        <w:jc w:val="center"/>
      </w:pPr>
      <w:r>
        <w:rPr>
          <w:noProof/>
        </w:rPr>
        <w:drawing>
          <wp:inline distT="0" distB="0" distL="0" distR="0" wp14:anchorId="176B4E92" wp14:editId="0AB1F469">
            <wp:extent cx="4518837" cy="2531884"/>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4869" cy="2546470"/>
                    </a:xfrm>
                    <a:prstGeom prst="rect">
                      <a:avLst/>
                    </a:prstGeom>
                  </pic:spPr>
                </pic:pic>
              </a:graphicData>
            </a:graphic>
          </wp:inline>
        </w:drawing>
      </w:r>
    </w:p>
    <w:p w14:paraId="227D5E20" w14:textId="77777777" w:rsidR="00260AC0" w:rsidRDefault="00260AC0" w:rsidP="00260AC0">
      <w:pPr>
        <w:pStyle w:val="Sansinterligne"/>
      </w:pPr>
      <w:r>
        <w:t>La fonction de lien canonique est la fonction lien qui associe la moyenne µ au paramètre canonique θ. Elle est telle que :</w:t>
      </w:r>
    </w:p>
    <w:p w14:paraId="3E90B715" w14:textId="77777777" w:rsidR="00260AC0" w:rsidRPr="000E5D7F" w:rsidRDefault="00260AC0" w:rsidP="00260AC0">
      <w:pPr>
        <w:pStyle w:val="Sansinterligne"/>
        <w:rPr>
          <w:rFonts w:eastAsiaTheme="minorEastAsia"/>
        </w:rPr>
      </w:pPr>
      <m:oMathPara>
        <m:oMath>
          <m:r>
            <w:rPr>
              <w:rFonts w:ascii="Cambria Math" w:hAnsi="Cambria Math"/>
            </w:rPr>
            <m:t>g</m:t>
          </m:r>
          <m:d>
            <m:dPr>
              <m:ctrlPr>
                <w:rPr>
                  <w:rFonts w:ascii="Cambria Math" w:hAnsi="Cambria Math"/>
                  <w:i/>
                </w:rPr>
              </m:ctrlPr>
            </m:d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ctrlPr>
                <w:rPr>
                  <w:rFonts w:ascii="Cambria Math" w:eastAsiaTheme="minorEastAsia" w:hAnsi="Cambria Math"/>
                  <w:i/>
                </w:rPr>
              </m:ctrlPr>
            </m:e>
          </m:d>
          <m:r>
            <w:rPr>
              <w:rFonts w:ascii="Cambria Math" w:eastAsiaTheme="minorEastAsia" w:hAnsi="Cambria Math"/>
            </w:rPr>
            <m:t xml:space="preserve">= </m:t>
          </m:r>
          <m:sSub>
            <m:sSubPr>
              <m:ctrlPr>
                <w:rPr>
                  <w:rFonts w:ascii="Cambria Math" w:hAnsi="Cambria Math" w:cstheme="minorHAnsi"/>
                </w:rPr>
              </m:ctrlPr>
            </m:sSubPr>
            <m:e>
              <m:r>
                <m:rPr>
                  <m:sty m:val="p"/>
                </m:rPr>
                <w:rPr>
                  <w:rFonts w:ascii="Cambria Math" w:hAnsi="Cambria Math"/>
                </w:rPr>
                <m:t>θ</m:t>
              </m:r>
            </m:e>
            <m:sub>
              <m:r>
                <m:rPr>
                  <m:sty m:val="p"/>
                </m:rPr>
                <w:rPr>
                  <w:rFonts w:ascii="Cambria Math" w:hAnsi="Cambria Math"/>
                  <w:vertAlign w:val="subscript"/>
                </w:rPr>
                <m:t>i</m:t>
              </m:r>
            </m:sub>
          </m:sSub>
        </m:oMath>
      </m:oMathPara>
    </w:p>
    <w:p w14:paraId="50CC8914" w14:textId="77777777" w:rsidR="00260AC0" w:rsidRDefault="00260AC0" w:rsidP="00260AC0">
      <w:pPr>
        <w:pStyle w:val="Sansinterligne"/>
        <w:spacing w:before="240"/>
      </w:pPr>
      <w:r>
        <w:rPr>
          <w:rFonts w:eastAsiaTheme="minorEastAsia"/>
        </w:rPr>
        <w:t>On trouvera ci-dessous la fonction de lien canonique associée à certaines lois usuelles :</w:t>
      </w:r>
    </w:p>
    <w:p w14:paraId="51B3A60C" w14:textId="77777777" w:rsidR="00260AC0" w:rsidRDefault="00260AC0" w:rsidP="00260AC0">
      <w:pPr>
        <w:spacing w:before="240"/>
        <w:jc w:val="center"/>
      </w:pPr>
      <w:r>
        <w:rPr>
          <w:noProof/>
        </w:rPr>
        <w:lastRenderedPageBreak/>
        <w:drawing>
          <wp:inline distT="0" distB="0" distL="0" distR="0" wp14:anchorId="67FA0A8D" wp14:editId="7E73BC14">
            <wp:extent cx="4795284" cy="1527989"/>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1699" cy="1533220"/>
                    </a:xfrm>
                    <a:prstGeom prst="rect">
                      <a:avLst/>
                    </a:prstGeom>
                  </pic:spPr>
                </pic:pic>
              </a:graphicData>
            </a:graphic>
          </wp:inline>
        </w:drawing>
      </w:r>
    </w:p>
    <w:p w14:paraId="73F5F5C5" w14:textId="77777777" w:rsidR="00260AC0" w:rsidRDefault="00260AC0" w:rsidP="00260AC0"/>
    <w:p w14:paraId="3DE2777C" w14:textId="77777777" w:rsidR="00260AC0" w:rsidRDefault="00260AC0" w:rsidP="00260AC0">
      <w:r>
        <w:t xml:space="preserve">A présent, présentons quelques modèles fréquemment utilisés dans le contexte assurantiel : </w:t>
      </w:r>
    </w:p>
    <w:p w14:paraId="340E9FB2" w14:textId="77777777" w:rsidR="00260AC0" w:rsidRDefault="00260AC0" w:rsidP="00260AC0"/>
    <w:p w14:paraId="30114CBA" w14:textId="77777777" w:rsidR="00260AC0" w:rsidRDefault="00260AC0" w:rsidP="00260AC0"/>
    <w:p w14:paraId="22B945FA" w14:textId="77777777" w:rsidR="00260AC0" w:rsidRDefault="00260AC0" w:rsidP="00260AC0">
      <w:pPr>
        <w:pStyle w:val="Titre3"/>
        <w:spacing w:after="240"/>
      </w:pPr>
      <w:bookmarkStart w:id="48" w:name="_Toc112955520"/>
      <w:r>
        <w:t>Modèle gaussien :</w:t>
      </w:r>
      <w:bookmarkEnd w:id="48"/>
    </w:p>
    <w:p w14:paraId="38BE4975" w14:textId="77777777" w:rsidR="00260AC0" w:rsidRDefault="00260AC0" w:rsidP="00260AC0">
      <w:pPr>
        <w:pStyle w:val="Sansinterligne"/>
      </w:pPr>
      <w:r>
        <w:t xml:space="preserve">Dans le cas d’un échantillon gaussien, les densités d’une famille de lois </w:t>
      </w:r>
      <m:oMath>
        <m:r>
          <m:rPr>
            <m:sty m:val="p"/>
          </m:rPr>
          <w:rPr>
            <w:rFonts w:ascii="Cambria Math" w:hAnsi="Cambria Math"/>
          </w:rPr>
          <m:t>Ν</m:t>
        </m:r>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t xml:space="preserve"> s’écrivent :</w:t>
      </w:r>
    </w:p>
    <w:p w14:paraId="7714EBD6" w14:textId="77777777" w:rsidR="00260AC0" w:rsidRPr="00DA298E" w:rsidRDefault="00260AC0" w:rsidP="00260AC0">
      <w:pPr>
        <w:pStyle w:val="Sansinterligne"/>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2πσ²</m:t>
                  </m:r>
                </m:e>
              </m:rad>
            </m:den>
          </m:f>
          <m:r>
            <m:rPr>
              <m:sty m:val="p"/>
            </m:rPr>
            <w:rPr>
              <w:rFonts w:ascii="Cambria Math" w:hAnsi="Cambria Math"/>
            </w:rPr>
            <m:t xml:space="preserve">  exp⁡[-</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sup>
                  <m:r>
                    <m:rPr>
                      <m:sty m:val="p"/>
                    </m:rPr>
                    <w:rPr>
                      <w:rFonts w:ascii="Cambria Math" w:hAnsi="Cambria Math"/>
                    </w:rPr>
                    <m:t>2</m:t>
                  </m:r>
                </m:sup>
              </m:sSup>
            </m:num>
            <m:den>
              <m:r>
                <m:rPr>
                  <m:sty m:val="p"/>
                </m:rPr>
                <w:rPr>
                  <w:rFonts w:ascii="Cambria Math" w:hAnsi="Cambria Math"/>
                </w:rPr>
                <m:t>2σ²</m:t>
              </m:r>
            </m:den>
          </m:f>
          <m:r>
            <m:rPr>
              <m:sty m:val="p"/>
            </m:rPr>
            <w:rPr>
              <w:rFonts w:ascii="Cambria Math" w:hAnsi="Cambria Math"/>
            </w:rPr>
            <m:t>]</m:t>
          </m:r>
        </m:oMath>
      </m:oMathPara>
    </w:p>
    <w:p w14:paraId="78A864E1" w14:textId="77777777" w:rsidR="00260AC0" w:rsidRDefault="00260AC0" w:rsidP="00260AC0">
      <w:pPr>
        <w:spacing w:after="0"/>
      </w:pPr>
      <w:r>
        <w:t>Et appartiennent à la famille exponentielle en posant :</w:t>
      </w:r>
    </w:p>
    <w:p w14:paraId="6F32FA8E" w14:textId="77777777" w:rsidR="00260AC0" w:rsidRPr="00AE645D" w:rsidRDefault="00423160" w:rsidP="00260AC0">
      <w:pPr>
        <w:spacing w:after="0"/>
        <w:jc w:val="center"/>
        <w:rPr>
          <w:rFonts w:eastAsiaTheme="minorEastAsia"/>
        </w:rPr>
      </w:pPr>
      <m:oMath>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 xml:space="preserve"> = E</m:t>
        </m:r>
        <m:d>
          <m:dPr>
            <m:ctrlPr>
              <w:rPr>
                <w:rFonts w:ascii="Cambria Math" w:hAnsi="Cambria Math"/>
                <w:i/>
              </w:rPr>
            </m:ctrlPr>
          </m:dPr>
          <m:e>
            <m:r>
              <w:rPr>
                <w:rFonts w:ascii="Cambria Math" w:hAnsi="Cambria Math"/>
              </w:rPr>
              <m:t>Yi</m:t>
            </m:r>
          </m:e>
        </m:d>
        <m:r>
          <w:rPr>
            <w:rFonts w:ascii="Cambria Math" w:hAnsi="Cambria Math"/>
          </w:rPr>
          <m:t xml:space="preserve">= </m:t>
        </m:r>
        <m:sSub>
          <m:sSubPr>
            <m:ctrlPr>
              <w:rPr>
                <w:rFonts w:ascii="Cambria Math" w:hAnsi="Cambria Math"/>
              </w:rPr>
            </m:ctrlPr>
          </m:sSubPr>
          <m:e>
            <m:r>
              <w:rPr>
                <w:rFonts w:ascii="Cambria Math" w:hAnsi="Cambria Math"/>
              </w:rPr>
              <m:t>µ</m:t>
            </m:r>
          </m:e>
          <m:sub>
            <m:r>
              <w:rPr>
                <w:rFonts w:ascii="Cambria Math" w:hAnsi="Cambria Math"/>
              </w:rPr>
              <m:t>i</m:t>
            </m:r>
          </m:sub>
        </m:sSub>
      </m:oMath>
      <w:r w:rsidR="00260AC0">
        <w:rPr>
          <w:rFonts w:eastAsiaTheme="minorEastAsia"/>
        </w:rPr>
        <w:t xml:space="preserve"> </w:t>
      </w:r>
    </w:p>
    <w:p w14:paraId="11C30C4E" w14:textId="77777777" w:rsidR="00260AC0" w:rsidRPr="00AE645D" w:rsidRDefault="00423160" w:rsidP="00260AC0">
      <w:pPr>
        <w:spacing w:after="0"/>
        <w:jc w:val="center"/>
        <w:rPr>
          <w:rFonts w:eastAsiaTheme="minorEastAsia"/>
        </w:rPr>
      </w:pPr>
      <m:oMathPara>
        <m:oMath>
          <m:sSub>
            <m:sSubPr>
              <m:ctrlPr>
                <w:rPr>
                  <w:rFonts w:ascii="Cambria Math" w:hAnsi="Cambria Math"/>
                </w:rPr>
              </m:ctrlPr>
            </m:sSubPr>
            <m:e>
              <m:r>
                <w:rPr>
                  <w:rFonts w:ascii="Cambria Math" w:hAnsi="Cambria Math"/>
                </w:rPr>
                <m:t>a(θ</m:t>
              </m:r>
            </m:e>
            <m:sub>
              <m:r>
                <w:rPr>
                  <w:rFonts w:ascii="Cambria Math" w:hAnsi="Cambria Math"/>
                </w:rPr>
                <m:t>i</m:t>
              </m:r>
            </m:sub>
          </m:sSub>
          <m:r>
            <w:rPr>
              <w:rFonts w:ascii="Cambria Math" w:hAnsi="Cambria Math"/>
            </w:rPr>
            <m:t>) =</m:t>
          </m:r>
          <m:r>
            <m:rPr>
              <m:sty m:val="p"/>
            </m:rPr>
            <w:rPr>
              <w:rFonts w:ascii="Cambria Math" w:hAnsi="Cambria Math"/>
            </w:rPr>
            <m:t>exp⁡[-</m:t>
          </m:r>
          <m:f>
            <m:fPr>
              <m:ctrlPr>
                <w:rPr>
                  <w:rFonts w:ascii="Cambria Math" w:hAnsi="Cambria Math"/>
                </w:rPr>
              </m:ctrlPr>
            </m:fPr>
            <m:num>
              <m:sSub>
                <m:sSubPr>
                  <m:ctrlPr>
                    <w:rPr>
                      <w:rFonts w:ascii="Cambria Math" w:hAnsi="Cambria Math"/>
                    </w:rPr>
                  </m:ctrlPr>
                </m:sSubPr>
                <m:e>
                  <m:r>
                    <m:rPr>
                      <m:sty m:val="p"/>
                    </m:rPr>
                    <w:rPr>
                      <w:rFonts w:ascii="Cambria Math" w:hAnsi="Cambria Math"/>
                    </w:rPr>
                    <m:t>µ</m:t>
                  </m:r>
                </m:e>
                <m:sub>
                  <m:r>
                    <w:rPr>
                      <w:rFonts w:ascii="Cambria Math" w:hAnsi="Cambria Math"/>
                    </w:rPr>
                    <m:t>i</m:t>
                  </m:r>
                </m:sub>
              </m:sSub>
              <m:r>
                <w:rPr>
                  <w:rFonts w:ascii="Cambria Math" w:hAnsi="Cambria Math"/>
                </w:rPr>
                <m:t>²</m:t>
              </m:r>
            </m:num>
            <m:den>
              <m:r>
                <m:rPr>
                  <m:sty m:val="p"/>
                </m:rPr>
                <w:rPr>
                  <w:rFonts w:ascii="Cambria Math" w:hAnsi="Cambria Math"/>
                </w:rPr>
                <m:t>2σ²</m:t>
              </m:r>
            </m:den>
          </m:f>
          <m:r>
            <m:rPr>
              <m:sty m:val="p"/>
            </m:rPr>
            <w:rPr>
              <w:rFonts w:ascii="Cambria Math" w:hAnsi="Cambria Math"/>
            </w:rPr>
            <m:t>]</m:t>
          </m:r>
        </m:oMath>
      </m:oMathPara>
    </w:p>
    <w:p w14:paraId="02BBC36A" w14:textId="77777777" w:rsidR="00260AC0" w:rsidRPr="00AE645D" w:rsidRDefault="00423160" w:rsidP="00260AC0">
      <w:pPr>
        <w:spacing w:after="0"/>
        <w:jc w:val="center"/>
        <w:rPr>
          <w:rFonts w:eastAsiaTheme="minorEastAsia"/>
        </w:rPr>
      </w:pPr>
      <m:oMathPara>
        <m:oMath>
          <m:sSub>
            <m:sSubPr>
              <m:ctrlPr>
                <w:rPr>
                  <w:rFonts w:ascii="Cambria Math" w:hAnsi="Cambria Math"/>
                </w:rPr>
              </m:ctrlPr>
            </m:sSubPr>
            <m:e>
              <m:r>
                <w:rPr>
                  <w:rFonts w:ascii="Cambria Math" w:hAnsi="Cambria Math"/>
                </w:rPr>
                <m:t>b(θ</m:t>
              </m:r>
            </m:e>
            <m:sub>
              <m:r>
                <w:rPr>
                  <w:rFonts w:ascii="Cambria Math" w:hAnsi="Cambria Math"/>
                </w:rPr>
                <m:t>i</m:t>
              </m:r>
            </m:sub>
          </m:sSub>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m:t>
                  </m:r>
                </m:sub>
              </m:sSub>
            </m:num>
            <m:den>
              <m:r>
                <m:rPr>
                  <m:sty m:val="p"/>
                </m:rPr>
                <w:rPr>
                  <w:rFonts w:ascii="Cambria Math" w:hAnsi="Cambria Math"/>
                  <w:sz w:val="20"/>
                  <w:szCs w:val="20"/>
                </w:rPr>
                <m:t>ϕ</m:t>
              </m:r>
            </m:den>
          </m:f>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µ</m:t>
                  </m:r>
                </m:e>
                <m:sub>
                  <m:r>
                    <w:rPr>
                      <w:rFonts w:ascii="Cambria Math" w:hAnsi="Cambria Math"/>
                    </w:rPr>
                    <m:t>i</m:t>
                  </m:r>
                </m:sub>
              </m:sSub>
            </m:num>
            <m:den>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oMath>
      </m:oMathPara>
    </w:p>
    <w:p w14:paraId="78445A06" w14:textId="77777777" w:rsidR="00260AC0" w:rsidRPr="00AE645D" w:rsidRDefault="00423160" w:rsidP="00260AC0">
      <w:pPr>
        <w:spacing w:after="120"/>
        <w:jc w:val="center"/>
        <w:rPr>
          <w:rFonts w:eastAsiaTheme="minorEastAsia"/>
        </w:rPr>
      </w:pPr>
      <m:oMathPara>
        <m:oMath>
          <m:sSub>
            <m:sSubPr>
              <m:ctrlPr>
                <w:rPr>
                  <w:rFonts w:ascii="Cambria Math" w:hAnsi="Cambria Math"/>
                </w:rPr>
              </m:ctrlPr>
            </m:sSubPr>
            <m:e>
              <m:r>
                <w:rPr>
                  <w:rFonts w:ascii="Cambria Math" w:hAnsi="Cambria Math"/>
                </w:rPr>
                <m:t>c(y</m:t>
              </m:r>
            </m:e>
            <m:sub>
              <m:r>
                <w:rPr>
                  <w:rFonts w:ascii="Cambria Math" w:hAnsi="Cambria Math"/>
                </w:rPr>
                <m:t>i</m:t>
              </m:r>
            </m:sub>
          </m:sSub>
          <m:r>
            <w:rPr>
              <w:rFonts w:ascii="Cambria Math" w:hAnsi="Cambria Math"/>
            </w:rPr>
            <m:t>) =</m:t>
          </m:r>
          <m:r>
            <m:rPr>
              <m:sty m:val="p"/>
            </m:rPr>
            <w:rPr>
              <w:rFonts w:ascii="Cambria Math" w:hAnsi="Cambria Math"/>
            </w:rPr>
            <m:t>exp⁡[-</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y</m:t>
                  </m:r>
                  <m:ctrlPr>
                    <w:rPr>
                      <w:rFonts w:ascii="Cambria Math" w:hAnsi="Cambria Math"/>
                    </w:rPr>
                  </m:ctrlPr>
                </m:e>
                <m:sub>
                  <m:r>
                    <w:rPr>
                      <w:rFonts w:ascii="Cambria Math" w:hAnsi="Cambria Math"/>
                    </w:rPr>
                    <m:t>i</m:t>
                  </m:r>
                </m:sub>
                <m:sup>
                  <m:r>
                    <w:rPr>
                      <w:rFonts w:ascii="Cambria Math" w:hAnsi="Cambria Math"/>
                    </w:rPr>
                    <m:t>2</m:t>
                  </m:r>
                </m:sup>
              </m:sSub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ln⁡</m:t>
              </m:r>
              <m:r>
                <w:rPr>
                  <w:rFonts w:ascii="Cambria Math" w:hAnsi="Cambria Math"/>
                </w:rPr>
                <m:t>(</m:t>
              </m:r>
              <m:r>
                <m:rPr>
                  <m:sty m:val="p"/>
                </m:rPr>
                <w:rPr>
                  <w:rFonts w:ascii="Cambria Math" w:hAnsi="Cambria Math"/>
                </w:rPr>
                <m:t>2π</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num>
            <m:den>
              <m:r>
                <w:rPr>
                  <w:rFonts w:ascii="Cambria Math" w:hAnsi="Cambria Math"/>
                </w:rPr>
                <m:t>2</m:t>
              </m:r>
            </m:den>
          </m:f>
          <m:r>
            <m:rPr>
              <m:sty m:val="p"/>
            </m:rPr>
            <w:rPr>
              <w:rFonts w:ascii="Cambria Math" w:hAnsi="Cambria Math"/>
            </w:rPr>
            <m:t>]</m:t>
          </m:r>
        </m:oMath>
      </m:oMathPara>
    </w:p>
    <w:p w14:paraId="713E91F0" w14:textId="77777777" w:rsidR="00260AC0" w:rsidRDefault="00260AC0" w:rsidP="00260AC0">
      <w:pPr>
        <w:pStyle w:val="Sansinterligne"/>
      </w:pPr>
      <w:r>
        <w:t xml:space="preserve">On remarque avec la première égalité que la famille gaussienne se met sous forme canonique </w:t>
      </w:r>
    </w:p>
    <w:p w14:paraId="08719B67" w14:textId="77777777" w:rsidR="00260AC0" w:rsidRDefault="00260AC0" w:rsidP="00260AC0">
      <w:pPr>
        <w:pStyle w:val="Sansinterligne"/>
      </w:pPr>
    </w:p>
    <w:p w14:paraId="09637199" w14:textId="77777777" w:rsidR="00260AC0" w:rsidRDefault="00260AC0" w:rsidP="00260AC0">
      <w:pPr>
        <w:pStyle w:val="Sansinterligne"/>
      </w:pPr>
    </w:p>
    <w:p w14:paraId="4709B061" w14:textId="77777777" w:rsidR="00260AC0" w:rsidRDefault="00260AC0" w:rsidP="00260AC0">
      <w:pPr>
        <w:pStyle w:val="Sansinterligne"/>
      </w:pPr>
    </w:p>
    <w:p w14:paraId="59C0631C" w14:textId="77777777" w:rsidR="00260AC0" w:rsidRDefault="00260AC0" w:rsidP="00260AC0">
      <w:pPr>
        <w:pStyle w:val="Sansinterligne"/>
      </w:pPr>
    </w:p>
    <w:p w14:paraId="44A71C43" w14:textId="77777777" w:rsidR="00260AC0" w:rsidRDefault="00260AC0">
      <w:pPr>
        <w:rPr>
          <w:rFonts w:asciiTheme="majorHAnsi" w:eastAsiaTheme="majorEastAsia" w:hAnsiTheme="majorHAnsi" w:cstheme="majorBidi"/>
          <w:color w:val="1F3763" w:themeColor="accent1" w:themeShade="7F"/>
          <w:sz w:val="24"/>
          <w:szCs w:val="24"/>
        </w:rPr>
      </w:pPr>
      <w:r>
        <w:br w:type="page"/>
      </w:r>
    </w:p>
    <w:p w14:paraId="59F4102D" w14:textId="77777777" w:rsidR="00260AC0" w:rsidRPr="00D61CF8" w:rsidRDefault="00260AC0" w:rsidP="00260AC0">
      <w:pPr>
        <w:pStyle w:val="Titre3"/>
        <w:spacing w:after="240"/>
      </w:pPr>
      <w:bookmarkStart w:id="49" w:name="_Toc112955521"/>
      <w:r>
        <w:lastRenderedPageBreak/>
        <w:t>Modèle de Poisson :</w:t>
      </w:r>
      <w:bookmarkEnd w:id="49"/>
    </w:p>
    <w:p w14:paraId="4B3787AE" w14:textId="5AD3033E" w:rsidR="00EF6DE9" w:rsidRDefault="00260AC0" w:rsidP="00260AC0">
      <w:pPr>
        <w:pStyle w:val="Sansinterligne"/>
      </w:pPr>
      <w:r>
        <w:t xml:space="preserve">Le modèle de Poisson </w:t>
      </w:r>
      <w:r w:rsidR="00EF6DE9" w:rsidRPr="00EF6DE9">
        <w:t>est un type de modèle de régression utilisé pour modéliser des variables de réponse qui suivent une distribution de Poisson. La distribution de Poisson est souvent utilisée pour modéliser des variables qui comptent le nombre d'événements qui se produisent au cours d'une période donnée, comme le nombre de sinistres d'assurance sur une période donnée</w:t>
      </w:r>
      <w:r w:rsidR="00DE62CE">
        <w:t>.</w:t>
      </w:r>
    </w:p>
    <w:p w14:paraId="6C303883" w14:textId="213565B0" w:rsidR="006F238C" w:rsidRDefault="006F238C" w:rsidP="00260AC0">
      <w:pPr>
        <w:pStyle w:val="Sansinterligne"/>
      </w:pPr>
      <w:r w:rsidRPr="006F238C">
        <w:t>Le modèle GLM de Poisson utilise une fonction de lien logarithmique pour lier la variable de réponse à un ensemble de variables explicatives (également appelées variables prédictives ou variables indépendantes). Cela signifie que la relation entre la variable de réponse et les variables explicatives est modélisée comme une régression linéaire dans le logarithme de la variable de réponse. Cela permet de modéliser des variables de réponse qui peuvent prendre des valeurs entières uniquement et qui ont des variances qui augmentent avec la moyenne.</w:t>
      </w:r>
    </w:p>
    <w:p w14:paraId="0803611C" w14:textId="77777777" w:rsidR="00EF6DE9" w:rsidRDefault="00EF6DE9" w:rsidP="00260AC0">
      <w:pPr>
        <w:pStyle w:val="Sansinterligne"/>
      </w:pPr>
    </w:p>
    <w:p w14:paraId="031D8663" w14:textId="1DF27DE1" w:rsidR="00260AC0" w:rsidRDefault="006F238C" w:rsidP="00260AC0">
      <w:pPr>
        <w:pStyle w:val="Sansinterligne"/>
      </w:pPr>
      <w:r>
        <w:t>O</w:t>
      </w:r>
      <w:r w:rsidR="00260AC0">
        <w:t>n considère n variables indépendantes Yi de loi de Poisson de paramètre µi = E(Yi). Les Yi sont par exemple les effectifs d’une table de contingence. Ces variables admettent pour densités :</w:t>
      </w:r>
    </w:p>
    <w:p w14:paraId="1EB936FE" w14:textId="77777777" w:rsidR="00260AC0" w:rsidRDefault="00260AC0" w:rsidP="00260AC0">
      <w:pPr>
        <w:pStyle w:val="Sansinterligne"/>
      </w:pPr>
    </w:p>
    <w:p w14:paraId="427F7C80" w14:textId="77777777" w:rsidR="00260AC0" w:rsidRDefault="00260AC0" w:rsidP="00260AC0">
      <w:pPr>
        <w:pStyle w:val="Sansinterligne"/>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e>
                <m:sup>
                  <m:sSub>
                    <m:sSubPr>
                      <m:ctrlPr>
                        <w:rPr>
                          <w:rFonts w:ascii="Cambria Math" w:hAnsi="Cambria Math"/>
                        </w:rPr>
                      </m:ctrlPr>
                    </m:sSubPr>
                    <m:e>
                      <m:r>
                        <m:rPr>
                          <m:sty m:val="p"/>
                        </m:rPr>
                        <w:rPr>
                          <w:rFonts w:ascii="Cambria Math" w:hAnsi="Cambria Math"/>
                        </w:rPr>
                        <m:t>y</m:t>
                      </m:r>
                    </m:e>
                    <m:sub>
                      <m:r>
                        <w:rPr>
                          <w:rFonts w:ascii="Cambria Math" w:hAnsi="Cambria Math"/>
                        </w:rPr>
                        <m:t>i</m:t>
                      </m:r>
                    </m:sub>
                  </m:sSub>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sup>
              </m:sSup>
            </m:num>
            <m:den>
              <m:sSub>
                <m:sSubPr>
                  <m:ctrlPr>
                    <w:rPr>
                      <w:rFonts w:ascii="Cambria Math" w:hAnsi="Cambria Math"/>
                    </w:rPr>
                  </m:ctrlPr>
                </m:sSubPr>
                <m:e>
                  <m:r>
                    <m:rPr>
                      <m:sty m:val="p"/>
                    </m:rPr>
                    <w:rPr>
                      <w:rFonts w:ascii="Cambria Math" w:hAnsi="Cambria Math"/>
                    </w:rPr>
                    <m:t>y</m:t>
                  </m:r>
                </m:e>
                <m:sub>
                  <m:r>
                    <w:rPr>
                      <w:rFonts w:ascii="Cambria Math" w:hAnsi="Cambria Math"/>
                    </w:rPr>
                    <m:t>i</m:t>
                  </m:r>
                </m:sub>
              </m:sSub>
              <m:r>
                <w:rPr>
                  <w:rFonts w:ascii="Cambria Math" w:hAnsi="Cambria Math"/>
                </w:rPr>
                <m:t>!</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ctrlPr>
                    <w:rPr>
                      <w:rFonts w:ascii="Cambria Math" w:hAnsi="Cambria Math"/>
                      <w:i/>
                    </w:rPr>
                  </m:ctrlPr>
                </m:e>
              </m:d>
            </m:e>
          </m:fun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rPr>
                  </m:ctrlPr>
                </m:sSubPr>
                <m:e>
                  <m:r>
                    <m:rPr>
                      <m:sty m:val="p"/>
                    </m:rPr>
                    <w:rPr>
                      <w:rFonts w:ascii="Cambria Math" w:hAnsi="Cambria Math"/>
                    </w:rPr>
                    <m:t>y</m:t>
                  </m:r>
                </m:e>
                <m:sub>
                  <m:r>
                    <w:rPr>
                      <w:rFonts w:ascii="Cambria Math" w:hAnsi="Cambria Math"/>
                    </w:rPr>
                    <m:t>i</m:t>
                  </m:r>
                </m:sub>
              </m:sSub>
              <m:r>
                <w:rPr>
                  <w:rFonts w:ascii="Cambria Math" w:hAnsi="Cambria Math"/>
                </w:rPr>
                <m:t>!</m:t>
              </m:r>
            </m:den>
          </m:f>
          <m:r>
            <m:rPr>
              <m:sty m:val="p"/>
            </m:rPr>
            <w:rPr>
              <w:rFonts w:ascii="Cambria Math" w:hAnsi="Cambria Math"/>
            </w:rPr>
            <m:t>exp⁡</m:t>
          </m:r>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r>
                    <w:rPr>
                      <w:rFonts w:ascii="Cambria Math" w:hAnsi="Cambria Math"/>
                    </w:rPr>
                    <m:t>!</m:t>
                  </m:r>
                </m:e>
              </m:d>
            </m:e>
          </m:func>
          <m:r>
            <w:rPr>
              <w:rFonts w:ascii="Cambria Math" w:hAnsi="Cambria Math"/>
            </w:rPr>
            <m:t>)</m:t>
          </m:r>
        </m:oMath>
      </m:oMathPara>
    </w:p>
    <w:p w14:paraId="2FD81D42" w14:textId="77777777" w:rsidR="00260AC0" w:rsidRPr="00AE645D" w:rsidRDefault="00260AC0" w:rsidP="00260AC0">
      <w:pPr>
        <w:spacing w:after="0"/>
        <w:jc w:val="center"/>
        <w:rPr>
          <w:rFonts w:eastAsiaTheme="minorEastAsia"/>
        </w:rPr>
      </w:pPr>
      <w:r>
        <w:t xml:space="preserve">Avec : </w:t>
      </w:r>
      <m:oMath>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ln⁡</m:t>
            </m:r>
            <m:r>
              <w:rPr>
                <w:rFonts w:ascii="Cambria Math" w:hAnsi="Cambria Math"/>
              </w:rPr>
              <m:t>(µ</m:t>
            </m:r>
          </m:e>
          <m:sub>
            <m:r>
              <w:rPr>
                <w:rFonts w:ascii="Cambria Math" w:hAnsi="Cambria Math"/>
              </w:rPr>
              <m:t>i</m:t>
            </m:r>
          </m:sub>
        </m:sSub>
        <m:r>
          <w:rPr>
            <w:rFonts w:ascii="Cambria Math" w:hAnsi="Cambria Math"/>
          </w:rPr>
          <m:t>)</m:t>
        </m:r>
      </m:oMath>
      <w:r>
        <w:rPr>
          <w:rFonts w:eastAsiaTheme="minorEastAsia"/>
        </w:rPr>
        <w:t xml:space="preserve"> </w:t>
      </w:r>
    </w:p>
    <w:p w14:paraId="10E72FE4" w14:textId="77777777" w:rsidR="00260AC0" w:rsidRDefault="00260AC0" w:rsidP="00260AC0">
      <w:pPr>
        <w:pStyle w:val="Sansinterligne"/>
      </w:pPr>
      <w:r>
        <w:t>Et donc la fonction de lien canonique de ce modèle est la fonction logarithme népérien.</w:t>
      </w:r>
    </w:p>
    <w:p w14:paraId="1024F92D" w14:textId="77777777" w:rsidR="00260AC0" w:rsidRDefault="00260AC0" w:rsidP="00260AC0">
      <w:pPr>
        <w:pStyle w:val="Sansinterligne"/>
      </w:pPr>
    </w:p>
    <w:p w14:paraId="7577E16D" w14:textId="77777777" w:rsidR="00260AC0" w:rsidRDefault="00260AC0">
      <w:r>
        <w:br w:type="page"/>
      </w:r>
    </w:p>
    <w:p w14:paraId="131007A4" w14:textId="77777777" w:rsidR="00260AC0" w:rsidRDefault="00260AC0" w:rsidP="00260AC0">
      <w:pPr>
        <w:pStyle w:val="Sansinterligne"/>
      </w:pPr>
    </w:p>
    <w:p w14:paraId="6901C790" w14:textId="77777777" w:rsidR="00260AC0" w:rsidRPr="00D61CF8" w:rsidRDefault="00260AC0" w:rsidP="00260AC0">
      <w:pPr>
        <w:pStyle w:val="Titre3"/>
        <w:spacing w:before="120" w:after="240"/>
      </w:pPr>
      <w:bookmarkStart w:id="50" w:name="_Toc112955522"/>
      <w:r>
        <w:t xml:space="preserve">Modèle </w:t>
      </w:r>
      <w:proofErr w:type="spellStart"/>
      <w:r>
        <w:t>Tweedie</w:t>
      </w:r>
      <w:proofErr w:type="spellEnd"/>
      <w:r>
        <w:t xml:space="preserve"> :</w:t>
      </w:r>
      <w:bookmarkEnd w:id="50"/>
    </w:p>
    <w:p w14:paraId="1DB4C1E5" w14:textId="77777777" w:rsidR="00FB72CD" w:rsidRDefault="00FB72CD" w:rsidP="00260AC0">
      <w:pPr>
        <w:pStyle w:val="Sansinterligne"/>
      </w:pPr>
    </w:p>
    <w:p w14:paraId="3CED4FC1" w14:textId="77777777" w:rsidR="00FB72CD" w:rsidRDefault="00FB72CD" w:rsidP="00260AC0">
      <w:pPr>
        <w:pStyle w:val="Sansinterligne"/>
      </w:pPr>
    </w:p>
    <w:p w14:paraId="0451C6DE" w14:textId="3A7F33A7" w:rsidR="00260AC0" w:rsidRDefault="00260AC0" w:rsidP="00260AC0">
      <w:pPr>
        <w:pStyle w:val="Sansinterligne"/>
      </w:pPr>
      <w:r>
        <w:t>Les variables de réponses Yi admettent dans ce modèle la densité suivante :</w:t>
      </w:r>
    </w:p>
    <w:p w14:paraId="5046E72C" w14:textId="77777777" w:rsidR="00260AC0" w:rsidRDefault="00260AC0" w:rsidP="00260AC0">
      <w:pPr>
        <w:pStyle w:val="Sansinterligne"/>
      </w:pPr>
    </w:p>
    <w:p w14:paraId="4B1F697C" w14:textId="77777777" w:rsidR="00260AC0" w:rsidRPr="00032C50" w:rsidRDefault="00260AC0" w:rsidP="00260AC0">
      <w:pPr>
        <w:pStyle w:val="Sansinterligne"/>
        <w:rPr>
          <w:rFonts w:eastAsiaTheme="minorEastAsia"/>
        </w:rPr>
      </w:pPr>
      <m:oMathPara>
        <m:oMath>
          <m:r>
            <m:rPr>
              <m:sty m:val="p"/>
            </m:rP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 µ</m:t>
              </m:r>
              <m:r>
                <w:rPr>
                  <w:rFonts w:ascii="Cambria Math" w:hAnsi="Cambria Math"/>
                </w:rPr>
                <m:t>,</m:t>
              </m:r>
              <m:r>
                <m:rPr>
                  <m:sty m:val="p"/>
                </m:rPr>
                <w:rPr>
                  <w:rFonts w:ascii="Cambria Math" w:hAnsi="Cambria Math"/>
                  <w:sz w:val="20"/>
                  <w:szCs w:val="20"/>
                </w:rPr>
                <m:t>ϕ</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m:t>
              </m:r>
              <m:d>
                <m:dPr>
                  <m:ctrlPr>
                    <w:rPr>
                      <w:rFonts w:ascii="Cambria Math" w:eastAsiaTheme="minorEastAsia" w:hAnsi="Cambria Math"/>
                    </w:rPr>
                  </m:ctrlPr>
                </m:dPr>
                <m:e>
                  <m:r>
                    <m:rPr>
                      <m:sty m:val="p"/>
                    </m:rPr>
                    <w:rPr>
                      <w:rFonts w:ascii="Cambria Math" w:eastAsiaTheme="minorEastAsia" w:hAnsi="Cambria Math"/>
                    </w:rPr>
                    <m:t>y,</m:t>
                  </m:r>
                  <m:r>
                    <m:rPr>
                      <m:sty m:val="p"/>
                    </m:rPr>
                    <w:rPr>
                      <w:rFonts w:ascii="Cambria Math" w:hAnsi="Cambria Math"/>
                      <w:sz w:val="20"/>
                      <w:szCs w:val="20"/>
                    </w:rPr>
                    <m:t>ϕ</m:t>
                  </m:r>
                </m:e>
              </m:d>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hAnsi="Cambria Math"/>
                          <w:sz w:val="20"/>
                          <w:szCs w:val="20"/>
                        </w:rPr>
                        <m:t>ϕ</m:t>
                      </m:r>
                    </m:den>
                  </m:f>
                  <m:r>
                    <w:rPr>
                      <w:rFonts w:ascii="Cambria Math" w:eastAsiaTheme="minorEastAsia" w:hAnsi="Cambria Math"/>
                    </w:rPr>
                    <m:t>[y*</m:t>
                  </m:r>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r>
                    <m:rPr>
                      <m:sty m:val="p"/>
                    </m:rPr>
                    <w:rPr>
                      <w:rFonts w:ascii="Cambria Math" w:hAnsi="Cambria Math"/>
                    </w:rPr>
                    <m:t>-κ(</m:t>
                  </m:r>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r>
                    <w:rPr>
                      <w:rFonts w:ascii="Cambria Math" w:hAnsi="Cambria Math"/>
                    </w:rPr>
                    <m:t>)]</m:t>
                  </m:r>
                  <m:ctrlPr>
                    <w:rPr>
                      <w:rFonts w:ascii="Cambria Math" w:hAnsi="Cambria Math"/>
                      <w:i/>
                    </w:rPr>
                  </m:ctrlPr>
                </m:e>
              </m:d>
            </m:e>
          </m:func>
        </m:oMath>
      </m:oMathPara>
    </w:p>
    <w:p w14:paraId="0F1EA679" w14:textId="77777777" w:rsidR="00260AC0" w:rsidRDefault="00260AC0" w:rsidP="00260AC0">
      <w:pPr>
        <w:pStyle w:val="Sansinterligne"/>
        <w:rPr>
          <w:rFonts w:eastAsiaTheme="minorEastAsia"/>
        </w:rPr>
      </w:pPr>
    </w:p>
    <w:p w14:paraId="25E51D11" w14:textId="77777777" w:rsidR="00260AC0" w:rsidRDefault="00260AC0" w:rsidP="00260AC0">
      <w:pPr>
        <w:pStyle w:val="Sansinterligne"/>
      </w:pPr>
      <w:r>
        <w:rPr>
          <w:rFonts w:eastAsiaTheme="minorEastAsia"/>
        </w:rPr>
        <w:t xml:space="preserve">Avec :        </w:t>
      </w:r>
      <m:oMath>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µ</m:t>
                        </m:r>
                      </m:e>
                      <m:sup>
                        <m:r>
                          <w:rPr>
                            <w:rFonts w:ascii="Cambria Math" w:hAnsi="Cambria Math"/>
                          </w:rPr>
                          <m:t>1-p</m:t>
                        </m:r>
                      </m:sup>
                    </m:sSup>
                  </m:num>
                  <m:den>
                    <m:r>
                      <w:rPr>
                        <w:rFonts w:ascii="Cambria Math" w:hAnsi="Cambria Math"/>
                      </w:rPr>
                      <m:t>1-p</m:t>
                    </m:r>
                  </m:den>
                </m:f>
                <m:r>
                  <w:rPr>
                    <w:rFonts w:ascii="Cambria Math" w:hAnsi="Cambria Math"/>
                  </w:rPr>
                  <m:t xml:space="preserve">  si p ≠1</m:t>
                </m:r>
              </m:e>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µ</m:t>
                        </m:r>
                      </m:e>
                    </m:d>
                  </m:e>
                </m:func>
                <m:r>
                  <w:rPr>
                    <w:rFonts w:ascii="Cambria Math" w:hAnsi="Cambria Math"/>
                  </w:rPr>
                  <m:t xml:space="preserve"> si p=1</m:t>
                </m:r>
              </m:e>
            </m:eqArr>
          </m:e>
        </m:d>
      </m:oMath>
      <w:r>
        <w:rPr>
          <w:rFonts w:eastAsiaTheme="minorEastAsia"/>
        </w:rPr>
        <w:t xml:space="preserve">                                          </w:t>
      </w:r>
      <m:oMath>
        <m:r>
          <m:rPr>
            <m:sty m:val="p"/>
          </m:rPr>
          <w:rPr>
            <w:rFonts w:ascii="Cambria Math" w:hAnsi="Cambria Math"/>
          </w:rPr>
          <m:t>κ</m:t>
        </m:r>
        <m:d>
          <m:dPr>
            <m:ctrlPr>
              <w:rPr>
                <w:rFonts w:ascii="Cambria Math" w:hAnsi="Cambria Math"/>
              </w:rPr>
            </m:ctrlPr>
          </m:dPr>
          <m:e>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ctrlPr>
              <w:rPr>
                <w:rFonts w:ascii="Cambria Math" w:hAnsi="Cambria Math"/>
                <w:i/>
              </w:rPr>
            </m:ctrlPr>
          </m:e>
        </m:d>
      </m:oMath>
      <w:r>
        <w:rPr>
          <w:rFonts w:eastAsiaTheme="minorEastAsia"/>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µ</m:t>
                        </m:r>
                      </m:e>
                      <m:sup>
                        <m:r>
                          <w:rPr>
                            <w:rFonts w:ascii="Cambria Math" w:hAnsi="Cambria Math"/>
                          </w:rPr>
                          <m:t>2-p</m:t>
                        </m:r>
                      </m:sup>
                    </m:sSup>
                  </m:num>
                  <m:den>
                    <m:r>
                      <w:rPr>
                        <w:rFonts w:ascii="Cambria Math" w:hAnsi="Cambria Math"/>
                      </w:rPr>
                      <m:t>2-p</m:t>
                    </m:r>
                  </m:den>
                </m:f>
                <m:r>
                  <w:rPr>
                    <w:rFonts w:ascii="Cambria Math" w:hAnsi="Cambria Math"/>
                  </w:rPr>
                  <m:t xml:space="preserve">  si p ≠2</m:t>
                </m:r>
              </m:e>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µ</m:t>
                        </m:r>
                      </m:e>
                    </m:d>
                  </m:e>
                </m:func>
                <m:r>
                  <w:rPr>
                    <w:rFonts w:ascii="Cambria Math" w:hAnsi="Cambria Math"/>
                  </w:rPr>
                  <m:t xml:space="preserve"> si p=2</m:t>
                </m:r>
              </m:e>
            </m:eqArr>
          </m:e>
        </m:d>
      </m:oMath>
    </w:p>
    <w:p w14:paraId="6198D5FD" w14:textId="77777777" w:rsidR="00260AC0" w:rsidRDefault="00260AC0" w:rsidP="00260AC0">
      <w:pPr>
        <w:pStyle w:val="Sansinterligne"/>
      </w:pPr>
    </w:p>
    <w:p w14:paraId="3F562952" w14:textId="77777777" w:rsidR="00260AC0" w:rsidRDefault="00260AC0" w:rsidP="00260AC0">
      <w:pPr>
        <w:pStyle w:val="Sansinterligne"/>
      </w:pPr>
      <w:r>
        <w:t xml:space="preserve">Avec cette formalisation,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oMath>
      <w:r>
        <w:rPr>
          <w:rFonts w:eastAsiaTheme="minorEastAsia"/>
        </w:rPr>
        <w:t xml:space="preserve"> et </w:t>
      </w:r>
      <m:oMath>
        <m:r>
          <m:rPr>
            <m:scr m:val="double-struck"/>
          </m:rPr>
          <w:rPr>
            <w:rFonts w:ascii="Cambria Math" w:hAnsi="Cambria Math"/>
          </w:rPr>
          <m:t>V</m:t>
        </m:r>
        <m:r>
          <w:rPr>
            <w:rFonts w:ascii="Cambria Math" w:hAnsi="Cambria Math"/>
          </w:rPr>
          <m:t>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ψµ</m:t>
                </m:r>
              </m:e>
              <m:sub>
                <m:r>
                  <w:rPr>
                    <w:rFonts w:ascii="Cambria Math" w:hAnsi="Cambria Math"/>
                  </w:rPr>
                  <m:t>i</m:t>
                </m:r>
              </m:sub>
            </m:sSub>
          </m:e>
          <m:sup>
            <m:r>
              <w:rPr>
                <w:rFonts w:ascii="Cambria Math" w:hAnsi="Cambria Math"/>
              </w:rPr>
              <m:t>p</m:t>
            </m:r>
          </m:sup>
        </m:sSup>
      </m:oMath>
      <w:r>
        <w:rPr>
          <w:rFonts w:eastAsiaTheme="minorEastAsia"/>
        </w:rPr>
        <w:t xml:space="preserve"> avec </w:t>
      </w:r>
      <m:oMath>
        <m:r>
          <m:rPr>
            <m:sty m:val="p"/>
          </m:rPr>
          <w:rPr>
            <w:rFonts w:ascii="Cambria Math" w:hAnsi="Cambria Math"/>
          </w:rPr>
          <m:t>ψ</m:t>
        </m:r>
      </m:oMath>
      <w:r>
        <w:rPr>
          <w:rFonts w:eastAsiaTheme="minorEastAsia"/>
        </w:rPr>
        <w:t xml:space="preserve"> un facteur de dispersion positif.</w:t>
      </w:r>
    </w:p>
    <w:p w14:paraId="677C0388" w14:textId="77777777" w:rsidR="00260AC0" w:rsidRDefault="00260AC0" w:rsidP="00260AC0">
      <w:pPr>
        <w:pStyle w:val="Sansinterligne"/>
      </w:pPr>
    </w:p>
    <w:p w14:paraId="1BA062F5" w14:textId="77777777" w:rsidR="00260AC0" w:rsidRDefault="00260AC0" w:rsidP="00260AC0">
      <w:pPr>
        <w:pStyle w:val="Sansinterligne"/>
      </w:pPr>
    </w:p>
    <w:p w14:paraId="73010FB7" w14:textId="737E552E" w:rsidR="00260AC0" w:rsidRDefault="00FB72CD" w:rsidP="00260AC0">
      <w:pPr>
        <w:pStyle w:val="Sansinterligne"/>
      </w:pPr>
      <w:r>
        <w:t xml:space="preserve">Dans le cadre de ce modèle, on appelle p le paramètre d’indice, il est choisi en fonction de l’application avant d’estimer </w:t>
      </w:r>
      <m:oMath>
        <m:r>
          <m:rPr>
            <m:sty m:val="p"/>
          </m:rPr>
          <w:rPr>
            <w:rFonts w:ascii="Cambria Math" w:hAnsi="Cambria Math"/>
          </w:rPr>
          <m:t>µ</m:t>
        </m:r>
      </m:oMath>
      <w:r>
        <w:t xml:space="preserve"> et </w:t>
      </w:r>
      <m:oMath>
        <m:r>
          <m:rPr>
            <m:sty m:val="p"/>
          </m:rPr>
          <w:rPr>
            <w:rFonts w:ascii="Cambria Math" w:hAnsi="Cambria Math"/>
            <w:sz w:val="20"/>
            <w:szCs w:val="20"/>
          </w:rPr>
          <m:t>ϕ</m:t>
        </m:r>
      </m:oMath>
      <w:r>
        <w:t xml:space="preserve"> et définit le type de distribution :</w:t>
      </w:r>
    </w:p>
    <w:p w14:paraId="7BA9472D" w14:textId="118E0087" w:rsidR="00FB72CD" w:rsidRDefault="00FB72CD" w:rsidP="00154541">
      <w:pPr>
        <w:pStyle w:val="Sansinterligne"/>
        <w:numPr>
          <w:ilvl w:val="0"/>
          <w:numId w:val="30"/>
        </w:numPr>
        <w:spacing w:before="120"/>
      </w:pPr>
      <w:proofErr w:type="gramStart"/>
      <w:r>
        <w:t>p</w:t>
      </w:r>
      <w:proofErr w:type="gramEnd"/>
      <w:r>
        <w:t xml:space="preserve"> &lt; 0 : réalisations dans ℝ; </w:t>
      </w:r>
    </w:p>
    <w:p w14:paraId="2C2500A5" w14:textId="2DED1772" w:rsidR="00FB72CD" w:rsidRDefault="00FB72CD" w:rsidP="00154541">
      <w:pPr>
        <w:pStyle w:val="Sansinterligne"/>
        <w:numPr>
          <w:ilvl w:val="0"/>
          <w:numId w:val="30"/>
        </w:numPr>
        <w:spacing w:before="120"/>
      </w:pPr>
      <w:proofErr w:type="gramStart"/>
      <w:r>
        <w:t>p</w:t>
      </w:r>
      <w:proofErr w:type="gramEnd"/>
      <w:r>
        <w:t xml:space="preserve"> = 0 : loi gaussienne</w:t>
      </w:r>
    </w:p>
    <w:p w14:paraId="4BE4C9C2" w14:textId="6BC9E177" w:rsidR="00FB72CD" w:rsidRDefault="00FB72CD" w:rsidP="00154541">
      <w:pPr>
        <w:pStyle w:val="Sansinterligne"/>
        <w:numPr>
          <w:ilvl w:val="0"/>
          <w:numId w:val="30"/>
        </w:numPr>
        <w:spacing w:before="120"/>
      </w:pPr>
      <w:r>
        <w:t>0 &lt; p &lt; 1 : pas de distribution</w:t>
      </w:r>
    </w:p>
    <w:p w14:paraId="15BD05B8" w14:textId="77777777" w:rsidR="00FB72CD" w:rsidRDefault="00FB72CD" w:rsidP="00154541">
      <w:pPr>
        <w:pStyle w:val="Sansinterligne"/>
        <w:numPr>
          <w:ilvl w:val="0"/>
          <w:numId w:val="30"/>
        </w:numPr>
        <w:spacing w:before="120"/>
      </w:pPr>
      <w:proofErr w:type="gramStart"/>
      <w:r>
        <w:t>p</w:t>
      </w:r>
      <w:proofErr w:type="gramEnd"/>
      <w:r>
        <w:t xml:space="preserve"> = 1 avec = 1 : loi de Poisson</w:t>
      </w:r>
    </w:p>
    <w:p w14:paraId="701ED975" w14:textId="0FB70839" w:rsidR="00FB72CD" w:rsidRDefault="00FB72CD" w:rsidP="00154541">
      <w:pPr>
        <w:pStyle w:val="Sansinterligne"/>
        <w:numPr>
          <w:ilvl w:val="0"/>
          <w:numId w:val="30"/>
        </w:numPr>
        <w:spacing w:before="120"/>
      </w:pPr>
      <w:r>
        <w:t xml:space="preserve">1 &lt; p &lt; 2 : loi composée Poisson-Gamma </w:t>
      </w:r>
    </w:p>
    <w:p w14:paraId="6328C3D1" w14:textId="7BC329A0" w:rsidR="00FB72CD" w:rsidRDefault="00FB72CD" w:rsidP="00154541">
      <w:pPr>
        <w:pStyle w:val="Sansinterligne"/>
        <w:numPr>
          <w:ilvl w:val="0"/>
          <w:numId w:val="30"/>
        </w:numPr>
        <w:spacing w:before="120"/>
      </w:pPr>
      <w:r>
        <w:t xml:space="preserve">2 &lt; p &lt; 3 ou p &gt; 3 : positive stable distributions </w:t>
      </w:r>
    </w:p>
    <w:p w14:paraId="4DF641BF" w14:textId="254A170B" w:rsidR="00FB72CD" w:rsidRDefault="00FB72CD" w:rsidP="00154541">
      <w:pPr>
        <w:pStyle w:val="Sansinterligne"/>
        <w:numPr>
          <w:ilvl w:val="0"/>
          <w:numId w:val="30"/>
        </w:numPr>
        <w:spacing w:before="120"/>
      </w:pPr>
      <w:proofErr w:type="gramStart"/>
      <w:r>
        <w:t>p</w:t>
      </w:r>
      <w:proofErr w:type="gramEnd"/>
      <w:r>
        <w:t xml:space="preserve"> = 2 : loi Gamma</w:t>
      </w:r>
    </w:p>
    <w:p w14:paraId="0AC4E0F6" w14:textId="0920E4CD" w:rsidR="00260AC0" w:rsidRDefault="00FB72CD" w:rsidP="00154541">
      <w:pPr>
        <w:pStyle w:val="Sansinterligne"/>
        <w:numPr>
          <w:ilvl w:val="0"/>
          <w:numId w:val="30"/>
        </w:numPr>
        <w:spacing w:before="120"/>
      </w:pPr>
      <w:proofErr w:type="gramStart"/>
      <w:r>
        <w:t>p</w:t>
      </w:r>
      <w:proofErr w:type="gramEnd"/>
      <w:r>
        <w:t xml:space="preserve"> = 3 : loi inverse gaussienne.</w:t>
      </w:r>
    </w:p>
    <w:p w14:paraId="3DF6EC0C" w14:textId="77777777" w:rsidR="00260AC0" w:rsidRDefault="00260AC0" w:rsidP="00260AC0">
      <w:pPr>
        <w:pStyle w:val="Sansinterligne"/>
      </w:pPr>
    </w:p>
    <w:p w14:paraId="44CA686B" w14:textId="77777777" w:rsidR="00260AC0" w:rsidRDefault="00260AC0">
      <w:pPr>
        <w:rPr>
          <w:rFonts w:asciiTheme="majorHAnsi" w:eastAsiaTheme="majorEastAsia" w:hAnsiTheme="majorHAnsi" w:cstheme="majorBidi"/>
          <w:color w:val="2F5496" w:themeColor="accent1" w:themeShade="BF"/>
          <w:sz w:val="26"/>
          <w:szCs w:val="26"/>
        </w:rPr>
      </w:pPr>
      <w:r>
        <w:br w:type="page"/>
      </w:r>
    </w:p>
    <w:p w14:paraId="2414A578" w14:textId="77777777" w:rsidR="00260AC0" w:rsidRDefault="00260AC0" w:rsidP="00260AC0">
      <w:pPr>
        <w:pStyle w:val="Titre2"/>
      </w:pPr>
      <w:bookmarkStart w:id="51" w:name="_Toc112955523"/>
      <w:r>
        <w:lastRenderedPageBreak/>
        <w:t>Validation d’un modèle GLM :</w:t>
      </w:r>
      <w:bookmarkEnd w:id="51"/>
    </w:p>
    <w:p w14:paraId="471CA2D7" w14:textId="77777777" w:rsidR="00260AC0" w:rsidRPr="00D11D1D" w:rsidRDefault="00260AC0" w:rsidP="00260AC0"/>
    <w:p w14:paraId="309FFF6D" w14:textId="77777777" w:rsidR="00260AC0" w:rsidRDefault="00260AC0" w:rsidP="00260AC0">
      <w:pPr>
        <w:pStyle w:val="Sansinterligne"/>
      </w:pPr>
      <w:r>
        <w:t>Pour valider le modèle linéaire généralisé étudié, il existe les différentes méthodes suivantes :</w:t>
      </w:r>
    </w:p>
    <w:p w14:paraId="0516D2F7" w14:textId="77777777" w:rsidR="00260AC0" w:rsidRDefault="00260AC0" w:rsidP="00260AC0">
      <w:pPr>
        <w:pStyle w:val="Sansinterligne"/>
      </w:pPr>
    </w:p>
    <w:p w14:paraId="57A80374" w14:textId="77777777" w:rsidR="00260AC0" w:rsidRDefault="00260AC0" w:rsidP="00260AC0">
      <w:pPr>
        <w:pStyle w:val="Titre3"/>
      </w:pPr>
      <w:bookmarkStart w:id="52" w:name="_Toc112955524"/>
      <w:r>
        <w:t>Validation croisée (k-</w:t>
      </w:r>
      <w:proofErr w:type="spellStart"/>
      <w:r>
        <w:t>fold</w:t>
      </w:r>
      <w:proofErr w:type="spellEnd"/>
      <w:r>
        <w:t>)</w:t>
      </w:r>
      <w:bookmarkEnd w:id="52"/>
      <w:r>
        <w:t xml:space="preserve">  </w:t>
      </w:r>
    </w:p>
    <w:p w14:paraId="63995C0B" w14:textId="77777777" w:rsidR="00260AC0" w:rsidRDefault="00260AC0" w:rsidP="00260AC0">
      <w:pPr>
        <w:pStyle w:val="Sansinterligne"/>
        <w:spacing w:before="360"/>
      </w:pPr>
      <w:r>
        <w:t>Le découpage de l’échantillon en apprentissage et en validation induit une perte d’un certain volume de données pour calculer les estimateurs mais permet de calculer les erreurs moyenne de l’estimateur, cette segmentation de l’échantillon se fait via les étapes suivantes :</w:t>
      </w:r>
    </w:p>
    <w:p w14:paraId="0D6D0936" w14:textId="77777777" w:rsidR="00260AC0" w:rsidRDefault="00260AC0" w:rsidP="00154541">
      <w:pPr>
        <w:pStyle w:val="Sansinterligne"/>
        <w:numPr>
          <w:ilvl w:val="0"/>
          <w:numId w:val="28"/>
        </w:numPr>
        <w:spacing w:before="120"/>
        <w:ind w:left="1210"/>
        <w:jc w:val="both"/>
      </w:pPr>
      <w:r>
        <w:t>On coupe aléatoirement l’échantillon de données en k sous-échantillons de taille égale</w:t>
      </w:r>
    </w:p>
    <w:p w14:paraId="2B070FB8" w14:textId="77777777" w:rsidR="00260AC0" w:rsidRDefault="00260AC0" w:rsidP="00154541">
      <w:pPr>
        <w:pStyle w:val="Sansinterligne"/>
        <w:numPr>
          <w:ilvl w:val="0"/>
          <w:numId w:val="28"/>
        </w:numPr>
        <w:spacing w:before="120"/>
        <w:ind w:left="1210"/>
        <w:jc w:val="both"/>
      </w:pPr>
      <w:r>
        <w:t>On sélectionne un échantillon de validation et k-1 échantillon d’apprentissage</w:t>
      </w:r>
    </w:p>
    <w:p w14:paraId="48F2DB09" w14:textId="77777777" w:rsidR="00260AC0" w:rsidRDefault="00260AC0" w:rsidP="00154541">
      <w:pPr>
        <w:pStyle w:val="Sansinterligne"/>
        <w:numPr>
          <w:ilvl w:val="0"/>
          <w:numId w:val="28"/>
        </w:numPr>
        <w:spacing w:before="120"/>
        <w:ind w:left="1210"/>
        <w:jc w:val="both"/>
      </w:pPr>
      <w:r>
        <w:t>On fait tourner k fois les étapes précédentes pour que chaque sous-échantillon ait été utilisé une fois en validation</w:t>
      </w:r>
    </w:p>
    <w:p w14:paraId="27C9D644" w14:textId="77777777" w:rsidR="00260AC0" w:rsidRDefault="00260AC0" w:rsidP="00154541">
      <w:pPr>
        <w:pStyle w:val="Sansinterligne"/>
        <w:numPr>
          <w:ilvl w:val="0"/>
          <w:numId w:val="28"/>
        </w:numPr>
        <w:spacing w:before="120"/>
        <w:ind w:left="1210"/>
        <w:jc w:val="both"/>
      </w:pPr>
      <w:r>
        <w:t>On calcule la moyenne sur les k estimation pour obtenir l’estimateur final</w:t>
      </w:r>
    </w:p>
    <w:p w14:paraId="052DBB0F" w14:textId="77777777" w:rsidR="00260AC0" w:rsidRDefault="00260AC0" w:rsidP="00154541">
      <w:pPr>
        <w:pStyle w:val="Sansinterligne"/>
        <w:numPr>
          <w:ilvl w:val="0"/>
          <w:numId w:val="28"/>
        </w:numPr>
        <w:spacing w:before="120"/>
        <w:ind w:left="1210"/>
        <w:jc w:val="both"/>
      </w:pPr>
      <w:r>
        <w:t>On calcule l’erreur moyenne sur les échantillons de validation</w:t>
      </w:r>
    </w:p>
    <w:p w14:paraId="466DE572" w14:textId="77777777" w:rsidR="00260AC0" w:rsidRDefault="00260AC0" w:rsidP="00260AC0">
      <w:pPr>
        <w:pStyle w:val="Sansinterligne"/>
        <w:spacing w:before="120"/>
      </w:pPr>
    </w:p>
    <w:p w14:paraId="01082CB2" w14:textId="77777777" w:rsidR="00260AC0" w:rsidRDefault="00260AC0" w:rsidP="00260AC0">
      <w:pPr>
        <w:pStyle w:val="Sansinterligne"/>
        <w:spacing w:before="120"/>
      </w:pPr>
    </w:p>
    <w:p w14:paraId="0939AAF4" w14:textId="77777777" w:rsidR="009C014E" w:rsidRDefault="00260AC0" w:rsidP="009C014E">
      <w:pPr>
        <w:keepNext/>
        <w:jc w:val="center"/>
      </w:pPr>
      <w:r>
        <w:rPr>
          <w:noProof/>
        </w:rPr>
        <w:drawing>
          <wp:inline distT="0" distB="0" distL="0" distR="0" wp14:anchorId="39034AF2" wp14:editId="2C2686ED">
            <wp:extent cx="5760720" cy="3048000"/>
            <wp:effectExtent l="152400" t="152400" r="354330" b="3619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8693"/>
                    <a:stretch/>
                  </pic:blipFill>
                  <pic:spPr bwMode="auto">
                    <a:xfrm>
                      <a:off x="0" y="0"/>
                      <a:ext cx="5760720" cy="3048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46009DE" w14:textId="30C76B2A" w:rsidR="009C014E" w:rsidRDefault="009C014E" w:rsidP="009C014E">
      <w:pPr>
        <w:pStyle w:val="Lgende"/>
        <w:jc w:val="center"/>
      </w:pPr>
      <w:r>
        <w:t xml:space="preserve">Figure </w:t>
      </w:r>
      <w:r w:rsidR="00423160">
        <w:fldChar w:fldCharType="begin"/>
      </w:r>
      <w:r w:rsidR="00423160">
        <w:instrText xml:space="preserve"> SEQ Figure \* ARABIC </w:instrText>
      </w:r>
      <w:r w:rsidR="00423160">
        <w:fldChar w:fldCharType="separate"/>
      </w:r>
      <w:r w:rsidR="00D2767C">
        <w:rPr>
          <w:noProof/>
        </w:rPr>
        <w:t>9</w:t>
      </w:r>
      <w:r w:rsidR="00423160">
        <w:rPr>
          <w:noProof/>
        </w:rPr>
        <w:fldChar w:fldCharType="end"/>
      </w:r>
      <w:r>
        <w:t xml:space="preserve"> : Exemple illustré d'une validation croisée (4-fold)</w:t>
      </w:r>
    </w:p>
    <w:p w14:paraId="31A759D1" w14:textId="5611F039" w:rsidR="00260AC0" w:rsidRDefault="00260AC0" w:rsidP="00260AC0">
      <w:pPr>
        <w:jc w:val="center"/>
        <w:rPr>
          <w:rFonts w:asciiTheme="majorHAnsi" w:eastAsiaTheme="majorEastAsia" w:hAnsiTheme="majorHAnsi" w:cstheme="majorBidi"/>
          <w:color w:val="1F3763" w:themeColor="accent1" w:themeShade="7F"/>
          <w:sz w:val="24"/>
          <w:szCs w:val="24"/>
        </w:rPr>
      </w:pPr>
      <w:r>
        <w:br w:type="page"/>
      </w:r>
    </w:p>
    <w:p w14:paraId="7C2D86C2" w14:textId="77777777" w:rsidR="00260AC0" w:rsidRDefault="00260AC0" w:rsidP="00260AC0">
      <w:pPr>
        <w:pStyle w:val="Titre3"/>
      </w:pPr>
      <w:bookmarkStart w:id="53" w:name="_Toc112955525"/>
      <w:r>
        <w:lastRenderedPageBreak/>
        <w:t>Validation de la significativité globale du modèle</w:t>
      </w:r>
      <w:bookmarkEnd w:id="53"/>
    </w:p>
    <w:p w14:paraId="7997B207" w14:textId="77777777" w:rsidR="00260AC0" w:rsidRPr="00D11D1D" w:rsidRDefault="00260AC0" w:rsidP="00260AC0"/>
    <w:p w14:paraId="0804AE29" w14:textId="630BE541" w:rsidR="003C4FA0" w:rsidRDefault="003C4FA0" w:rsidP="003C4FA0">
      <w:r>
        <w:t>Pour valider la significativité globale du modèle, il est judicieux de travailler avec des critères de qualité d’ajustement du modèle comme la déviance ou la statistique de Pearson que nous définissons ci-dessous :</w:t>
      </w:r>
    </w:p>
    <w:p w14:paraId="5A66CDD9" w14:textId="7F017A18" w:rsidR="003C4FA0" w:rsidRDefault="003C4FA0" w:rsidP="00154541">
      <w:pPr>
        <w:pStyle w:val="Paragraphedeliste"/>
        <w:numPr>
          <w:ilvl w:val="0"/>
          <w:numId w:val="34"/>
        </w:numPr>
      </w:pPr>
      <w:r>
        <w:t>La déviance :</w:t>
      </w:r>
    </w:p>
    <w:p w14:paraId="76B5DC15" w14:textId="6725D1D2" w:rsidR="003C4FA0" w:rsidRDefault="003C4FA0" w:rsidP="003C4FA0">
      <w:r>
        <w:t xml:space="preserve">Pour définir la déviance du modèle, nous </w:t>
      </w:r>
      <w:r w:rsidR="00D73F95">
        <w:t>introduisons</w:t>
      </w:r>
      <w:r>
        <w:t xml:space="preserve"> la notion de modèle saturé qui est le modèle qui possède autant de paramètres que d’observations. Il est caractérisé par l’égalité entre les facteurs estimés et les observations, c’est-à-dire : </w:t>
      </w:r>
      <m:oMath>
        <m:sSub>
          <m:sSubPr>
            <m:ctrlPr>
              <w:rPr>
                <w:rFonts w:ascii="Cambria Math" w:hAnsi="Cambria Math"/>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t>. Puis nous comparerons ce modèle avec le modèle d’é</w:t>
      </w:r>
      <w:proofErr w:type="spellStart"/>
      <w:r>
        <w:t>tude</w:t>
      </w:r>
      <w:proofErr w:type="spellEnd"/>
      <w:r>
        <w:t xml:space="preserve"> pour calculer la déviance.</w:t>
      </w:r>
    </w:p>
    <w:p w14:paraId="534D2167" w14:textId="2B8B13CA" w:rsidR="003C4FA0" w:rsidRDefault="003C4FA0" w:rsidP="003C4FA0">
      <w:r>
        <w:t>Il faut aussi introduire la log-</w:t>
      </w:r>
      <w:r w:rsidR="00D73F95">
        <w:t>vraisemblance</w:t>
      </w:r>
      <w:r>
        <w:t xml:space="preserve"> pour calculer la déviance :</w:t>
      </w:r>
    </w:p>
    <w:p w14:paraId="6CC45DC8" w14:textId="755F7C80" w:rsidR="003C4FA0" w:rsidRDefault="00D73F95" w:rsidP="003C4FA0">
      <w:r>
        <w:t>Soit Y = (Y</w:t>
      </w:r>
      <w:proofErr w:type="gramStart"/>
      <w:r w:rsidRPr="00D73F95">
        <w:rPr>
          <w:vertAlign w:val="subscript"/>
        </w:rPr>
        <w:t>1</w:t>
      </w:r>
      <w:r>
        <w:t>,  . . .</w:t>
      </w:r>
      <w:proofErr w:type="gramEnd"/>
      <w:r>
        <w:t xml:space="preserve">,  </w:t>
      </w:r>
      <w:proofErr w:type="spellStart"/>
      <w:r>
        <w:t>Y</w:t>
      </w:r>
      <w:r w:rsidRPr="00D73F95">
        <w:rPr>
          <w:vertAlign w:val="subscript"/>
        </w:rPr>
        <w:t>n</w:t>
      </w:r>
      <w:proofErr w:type="spellEnd"/>
      <w:r>
        <w:t>) le vecteur à expliquer (appartenant à la famille exponentielle) dont la densité s’écrit sous la forme :</w:t>
      </w:r>
    </w:p>
    <w:p w14:paraId="76F6CDCA" w14:textId="77777777" w:rsidR="00D73F95" w:rsidRPr="000D7F95" w:rsidRDefault="00D73F95" w:rsidP="00D73F95">
      <w:pPr>
        <w:ind w:left="360"/>
        <w:rPr>
          <w:rFonts w:eastAsiaTheme="minorEastAsia"/>
          <w:sz w:val="20"/>
          <w:szCs w:val="20"/>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sz w:val="20"/>
                  <w:szCs w:val="20"/>
                </w:rPr>
                <m:t>θ, ϕ</m:t>
              </m:r>
              <m:ctrlPr>
                <w:rPr>
                  <w:rFonts w:ascii="Cambria Math" w:hAnsi="Cambria Math"/>
                  <w:sz w:val="20"/>
                  <w:szCs w:val="20"/>
                </w:rPr>
              </m:ctrlPr>
            </m:e>
          </m:d>
          <m:r>
            <m:rPr>
              <m:sty m:val="p"/>
            </m:rPr>
            <w:rPr>
              <w:rFonts w:ascii="Cambria Math" w:hAnsi="Cambria Math"/>
              <w:sz w:val="20"/>
              <w:szCs w:val="20"/>
            </w:rPr>
            <m:t>=exp⁡(</m:t>
          </m:r>
          <m:f>
            <m:fPr>
              <m:ctrlPr>
                <w:rPr>
                  <w:rFonts w:ascii="Cambria Math" w:hAnsi="Cambria Math"/>
                  <w:sz w:val="20"/>
                  <w:szCs w:val="20"/>
                </w:rPr>
              </m:ctrlPr>
            </m:fPr>
            <m:num>
              <m:r>
                <w:rPr>
                  <w:rFonts w:ascii="Cambria Math" w:hAnsi="Cambria Math"/>
                  <w:sz w:val="20"/>
                  <w:szCs w:val="20"/>
                </w:rPr>
                <m:t>y</m:t>
              </m:r>
              <m:r>
                <m:rPr>
                  <m:sty m:val="p"/>
                </m:rPr>
                <w:rPr>
                  <w:rFonts w:ascii="Cambria Math" w:hAnsi="Cambria Math"/>
                  <w:sz w:val="20"/>
                  <w:szCs w:val="20"/>
                </w:rPr>
                <m:t>θ-b</m:t>
              </m:r>
              <m:d>
                <m:dPr>
                  <m:ctrlPr>
                    <w:rPr>
                      <w:rFonts w:ascii="Cambria Math" w:hAnsi="Cambria Math"/>
                      <w:sz w:val="20"/>
                      <w:szCs w:val="20"/>
                    </w:rPr>
                  </m:ctrlPr>
                </m:dPr>
                <m:e>
                  <m:r>
                    <m:rPr>
                      <m:sty m:val="p"/>
                    </m:rPr>
                    <w:rPr>
                      <w:rFonts w:ascii="Cambria Math" w:hAnsi="Cambria Math"/>
                      <w:sz w:val="20"/>
                      <w:szCs w:val="20"/>
                    </w:rPr>
                    <m:t>θ</m:t>
                  </m:r>
                </m:e>
              </m:d>
            </m:num>
            <m:den>
              <m:r>
                <m:rPr>
                  <m:sty m:val="p"/>
                </m:rPr>
                <w:rPr>
                  <w:rFonts w:ascii="Cambria Math" w:hAnsi="Cambria Math"/>
                  <w:sz w:val="20"/>
                  <w:szCs w:val="20"/>
                </w:rPr>
                <m:t>ϕ</m:t>
              </m:r>
            </m:den>
          </m:f>
          <m:r>
            <m:rPr>
              <m:sty m:val="p"/>
            </m:rPr>
            <w:rPr>
              <w:rFonts w:ascii="Cambria Math" w:hAnsi="Cambria Math"/>
              <w:sz w:val="20"/>
              <w:szCs w:val="20"/>
            </w:rPr>
            <m:t>+c</m:t>
          </m:r>
          <m:d>
            <m:dPr>
              <m:ctrlPr>
                <w:rPr>
                  <w:rFonts w:ascii="Cambria Math" w:hAnsi="Cambria Math"/>
                  <w:sz w:val="20"/>
                  <w:szCs w:val="20"/>
                </w:rPr>
              </m:ctrlPr>
            </m:dPr>
            <m:e>
              <m:r>
                <m:rPr>
                  <m:sty m:val="p"/>
                </m:rPr>
                <w:rPr>
                  <w:rFonts w:ascii="Cambria Math" w:hAnsi="Cambria Math"/>
                  <w:sz w:val="20"/>
                  <w:szCs w:val="20"/>
                </w:rPr>
                <m:t>y,ϕ</m:t>
              </m:r>
            </m:e>
          </m:d>
          <m:r>
            <w:rPr>
              <w:rFonts w:ascii="Cambria Math" w:eastAsiaTheme="minorEastAsia" w:hAnsi="Cambria Math"/>
              <w:sz w:val="20"/>
              <w:szCs w:val="20"/>
            </w:rPr>
            <m:t>)</m:t>
          </m:r>
        </m:oMath>
      </m:oMathPara>
    </w:p>
    <w:p w14:paraId="549465CE" w14:textId="0D88D75B" w:rsidR="00D73F95" w:rsidRDefault="00D73F95" w:rsidP="003C4FA0">
      <w:r>
        <w:t>La log-vraisemblance de ce modèle s’</w:t>
      </w:r>
      <w:r w:rsidR="00B51CF2">
        <w:t>écrit</w:t>
      </w:r>
      <w:r>
        <w:t> :</w:t>
      </w:r>
    </w:p>
    <w:p w14:paraId="4BD7B7A1" w14:textId="39ACE059" w:rsidR="00D73F95" w:rsidRPr="00D73F95" w:rsidRDefault="00D73F95" w:rsidP="00D73F95">
      <w:pPr>
        <w:ind w:left="360"/>
        <w:rPr>
          <w:rFonts w:eastAsiaTheme="minorEastAsia"/>
          <w:sz w:val="20"/>
          <w:szCs w:val="20"/>
        </w:rPr>
      </w:pPr>
      <m:oMathPara>
        <m:oMath>
          <m:r>
            <w:rPr>
              <w:rFonts w:ascii="Cambria Math" w:hAnsi="Cambria Math"/>
            </w:rPr>
            <m:t>l</m:t>
          </m:r>
          <m:d>
            <m:dPr>
              <m:ctrlPr>
                <w:rPr>
                  <w:rFonts w:ascii="Cambria Math" w:hAnsi="Cambria Math"/>
                  <w:i/>
                </w:rPr>
              </m:ctrlPr>
            </m:dPr>
            <m:e>
              <m:r>
                <w:rPr>
                  <w:rFonts w:ascii="Cambria Math" w:hAnsi="Cambria Math"/>
                </w:rPr>
                <m:t>y,</m:t>
              </m:r>
              <m:r>
                <m:rPr>
                  <m:sty m:val="p"/>
                </m:rPr>
                <w:rPr>
                  <w:rFonts w:ascii="Cambria Math" w:hAnsi="Cambria Math"/>
                  <w:sz w:val="20"/>
                  <w:szCs w:val="20"/>
                </w:rPr>
                <m:t>θ, ϕ</m:t>
              </m:r>
              <m:ctrlPr>
                <w:rPr>
                  <w:rFonts w:ascii="Cambria Math" w:hAnsi="Cambria Math"/>
                  <w:sz w:val="20"/>
                  <w:szCs w:val="20"/>
                </w:rPr>
              </m:ctrlPr>
            </m:e>
          </m:d>
          <m:r>
            <m:rPr>
              <m:sty m:val="p"/>
            </m:rP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r>
                <m:rPr>
                  <m:sty m:val="p"/>
                </m:rPr>
                <w:rPr>
                  <w:rFonts w:ascii="Cambria Math" w:hAnsi="Cambria Math"/>
                  <w:sz w:val="20"/>
                  <w:szCs w:val="20"/>
                </w:rPr>
                <m:t>ln⁡</m:t>
              </m:r>
              <m:r>
                <w:rPr>
                  <w:rFonts w:ascii="Cambria Math" w:hAnsi="Cambria Math"/>
                  <w:sz w:val="20"/>
                  <w:szCs w:val="20"/>
                </w:rPr>
                <m:t>(</m:t>
              </m:r>
            </m:e>
          </m:nary>
          <m:r>
            <w:rPr>
              <w:rFonts w:ascii="Cambria Math" w:hAnsi="Cambria Math"/>
            </w:rPr>
            <m:t>f</m:t>
          </m:r>
          <m:d>
            <m:dPr>
              <m:ctrlPr>
                <w:rPr>
                  <w:rFonts w:ascii="Cambria Math" w:hAnsi="Cambria Math"/>
                  <w:i/>
                </w:rPr>
              </m:ctrlPr>
            </m:dPr>
            <m:e>
              <m:sSub>
                <m:sSubPr>
                  <m:ctrlPr>
                    <w:rPr>
                      <w:rFonts w:ascii="Cambria Math" w:hAnsi="Cambria Math"/>
                      <w:sz w:val="20"/>
                      <w:szCs w:val="20"/>
                    </w:rPr>
                  </m:ctrlPr>
                </m:sSubPr>
                <m:e>
                  <m:r>
                    <m:rPr>
                      <m:sty m:val="p"/>
                    </m:rPr>
                    <w:rPr>
                      <w:rFonts w:ascii="Cambria Math" w:hAnsi="Cambria Math"/>
                      <w:sz w:val="20"/>
                      <w:szCs w:val="20"/>
                    </w:rPr>
                    <m:t>y</m:t>
                  </m:r>
                </m:e>
                <m:sub>
                  <m:r>
                    <w:rPr>
                      <w:rFonts w:ascii="Cambria Math" w:hAnsi="Cambria Math"/>
                      <w:sz w:val="20"/>
                      <w:szCs w:val="20"/>
                    </w:rPr>
                    <m:t>i</m:t>
                  </m:r>
                </m:sub>
              </m:sSub>
            </m:e>
            <m:e>
              <m:sSub>
                <m:sSubPr>
                  <m:ctrlPr>
                    <w:rPr>
                      <w:rFonts w:ascii="Cambria Math" w:hAnsi="Cambria Math"/>
                      <w:sz w:val="20"/>
                      <w:szCs w:val="20"/>
                    </w:rPr>
                  </m:ctrlPr>
                </m:sSubPr>
                <m:e>
                  <m:r>
                    <m:rPr>
                      <m:sty m:val="p"/>
                    </m:rPr>
                    <w:rPr>
                      <w:rFonts w:ascii="Cambria Math" w:hAnsi="Cambria Math"/>
                      <w:sz w:val="20"/>
                      <w:szCs w:val="20"/>
                    </w:rPr>
                    <m:t>θ</m:t>
                  </m:r>
                </m:e>
                <m:sub>
                  <m:r>
                    <w:rPr>
                      <w:rFonts w:ascii="Cambria Math" w:hAnsi="Cambria Math"/>
                      <w:sz w:val="20"/>
                      <w:szCs w:val="20"/>
                    </w:rPr>
                    <m:t>i</m:t>
                  </m:r>
                </m:sub>
              </m:sSub>
              <m:r>
                <m:rPr>
                  <m:sty m:val="p"/>
                </m:rPr>
                <w:rPr>
                  <w:rFonts w:ascii="Cambria Math" w:hAnsi="Cambria Math"/>
                  <w:sz w:val="20"/>
                  <w:szCs w:val="20"/>
                </w:rPr>
                <m:t>, ϕ</m:t>
              </m:r>
              <m:ctrlPr>
                <w:rPr>
                  <w:rFonts w:ascii="Cambria Math" w:hAnsi="Cambria Math"/>
                  <w:sz w:val="20"/>
                  <w:szCs w:val="20"/>
                </w:rPr>
              </m:ctrlPr>
            </m:e>
          </m:d>
          <m:r>
            <w:rPr>
              <w:rFonts w:ascii="Cambria Math" w:hAnsi="Cambria Math"/>
              <w:sz w:val="20"/>
              <w:szCs w:val="20"/>
            </w:rPr>
            <m:t>)</m:t>
          </m:r>
        </m:oMath>
      </m:oMathPara>
    </w:p>
    <w:p w14:paraId="5F9CC647" w14:textId="54AF12D1" w:rsidR="00D73F95" w:rsidRPr="000D7F95" w:rsidRDefault="00D73F95" w:rsidP="00D73F95">
      <w:pPr>
        <w:ind w:left="360"/>
        <w:rPr>
          <w:rFonts w:eastAsiaTheme="minorEastAsia"/>
          <w:sz w:val="20"/>
          <w:szCs w:val="20"/>
        </w:rPr>
      </w:pPr>
      <m:oMathPara>
        <m:oMath>
          <m:r>
            <m:rPr>
              <m:sty m:val="p"/>
            </m:rPr>
            <w:rPr>
              <w:rFonts w:ascii="Cambria Math" w:hAnsi="Cambria Math"/>
              <w:sz w:val="20"/>
              <w:szCs w:val="20"/>
            </w:rPr>
            <m:t xml:space="preserve">                                         =</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y</m:t>
                      </m:r>
                    </m:e>
                    <m:sub>
                      <m:r>
                        <w:rPr>
                          <w:rFonts w:ascii="Cambria Math" w:hAnsi="Cambria Math"/>
                          <w:sz w:val="20"/>
                          <w:szCs w:val="20"/>
                        </w:rPr>
                        <m:t>i</m:t>
                      </m:r>
                    </m:sub>
                  </m:sSub>
                  <m:sSub>
                    <m:sSubPr>
                      <m:ctrlPr>
                        <w:rPr>
                          <w:rFonts w:ascii="Cambria Math" w:hAnsi="Cambria Math"/>
                          <w:sz w:val="20"/>
                          <w:szCs w:val="20"/>
                        </w:rPr>
                      </m:ctrlPr>
                    </m:sSubPr>
                    <m:e>
                      <m:r>
                        <m:rPr>
                          <m:sty m:val="p"/>
                        </m:rPr>
                        <w:rPr>
                          <w:rFonts w:ascii="Cambria Math" w:hAnsi="Cambria Math"/>
                          <w:sz w:val="20"/>
                          <w:szCs w:val="20"/>
                        </w:rPr>
                        <m:t>θ</m:t>
                      </m:r>
                    </m:e>
                    <m:sub>
                      <m:r>
                        <w:rPr>
                          <w:rFonts w:ascii="Cambria Math" w:hAnsi="Cambria Math"/>
                          <w:sz w:val="20"/>
                          <w:szCs w:val="20"/>
                        </w:rPr>
                        <m:t>i</m:t>
                      </m:r>
                    </m:sub>
                  </m:sSub>
                  <m:r>
                    <m:rPr>
                      <m:sty m:val="p"/>
                    </m:rPr>
                    <w:rPr>
                      <w:rFonts w:ascii="Cambria Math" w:hAnsi="Cambria Math"/>
                      <w:sz w:val="20"/>
                      <w:szCs w:val="20"/>
                    </w:rPr>
                    <m:t>-b</m:t>
                  </m:r>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θ</m:t>
                          </m:r>
                        </m:e>
                        <m:sub>
                          <m:r>
                            <w:rPr>
                              <w:rFonts w:ascii="Cambria Math" w:hAnsi="Cambria Math"/>
                              <w:sz w:val="20"/>
                              <w:szCs w:val="20"/>
                            </w:rPr>
                            <m:t>i</m:t>
                          </m:r>
                        </m:sub>
                      </m:sSub>
                    </m:e>
                  </m:d>
                </m:num>
                <m:den>
                  <m:r>
                    <m:rPr>
                      <m:sty m:val="p"/>
                    </m:rPr>
                    <w:rPr>
                      <w:rFonts w:ascii="Cambria Math" w:hAnsi="Cambria Math"/>
                      <w:sz w:val="20"/>
                      <w:szCs w:val="20"/>
                    </w:rPr>
                    <m:t>ϕ</m:t>
                  </m:r>
                </m:den>
              </m:f>
            </m:e>
          </m:nary>
          <m:r>
            <m:rPr>
              <m:sty m:val="p"/>
            </m:rP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sz w:val="20"/>
                      <w:szCs w:val="20"/>
                    </w:rPr>
                  </m:ctrlPr>
                </m:sSubPr>
                <m:e>
                  <m:r>
                    <m:rPr>
                      <m:sty m:val="p"/>
                    </m:rPr>
                    <w:rPr>
                      <w:rFonts w:ascii="Cambria Math" w:hAnsi="Cambria Math"/>
                      <w:sz w:val="20"/>
                      <w:szCs w:val="20"/>
                    </w:rPr>
                    <m:t>c</m:t>
                  </m:r>
                </m:e>
                <m:sub>
                  <m:r>
                    <w:rPr>
                      <w:rFonts w:ascii="Cambria Math" w:hAnsi="Cambria Math"/>
                      <w:sz w:val="20"/>
                      <w:szCs w:val="20"/>
                    </w:rPr>
                    <m:t>i</m:t>
                  </m:r>
                </m:sub>
              </m:sSub>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y</m:t>
                      </m:r>
                    </m:e>
                    <m:sub>
                      <m:r>
                        <w:rPr>
                          <w:rFonts w:ascii="Cambria Math" w:hAnsi="Cambria Math"/>
                          <w:sz w:val="20"/>
                          <w:szCs w:val="20"/>
                        </w:rPr>
                        <m:t>i</m:t>
                      </m:r>
                    </m:sub>
                  </m:sSub>
                  <m:r>
                    <m:rPr>
                      <m:sty m:val="p"/>
                    </m:rPr>
                    <w:rPr>
                      <w:rFonts w:ascii="Cambria Math" w:hAnsi="Cambria Math"/>
                      <w:sz w:val="20"/>
                      <w:szCs w:val="20"/>
                    </w:rPr>
                    <m:t>,ϕ</m:t>
                  </m:r>
                </m:e>
              </m:d>
            </m:e>
          </m:nary>
        </m:oMath>
      </m:oMathPara>
    </w:p>
    <w:p w14:paraId="4666FEE8" w14:textId="0C17F7B2" w:rsidR="00D73F95" w:rsidRDefault="00DC7CBA" w:rsidP="003C4FA0">
      <w:r>
        <w:t>N</w:t>
      </w:r>
      <w:r w:rsidR="00D73F95">
        <w:t>ous utiliserons comme mesure de la qualité d’ajustement du modèle la statistique du rapport de vraisemblance suivante :</w:t>
      </w:r>
    </w:p>
    <w:p w14:paraId="5A05E52E" w14:textId="70256232" w:rsidR="00D73F95" w:rsidRPr="00D73F95" w:rsidRDefault="00D73F95" w:rsidP="00552EF3">
      <w:pPr>
        <w:jc w:val="center"/>
        <w:rPr>
          <w:rFonts w:eastAsiaTheme="minorEastAsia"/>
        </w:rPr>
      </w:pPr>
      <m:oMath>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SAT</m:t>
                </m:r>
              </m:sub>
            </m:sSub>
          </m:num>
          <m:den>
            <m:r>
              <w:rPr>
                <w:rFonts w:ascii="Cambria Math" w:hAnsi="Cambria Math"/>
              </w:rPr>
              <m:t>L</m:t>
            </m:r>
          </m:den>
        </m:f>
      </m:oMath>
      <w:r>
        <w:rPr>
          <w:rFonts w:eastAsiaTheme="minorEastAsia"/>
        </w:rPr>
        <w:t xml:space="preserve"> </w:t>
      </w:r>
      <w:r w:rsidR="00552EF3">
        <w:rPr>
          <w:rFonts w:eastAsiaTheme="minorEastAsia"/>
        </w:rPr>
        <w:tab/>
      </w:r>
      <w:proofErr w:type="gramStart"/>
      <w:r>
        <w:rPr>
          <w:rFonts w:eastAsiaTheme="minorEastAsia"/>
        </w:rPr>
        <w:t>ou</w:t>
      </w:r>
      <w:proofErr w:type="gramEnd"/>
      <w:r>
        <w:rPr>
          <w:rFonts w:eastAsiaTheme="minorEastAsia"/>
        </w:rPr>
        <w:t xml:space="preserve"> </w:t>
      </w:r>
      <w:r w:rsidR="00552EF3">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hAnsi="Cambria Math"/>
                  </w:rPr>
                  <m:t>λ</m:t>
                </m:r>
                <m:ctrlPr>
                  <w:rPr>
                    <w:rFonts w:ascii="Cambria Math" w:hAnsi="Cambria Math"/>
                    <w:i/>
                  </w:rPr>
                </m:ctrlP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SAT</m:t>
                    </m:r>
                  </m:sub>
                </m:sSub>
              </m:e>
            </m:d>
          </m:e>
        </m:func>
        <m:r>
          <w:rPr>
            <w:rFonts w:ascii="Cambria Math" w:hAnsi="Cambria Math"/>
          </w:rPr>
          <m:t>-</m:t>
        </m:r>
        <m:r>
          <m:rPr>
            <m:sty m:val="p"/>
          </m:rPr>
          <w:rPr>
            <w:rFonts w:ascii="Cambria Math" w:hAnsi="Cambria Math"/>
          </w:rPr>
          <m:t>ln⁡</m:t>
        </m:r>
        <m:r>
          <w:rPr>
            <w:rFonts w:ascii="Cambria Math" w:hAnsi="Cambria Math"/>
          </w:rPr>
          <m:t>(L)</m:t>
        </m:r>
      </m:oMath>
    </w:p>
    <w:p w14:paraId="494D8B71" w14:textId="4C415CD3" w:rsidR="00DC7CBA" w:rsidRDefault="00DC7CBA" w:rsidP="003C4FA0">
      <w:r>
        <w:t xml:space="preserve">Car le modèle décrit bien les données lorsque L ≃ </w:t>
      </w:r>
      <m:oMath>
        <m:sSub>
          <m:sSubPr>
            <m:ctrlPr>
              <w:rPr>
                <w:rFonts w:ascii="Cambria Math" w:hAnsi="Cambria Math"/>
                <w:i/>
              </w:rPr>
            </m:ctrlPr>
          </m:sSubPr>
          <m:e>
            <m:r>
              <w:rPr>
                <w:rFonts w:ascii="Cambria Math" w:hAnsi="Cambria Math"/>
              </w:rPr>
              <m:t>L</m:t>
            </m:r>
          </m:e>
          <m:sub>
            <m:r>
              <w:rPr>
                <w:rFonts w:ascii="Cambria Math" w:hAnsi="Cambria Math"/>
              </w:rPr>
              <m:t>SAT</m:t>
            </m:r>
          </m:sub>
        </m:sSub>
      </m:oMath>
      <w:r>
        <w:rPr>
          <w:rFonts w:eastAsiaTheme="minorEastAsia"/>
        </w:rPr>
        <w:t xml:space="preserve"> </w:t>
      </w:r>
    </w:p>
    <w:p w14:paraId="3B99CDBF" w14:textId="40CCB72F" w:rsidR="00D73F95" w:rsidRDefault="00DC7CBA" w:rsidP="003C4FA0">
      <w:r>
        <w:t>Enfin, on définit la statistique de déviance réduite ou normalisée de la façon suivante :</w:t>
      </w:r>
    </w:p>
    <w:p w14:paraId="089C7007" w14:textId="54552080" w:rsidR="00DC7CBA" w:rsidRPr="00DC7CBA" w:rsidRDefault="00DC7CBA" w:rsidP="003C4FA0">
      <w:pPr>
        <w:rPr>
          <w:rFonts w:eastAsiaTheme="minorEastAsia"/>
        </w:rPr>
      </w:pPr>
      <m:oMathPara>
        <m:oMath>
          <m:r>
            <w:rPr>
              <w:rFonts w:ascii="Cambria Math" w:hAnsi="Cambria Math"/>
            </w:rPr>
            <m:t>D=2</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hAnsi="Cambria Math"/>
                    </w:rPr>
                    <m:t>λ</m:t>
                  </m:r>
                  <m:ctrlPr>
                    <w:rPr>
                      <w:rFonts w:ascii="Cambria Math" w:hAnsi="Cambria Math"/>
                      <w:i/>
                    </w:rPr>
                  </m:ctrlPr>
                </m:e>
              </m:d>
            </m:e>
          </m:func>
          <m:r>
            <w:rPr>
              <w:rFonts w:ascii="Cambria Math" w:hAnsi="Cambria Math"/>
            </w:rPr>
            <m:t>=2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SAT</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L</m:t>
                      </m:r>
                    </m:e>
                  </m:d>
                </m:e>
              </m:func>
            </m:e>
          </m:d>
        </m:oMath>
      </m:oMathPara>
    </w:p>
    <w:p w14:paraId="60CCAC75" w14:textId="126800A9" w:rsidR="00DC7CBA" w:rsidRDefault="00DC7CBA" w:rsidP="003C4FA0">
      <w:pPr>
        <w:rPr>
          <w:rFonts w:eastAsiaTheme="minorEastAsia"/>
        </w:rPr>
      </w:pPr>
      <w:r>
        <w:rPr>
          <w:rFonts w:eastAsiaTheme="minorEastAsia"/>
        </w:rPr>
        <w:t>La déviance non réduite est :</w:t>
      </w:r>
    </w:p>
    <w:p w14:paraId="7C36045D" w14:textId="0DAF9ADE" w:rsidR="00DC7CBA" w:rsidRPr="00DC7CBA" w:rsidRDefault="00423160" w:rsidP="00DC7CBA">
      <w:pPr>
        <w:rPr>
          <w:rFonts w:eastAsiaTheme="minorEastAsia"/>
        </w:rPr>
      </w:pPr>
      <m:oMathPara>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r>
            <m:rPr>
              <m:sty m:val="p"/>
            </m:rPr>
            <w:rPr>
              <w:rFonts w:ascii="Cambria Math" w:hAnsi="Cambria Math"/>
              <w:sz w:val="20"/>
              <w:szCs w:val="20"/>
            </w:rPr>
            <m:t>ϕ</m:t>
          </m:r>
          <m:r>
            <w:rPr>
              <w:rFonts w:ascii="Cambria Math" w:hAnsi="Cambria Math"/>
            </w:rPr>
            <m:t>D</m:t>
          </m:r>
        </m:oMath>
      </m:oMathPara>
    </w:p>
    <w:p w14:paraId="3AEDFC88" w14:textId="3293EE9E" w:rsidR="00DC7CBA" w:rsidRPr="00DC7CBA" w:rsidRDefault="00E00527" w:rsidP="00E00527">
      <w:pPr>
        <w:spacing w:after="480"/>
        <w:rPr>
          <w:rFonts w:eastAsiaTheme="minorEastAsia"/>
        </w:rPr>
      </w:pPr>
      <w:r>
        <w:rPr>
          <w:rFonts w:eastAsiaTheme="minorEastAsia"/>
        </w:rPr>
        <w:t xml:space="preserve">De plus,  </w:t>
      </w:r>
      <m:oMath>
        <m:r>
          <w:rPr>
            <w:rFonts w:ascii="Cambria Math" w:hAnsi="Cambria Math"/>
          </w:rPr>
          <m:t xml:space="preserve">D ∼ </m:t>
        </m:r>
        <m:sSubSup>
          <m:sSubSupPr>
            <m:ctrlPr>
              <w:rPr>
                <w:rFonts w:ascii="Cambria Math" w:hAnsi="Cambria Math"/>
                <w:i/>
              </w:rPr>
            </m:ctrlPr>
          </m:sSubSupPr>
          <m:e>
            <m:r>
              <w:rPr>
                <w:rFonts w:ascii="Cambria Math" w:hAnsi="Cambria Math"/>
              </w:rPr>
              <m:t>χ</m:t>
            </m:r>
          </m:e>
          <m:sub>
            <m:r>
              <w:rPr>
                <w:rFonts w:ascii="Cambria Math" w:hAnsi="Cambria Math"/>
              </w:rPr>
              <m:t>n-p-1</m:t>
            </m:r>
          </m:sub>
          <m:sup>
            <m:r>
              <w:rPr>
                <w:rFonts w:ascii="Cambria Math" w:hAnsi="Cambria Math"/>
              </w:rPr>
              <m:t>2</m:t>
            </m:r>
          </m:sup>
        </m:sSubSup>
      </m:oMath>
      <w:r>
        <w:rPr>
          <w:rFonts w:eastAsiaTheme="minorEastAsia"/>
        </w:rPr>
        <w:t xml:space="preserve">, c’est-à-dire que le modèle est de mauvaise qualité si  </w:t>
      </w:r>
      <m:oMath>
        <m:sSub>
          <m:sSubPr>
            <m:ctrlPr>
              <w:rPr>
                <w:rFonts w:ascii="Cambria Math" w:hAnsi="Cambria Math"/>
                <w:i/>
              </w:rPr>
            </m:ctrlPr>
          </m:sSubPr>
          <m:e>
            <m:r>
              <w:rPr>
                <w:rFonts w:ascii="Cambria Math" w:hAnsi="Cambria Math"/>
              </w:rPr>
              <m:t>D</m:t>
            </m:r>
          </m:e>
          <m:sub>
            <m:r>
              <w:rPr>
                <w:rFonts w:ascii="Cambria Math" w:hAnsi="Cambria Math"/>
              </w:rPr>
              <m:t>obs</m:t>
            </m:r>
          </m:sub>
        </m:sSub>
        <m:r>
          <w:rPr>
            <w:rFonts w:ascii="Cambria Math" w:hAnsi="Cambria Math"/>
          </w:rPr>
          <m:t>&gt;</m:t>
        </m:r>
        <m:sSubSup>
          <m:sSubSupPr>
            <m:ctrlPr>
              <w:rPr>
                <w:rFonts w:ascii="Cambria Math" w:hAnsi="Cambria Math"/>
                <w:i/>
              </w:rPr>
            </m:ctrlPr>
          </m:sSubSupPr>
          <m:e>
            <m:r>
              <w:rPr>
                <w:rFonts w:ascii="Cambria Math" w:hAnsi="Cambria Math"/>
              </w:rPr>
              <m:t>χ</m:t>
            </m:r>
          </m:e>
          <m:sub>
            <m:r>
              <w:rPr>
                <w:rFonts w:ascii="Cambria Math" w:hAnsi="Cambria Math"/>
              </w:rPr>
              <m:t>n-p-1;1-α</m:t>
            </m:r>
          </m:sub>
          <m:sup>
            <m:r>
              <w:rPr>
                <w:rFonts w:ascii="Cambria Math" w:hAnsi="Cambria Math"/>
              </w:rPr>
              <m:t>2</m:t>
            </m:r>
          </m:sup>
        </m:sSubSup>
      </m:oMath>
    </w:p>
    <w:p w14:paraId="5DE39615" w14:textId="4EDA7FBF" w:rsidR="003C4FA0" w:rsidRDefault="003C4FA0" w:rsidP="00154541">
      <w:pPr>
        <w:pStyle w:val="Paragraphedeliste"/>
        <w:numPr>
          <w:ilvl w:val="0"/>
          <w:numId w:val="34"/>
        </w:numPr>
        <w:spacing w:before="120"/>
      </w:pPr>
      <w:r>
        <w:t>La statistique de Pearson :</w:t>
      </w:r>
    </w:p>
    <w:p w14:paraId="3A72771A" w14:textId="38043FC4" w:rsidR="003C4FA0" w:rsidRDefault="00DC7CBA" w:rsidP="003C4FA0">
      <w:pPr>
        <w:pStyle w:val="Sansinterligne"/>
      </w:pPr>
      <w:r>
        <w:t>La statistique du test de significativité globale de Pearson est définie de la façon suivante :</w:t>
      </w:r>
    </w:p>
    <w:p w14:paraId="160F22B7" w14:textId="1E2C3CA4" w:rsidR="00DC7CBA" w:rsidRPr="00E00527" w:rsidRDefault="00423160" w:rsidP="003C4FA0">
      <w:pPr>
        <w:pStyle w:val="Sansinterligne"/>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ϕ</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den>
              </m:f>
            </m:e>
          </m:nary>
        </m:oMath>
      </m:oMathPara>
    </w:p>
    <w:p w14:paraId="221F165A" w14:textId="132A983C" w:rsidR="00E00527" w:rsidRDefault="00E00527" w:rsidP="003C4FA0">
      <w:pPr>
        <w:pStyle w:val="Sansinterligne"/>
      </w:pPr>
    </w:p>
    <w:p w14:paraId="4B95AE34" w14:textId="4B5FB3C0" w:rsidR="00260AC0" w:rsidRPr="003C4FA0" w:rsidRDefault="00E00527" w:rsidP="000628FE">
      <w:pPr>
        <w:pStyle w:val="Sansinterligne"/>
      </w:pPr>
      <w:r>
        <w:t xml:space="preserve">Comme pour la Déviance, nous avons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&gt;</m:t>
        </m:r>
        <m:sSubSup>
          <m:sSubSupPr>
            <m:ctrlPr>
              <w:rPr>
                <w:rFonts w:ascii="Cambria Math" w:hAnsi="Cambria Math"/>
                <w:i/>
              </w:rPr>
            </m:ctrlPr>
          </m:sSubSupPr>
          <m:e>
            <m:r>
              <w:rPr>
                <w:rFonts w:ascii="Cambria Math" w:hAnsi="Cambria Math"/>
              </w:rPr>
              <m:t>χ</m:t>
            </m:r>
          </m:e>
          <m:sub>
            <m:r>
              <w:rPr>
                <w:rFonts w:ascii="Cambria Math" w:hAnsi="Cambria Math"/>
              </w:rPr>
              <m:t>n-p-1;1-α</m:t>
            </m:r>
          </m:sub>
          <m:sup>
            <m:r>
              <w:rPr>
                <w:rFonts w:ascii="Cambria Math" w:hAnsi="Cambria Math"/>
              </w:rPr>
              <m:t>2</m:t>
            </m:r>
          </m:sup>
        </m:sSubSup>
      </m:oMath>
      <w:r w:rsidR="00260AC0">
        <w:br w:type="page"/>
      </w:r>
    </w:p>
    <w:p w14:paraId="4848DDE0" w14:textId="77777777" w:rsidR="00260AC0" w:rsidRDefault="00260AC0" w:rsidP="00260AC0">
      <w:pPr>
        <w:pStyle w:val="Titre3"/>
      </w:pPr>
      <w:bookmarkStart w:id="54" w:name="_Toc112955526"/>
      <w:r>
        <w:lastRenderedPageBreak/>
        <w:t>Validation de la significativité individuelle des coefficients de la régression</w:t>
      </w:r>
      <w:bookmarkEnd w:id="54"/>
    </w:p>
    <w:p w14:paraId="2E74C42D" w14:textId="77777777" w:rsidR="00260AC0" w:rsidRPr="00D11D1D" w:rsidRDefault="00260AC0" w:rsidP="00260AC0"/>
    <w:p w14:paraId="070B04C5" w14:textId="5A56B10E" w:rsidR="009C014E" w:rsidRDefault="009C014E">
      <w:r>
        <w:t>Pour valider ou non le modèle en étudiant la significativité individuelle des coefficients de la régressions, nous pouvons utiliser des tests d’hypothèses sur les paramètres, pour cela nous introduirons l’hypothèse H</w:t>
      </w:r>
      <w:r>
        <w:rPr>
          <w:vertAlign w:val="subscript"/>
        </w:rPr>
        <w:t>0</w:t>
      </w:r>
      <w:r>
        <w:t xml:space="preserve"> de la façon suivante :</w:t>
      </w:r>
    </w:p>
    <w:p w14:paraId="51A51A6A" w14:textId="77777777" w:rsidR="00B031FB" w:rsidRDefault="00423160" w:rsidP="009C014E">
      <w:pPr>
        <w:jc w:val="center"/>
        <w:rPr>
          <w:rFonts w:eastAsiaTheme="minorEastAsia"/>
        </w:rPr>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vertAlign w:val="subscript"/>
                </w:rPr>
                <m:t>0</m:t>
              </m:r>
            </m:sub>
          </m:sSub>
          <m:r>
            <w:rPr>
              <w:rFonts w:ascii="Cambria Math" w:hAnsi="Cambria Math"/>
            </w:rPr>
            <m:t>:</m:t>
          </m:r>
          <m:r>
            <m:rPr>
              <m:sty m:val="bi"/>
            </m:rPr>
            <w:rPr>
              <w:rFonts w:ascii="Cambria Math" w:hAnsi="Cambria Math"/>
            </w:rPr>
            <m:t>C</m:t>
          </m:r>
          <m:r>
            <w:rPr>
              <w:rFonts w:ascii="Cambria Math" w:hAnsi="Cambria Math"/>
            </w:rPr>
            <m:t>β=</m:t>
          </m:r>
          <m:r>
            <w:rPr>
              <w:rFonts w:ascii="Cambria Math" w:eastAsiaTheme="minorEastAsia" w:hAnsi="Cambria Math"/>
            </w:rPr>
            <m:t>r</m:t>
          </m:r>
        </m:oMath>
      </m:oMathPara>
    </w:p>
    <w:p w14:paraId="2C64067F" w14:textId="783CB330" w:rsidR="008E18D4" w:rsidRDefault="00B031FB" w:rsidP="00B031FB">
      <w:pPr>
        <w:rPr>
          <w:rFonts w:eastAsiaTheme="minorEastAsia"/>
        </w:rPr>
      </w:pPr>
      <w:r>
        <w:rPr>
          <w:rFonts w:eastAsiaTheme="minorEastAsia"/>
        </w:rPr>
        <w:t xml:space="preserve">Avec : </w:t>
      </w:r>
      <w:r w:rsidRPr="00B031FB">
        <w:rPr>
          <w:rFonts w:eastAsiaTheme="minorEastAsia"/>
          <w:b/>
          <w:bCs/>
        </w:rPr>
        <w:t>C</w:t>
      </w:r>
      <w:r>
        <w:rPr>
          <w:rFonts w:eastAsiaTheme="minorEastAsia"/>
        </w:rPr>
        <w:t xml:space="preserve"> une matrice connue</w:t>
      </w:r>
      <w:r w:rsidR="00FC612F">
        <w:rPr>
          <w:rFonts w:eastAsiaTheme="minorEastAsia"/>
        </w:rPr>
        <w:t xml:space="preserve"> possédant q lignes</w:t>
      </w:r>
      <w:r>
        <w:rPr>
          <w:rFonts w:eastAsiaTheme="minorEastAsia"/>
        </w:rPr>
        <w:t xml:space="preserve"> et r un ensemble de valeurs testées.</w:t>
      </w:r>
    </w:p>
    <w:p w14:paraId="16C9BA48" w14:textId="49A52E5F" w:rsidR="008E18D4" w:rsidRDefault="008E18D4" w:rsidP="00B031FB">
      <w:pPr>
        <w:rPr>
          <w:rFonts w:eastAsiaTheme="minorEastAsia"/>
        </w:rPr>
      </w:pPr>
      <w:r>
        <w:rPr>
          <w:rFonts w:eastAsiaTheme="minorEastAsia"/>
        </w:rPr>
        <w:t>Ensuite nous pourrons considérer trois approches pour valider ou non cette hypothèse :</w:t>
      </w:r>
    </w:p>
    <w:p w14:paraId="60F0CF32" w14:textId="3234B783" w:rsidR="008E18D4" w:rsidRDefault="008E18D4" w:rsidP="008E18D4">
      <w:pPr>
        <w:pStyle w:val="Paragraphedeliste"/>
        <w:numPr>
          <w:ilvl w:val="0"/>
          <w:numId w:val="42"/>
        </w:numPr>
        <w:spacing w:before="360"/>
        <w:ind w:left="927"/>
        <w:rPr>
          <w:rFonts w:eastAsiaTheme="minorEastAsia"/>
        </w:rPr>
      </w:pPr>
      <w:r>
        <w:rPr>
          <w:rFonts w:eastAsiaTheme="minorEastAsia"/>
        </w:rPr>
        <w:t>Test du rapport de vraisemblance :</w:t>
      </w:r>
    </w:p>
    <w:p w14:paraId="2B70ED24" w14:textId="2B3A76BD" w:rsidR="008E18D4" w:rsidRDefault="008E18D4" w:rsidP="008E18D4">
      <w:pPr>
        <w:spacing w:before="120"/>
        <w:rPr>
          <w:rFonts w:eastAsiaTheme="minorEastAsia"/>
        </w:rPr>
      </w:pPr>
      <w:r>
        <w:rPr>
          <w:rFonts w:eastAsiaTheme="minorEastAsia"/>
        </w:rPr>
        <w:t xml:space="preserve">Nous avons défini le rapport de vraisemblance précédemment : </w:t>
      </w:r>
      <m:oMath>
        <m:r>
          <w:rPr>
            <w:rFonts w:ascii="Cambria Math" w:hAnsi="Cambria Math"/>
          </w:rPr>
          <m:t>λ</m:t>
        </m:r>
      </m:oMath>
      <w:r>
        <w:rPr>
          <w:rFonts w:eastAsiaTheme="minorEastAsia"/>
        </w:rPr>
        <w:t xml:space="preserve"> mais dans ce cas nous n’utiliserons pas un modèle saturé mais un modèle sans contrainte de vraisemblance </w:t>
      </w:r>
      <m:oMath>
        <m:acc>
          <m:accPr>
            <m:ctrlPr>
              <w:rPr>
                <w:rFonts w:ascii="Cambria Math" w:eastAsiaTheme="minorEastAsia" w:hAnsi="Cambria Math"/>
                <w:i/>
              </w:rPr>
            </m:ctrlPr>
          </m:accPr>
          <m:e>
            <m:r>
              <w:rPr>
                <w:rFonts w:ascii="Cambria Math" w:eastAsiaTheme="minorEastAsia" w:hAnsi="Cambria Math"/>
              </w:rPr>
              <m:t>L</m:t>
            </m:r>
          </m:e>
        </m:acc>
      </m:oMath>
      <w:r>
        <w:rPr>
          <w:rFonts w:eastAsiaTheme="minorEastAsia"/>
        </w:rPr>
        <w:t xml:space="preserve"> et un modèle sous contrainte de vraisemblance</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L</m:t>
            </m:r>
          </m:e>
        </m:acc>
      </m:oMath>
      <w:r>
        <w:rPr>
          <w:rFonts w:eastAsiaTheme="minorEastAsia"/>
        </w:rPr>
        <w:t>.</w:t>
      </w:r>
    </w:p>
    <w:p w14:paraId="7CEA0C12" w14:textId="67CEC6C2" w:rsidR="008E18D4" w:rsidRDefault="008E18D4" w:rsidP="008E18D4">
      <w:pPr>
        <w:spacing w:before="120"/>
        <w:rPr>
          <w:rFonts w:eastAsiaTheme="minorEastAsia"/>
        </w:rPr>
      </w:pPr>
      <w:r>
        <w:rPr>
          <w:rFonts w:eastAsiaTheme="minorEastAsia"/>
        </w:rPr>
        <w:t xml:space="preserve">Ainsi nous le rapport de vraisemblance s’exprimera : </w:t>
      </w:r>
      <m:oMath>
        <m:r>
          <w:rPr>
            <w:rFonts w:ascii="Cambria Math" w:hAnsi="Cambria Math"/>
          </w:rPr>
          <m:t xml:space="preserve">λ= </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L</m:t>
                </m:r>
              </m:e>
            </m:acc>
          </m:num>
          <m:den>
            <m:acc>
              <m:accPr>
                <m:chr m:val="̃"/>
                <m:ctrlPr>
                  <w:rPr>
                    <w:rFonts w:ascii="Cambria Math" w:eastAsiaTheme="minorEastAsia" w:hAnsi="Cambria Math"/>
                    <w:i/>
                  </w:rPr>
                </m:ctrlPr>
              </m:accPr>
              <m:e>
                <m:r>
                  <w:rPr>
                    <w:rFonts w:ascii="Cambria Math" w:eastAsiaTheme="minorEastAsia" w:hAnsi="Cambria Math"/>
                  </w:rPr>
                  <m:t>L</m:t>
                </m:r>
              </m:e>
            </m:acc>
          </m:den>
        </m:f>
      </m:oMath>
    </w:p>
    <w:p w14:paraId="02ABE137" w14:textId="1CC27843" w:rsidR="008E18D4" w:rsidRDefault="008E18D4" w:rsidP="008E18D4">
      <w:pPr>
        <w:spacing w:before="120"/>
        <w:rPr>
          <w:rFonts w:eastAsiaTheme="minorEastAsia"/>
        </w:rPr>
      </w:pPr>
      <w:r>
        <w:rPr>
          <w:rFonts w:eastAsiaTheme="minorEastAsia"/>
        </w:rPr>
        <w:t>La statistique de ce test est :</w:t>
      </w:r>
    </w:p>
    <w:p w14:paraId="6B8C61F4" w14:textId="4BB32D66" w:rsidR="008E18D4" w:rsidRPr="00FC612F" w:rsidRDefault="008E18D4" w:rsidP="008E18D4">
      <w:pPr>
        <w:spacing w:before="120"/>
        <w:rPr>
          <w:rFonts w:eastAsiaTheme="minorEastAsia"/>
        </w:rPr>
      </w:pPr>
      <m:oMathPara>
        <m:oMath>
          <m:r>
            <w:rPr>
              <w:rFonts w:ascii="Cambria Math" w:hAnsi="Cambria Math"/>
            </w:rPr>
            <m:t>D=2</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hAnsi="Cambria Math"/>
                    </w:rPr>
                    <m:t>λ</m:t>
                  </m:r>
                  <m:ctrlPr>
                    <w:rPr>
                      <w:rFonts w:ascii="Cambria Math" w:hAnsi="Cambria Math"/>
                      <w:i/>
                    </w:rPr>
                  </m:ctrlPr>
                </m:e>
              </m:d>
            </m:e>
          </m:func>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q</m:t>
              </m:r>
            </m:sub>
            <m:sup>
              <m:r>
                <w:rPr>
                  <w:rFonts w:ascii="Cambria Math" w:eastAsiaTheme="minorEastAsia" w:hAnsi="Cambria Math"/>
                </w:rPr>
                <m:t>2</m:t>
              </m:r>
            </m:sup>
          </m:sSubSup>
        </m:oMath>
      </m:oMathPara>
    </w:p>
    <w:p w14:paraId="70FDA784" w14:textId="2093B9B7" w:rsidR="00FC612F" w:rsidRDefault="00FC612F" w:rsidP="00FC612F">
      <w:pPr>
        <w:pStyle w:val="Paragraphedeliste"/>
        <w:numPr>
          <w:ilvl w:val="0"/>
          <w:numId w:val="42"/>
        </w:numPr>
        <w:spacing w:before="360"/>
        <w:ind w:left="927"/>
        <w:rPr>
          <w:rFonts w:eastAsiaTheme="minorEastAsia"/>
        </w:rPr>
      </w:pPr>
      <w:r>
        <w:rPr>
          <w:rFonts w:eastAsiaTheme="minorEastAsia"/>
        </w:rPr>
        <w:t>Test de Wald :</w:t>
      </w:r>
    </w:p>
    <w:p w14:paraId="4B96BF19" w14:textId="0724BA83" w:rsidR="00FC612F" w:rsidRDefault="0048476F" w:rsidP="00FC612F">
      <w:pPr>
        <w:spacing w:before="360"/>
        <w:rPr>
          <w:rFonts w:eastAsiaTheme="minorEastAsia"/>
        </w:rPr>
      </w:pPr>
      <w:r>
        <w:rPr>
          <w:rFonts w:eastAsiaTheme="minorEastAsia"/>
        </w:rPr>
        <w:t xml:space="preserve">Pour définir la statistique du test de Wald, il faut dans un premier temps définir l’estimateur du maximum de vraisemblance de </w:t>
      </w:r>
      <m:oMath>
        <m:r>
          <w:rPr>
            <w:rFonts w:ascii="Cambria Math" w:hAnsi="Cambria Math"/>
          </w:rPr>
          <m:t>β</m:t>
        </m:r>
      </m:oMath>
      <w:r>
        <w:rPr>
          <w:rFonts w:eastAsiaTheme="minorEastAsia"/>
        </w:rPr>
        <w:t xml:space="preserve">, </w:t>
      </w:r>
      <m:oMath>
        <m:acc>
          <m:accPr>
            <m:ctrlPr>
              <w:rPr>
                <w:rFonts w:ascii="Cambria Math" w:hAnsi="Cambria Math"/>
                <w:i/>
              </w:rPr>
            </m:ctrlPr>
          </m:accPr>
          <m:e>
            <m:r>
              <w:rPr>
                <w:rFonts w:ascii="Cambria Math" w:hAnsi="Cambria Math"/>
              </w:rPr>
              <m:t>β</m:t>
            </m:r>
          </m:e>
        </m:acc>
      </m:oMath>
      <w:r>
        <w:rPr>
          <w:rFonts w:eastAsiaTheme="minorEastAsia"/>
        </w:rPr>
        <w:t>.</w:t>
      </w:r>
    </w:p>
    <w:p w14:paraId="2713F1DB" w14:textId="6F426F56" w:rsidR="0048476F" w:rsidRPr="00FC612F" w:rsidRDefault="00423160" w:rsidP="00FC612F">
      <w:pPr>
        <w:spacing w:before="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 xml:space="preserve"> ~ ℵ</m:t>
          </m:r>
          <m:d>
            <m:dPr>
              <m:ctrlPr>
                <w:rPr>
                  <w:rFonts w:ascii="Cambria Math" w:eastAsiaTheme="minorEastAsia" w:hAnsi="Cambria Math"/>
                  <w:i/>
                </w:rPr>
              </m:ctrlPr>
            </m:dPr>
            <m:e>
              <m:r>
                <w:rPr>
                  <w:rFonts w:ascii="Cambria Math" w:eastAsiaTheme="minorEastAsia" w:hAnsi="Cambria Math"/>
                </w:rPr>
                <m:t>β,ϕ</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WX</m:t>
                      </m:r>
                    </m:e>
                  </m:d>
                </m:e>
                <m:sup>
                  <m:r>
                    <w:rPr>
                      <w:rFonts w:ascii="Cambria Math" w:eastAsiaTheme="minorEastAsia" w:hAnsi="Cambria Math"/>
                    </w:rPr>
                    <m:t>-1</m:t>
                  </m:r>
                </m:sup>
              </m:sSup>
            </m:e>
          </m:d>
        </m:oMath>
      </m:oMathPara>
    </w:p>
    <w:p w14:paraId="33E190BA" w14:textId="6F4EF3AB" w:rsidR="00FC612F" w:rsidRDefault="00815D90" w:rsidP="008E18D4">
      <w:pPr>
        <w:spacing w:before="120"/>
        <w:rPr>
          <w:rFonts w:eastAsiaTheme="minorEastAsia"/>
        </w:rPr>
      </w:pPr>
      <w:r>
        <w:rPr>
          <w:rFonts w:eastAsiaTheme="minorEastAsia"/>
        </w:rPr>
        <w:t>Avec W la matrice diagonale de pondération définie telle que :</w:t>
      </w:r>
    </w:p>
    <w:p w14:paraId="42E6E647" w14:textId="58E98E9E" w:rsidR="00815D90" w:rsidRPr="008E18D4" w:rsidRDefault="00423160" w:rsidP="008E18D4">
      <w:pPr>
        <w:spacing w:before="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en>
          </m:f>
          <m:r>
            <w:rPr>
              <w:rFonts w:ascii="Cambria Math" w:eastAsiaTheme="minorEastAsia" w:hAnsi="Cambria Math"/>
            </w:rPr>
            <m:t>)²</m:t>
          </m:r>
        </m:oMath>
      </m:oMathPara>
    </w:p>
    <w:p w14:paraId="3367162F" w14:textId="77777777" w:rsidR="00815D90" w:rsidRDefault="00815D90" w:rsidP="00815D90">
      <w:r>
        <w:t>Et donc avec les notations précédentes, sous H</w:t>
      </w:r>
      <w:r>
        <w:rPr>
          <w:vertAlign w:val="subscript"/>
        </w:rPr>
        <w:t>0</w:t>
      </w:r>
      <w:r>
        <w:t xml:space="preserve">, </w:t>
      </w:r>
      <w:bookmarkStart w:id="55" w:name="_Hlk112934319"/>
      <w:r>
        <w:t xml:space="preserve"> </w:t>
      </w:r>
      <m:oMath>
        <m:r>
          <m:rPr>
            <m:sty m:val="bi"/>
          </m:rPr>
          <w:rPr>
            <w:rFonts w:ascii="Cambria Math" w:hAnsi="Cambria Math"/>
          </w:rPr>
          <m:t>C</m:t>
        </m:r>
        <m:acc>
          <m:accPr>
            <m:ctrlPr>
              <w:rPr>
                <w:rFonts w:ascii="Cambria Math" w:eastAsiaTheme="minorEastAsia" w:hAnsi="Cambria Math"/>
                <w:i/>
              </w:rPr>
            </m:ctrlPr>
          </m:accPr>
          <m:e>
            <m:r>
              <w:rPr>
                <w:rFonts w:ascii="Cambria Math" w:eastAsiaTheme="minorEastAsia" w:hAnsi="Cambria Math"/>
              </w:rPr>
              <m:t>β</m:t>
            </m:r>
          </m:e>
        </m:acc>
        <m:r>
          <w:rPr>
            <w:rFonts w:ascii="Cambria Math" w:hAnsi="Cambria Math"/>
          </w:rPr>
          <m:t xml:space="preserve">-r ~ </m:t>
        </m:r>
        <m:r>
          <w:rPr>
            <w:rFonts w:ascii="Cambria Math" w:eastAsiaTheme="minorEastAsia" w:hAnsi="Cambria Math"/>
          </w:rPr>
          <m:t>ℵ</m:t>
        </m:r>
        <m:d>
          <m:dPr>
            <m:ctrlPr>
              <w:rPr>
                <w:rFonts w:ascii="Cambria Math" w:eastAsiaTheme="minorEastAsia" w:hAnsi="Cambria Math"/>
                <w:i/>
              </w:rPr>
            </m:ctrlPr>
          </m:dPr>
          <m:e>
            <m:r>
              <w:rPr>
                <w:rFonts w:ascii="Cambria Math" w:eastAsiaTheme="minorEastAsia" w:hAnsi="Cambria Math"/>
              </w:rPr>
              <m:t>0,ϕC</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WX</m:t>
                    </m:r>
                  </m:e>
                </m:d>
              </m:e>
              <m:sup>
                <m:r>
                  <w:rPr>
                    <w:rFonts w:ascii="Cambria Math" w:eastAsiaTheme="minorEastAsia" w:hAnsi="Cambria Math"/>
                  </w:rPr>
                  <m:t>-1</m:t>
                </m:r>
              </m:sup>
            </m:sSup>
            <m:r>
              <w:rPr>
                <w:rFonts w:ascii="Cambria Math" w:eastAsiaTheme="minorEastAsia" w:hAnsi="Cambria Math"/>
              </w:rPr>
              <m:t>C'</m:t>
            </m:r>
          </m:e>
        </m:d>
      </m:oMath>
      <w:r>
        <w:t xml:space="preserve"> </w:t>
      </w:r>
      <w:bookmarkEnd w:id="55"/>
    </w:p>
    <w:p w14:paraId="69534936" w14:textId="77777777" w:rsidR="00815D90" w:rsidRDefault="00815D90" w:rsidP="00815D90">
      <w:r>
        <w:t>Enfin, la statistique du test de Wald est définie comme :</w:t>
      </w:r>
    </w:p>
    <w:p w14:paraId="3513C94E" w14:textId="3B18FD13" w:rsidR="00815D90" w:rsidRDefault="00423160" w:rsidP="00815D90">
      <m:oMathPara>
        <m:oMath>
          <m:sSup>
            <m:sSupPr>
              <m:ctrlPr>
                <w:rPr>
                  <w:rFonts w:ascii="Cambria Math" w:hAnsi="Cambria Math"/>
                  <w:i/>
                </w:rPr>
              </m:ctrlPr>
            </m:sSupPr>
            <m:e>
              <m:d>
                <m:dPr>
                  <m:ctrlPr>
                    <w:rPr>
                      <w:rFonts w:ascii="Cambria Math" w:hAnsi="Cambria Math"/>
                      <w:b/>
                      <w:bCs/>
                      <w:i/>
                    </w:rPr>
                  </m:ctrlPr>
                </m:dPr>
                <m:e>
                  <m:r>
                    <m:rPr>
                      <m:sty m:val="bi"/>
                    </m:rPr>
                    <w:rPr>
                      <w:rFonts w:ascii="Cambria Math" w:hAnsi="Cambria Math"/>
                    </w:rPr>
                    <m:t>C</m:t>
                  </m:r>
                  <m:acc>
                    <m:accPr>
                      <m:ctrlPr>
                        <w:rPr>
                          <w:rFonts w:ascii="Cambria Math" w:eastAsiaTheme="minorEastAsia" w:hAnsi="Cambria Math"/>
                          <w:i/>
                        </w:rPr>
                      </m:ctrlPr>
                    </m:accPr>
                    <m:e>
                      <m:r>
                        <w:rPr>
                          <w:rFonts w:ascii="Cambria Math" w:eastAsiaTheme="minorEastAsia" w:hAnsi="Cambria Math"/>
                        </w:rPr>
                        <m:t>β</m:t>
                      </m:r>
                    </m:e>
                  </m:acc>
                  <m:r>
                    <w:rPr>
                      <w:rFonts w:ascii="Cambria Math" w:hAnsi="Cambria Math"/>
                    </w:rPr>
                    <m:t>-r</m:t>
                  </m:r>
                  <m:ctrlPr>
                    <w:rPr>
                      <w:rFonts w:ascii="Cambria Math" w:hAnsi="Cambria Math"/>
                      <w:i/>
                    </w:rPr>
                  </m:ctrlPr>
                </m:e>
              </m:d>
            </m:e>
            <m:sup>
              <m:r>
                <w:rPr>
                  <w:rFonts w:ascii="Cambria Math" w:hAnsi="Cambria Math"/>
                </w:rPr>
                <m:t>'</m:t>
              </m:r>
            </m:sup>
          </m:sSup>
          <m:sSup>
            <m:sSupPr>
              <m:ctrlPr>
                <w:rPr>
                  <w:rFonts w:ascii="Cambria Math" w:hAnsi="Cambria Math"/>
                  <w:i/>
                </w:rPr>
              </m:ctrlPr>
            </m:sSupPr>
            <m:e>
              <m:r>
                <w:rPr>
                  <w:rFonts w:ascii="Cambria Math" w:hAnsi="Cambria Math"/>
                </w:rPr>
                <m:t>[</m:t>
              </m:r>
              <m:r>
                <w:rPr>
                  <w:rFonts w:ascii="Cambria Math" w:eastAsiaTheme="minorEastAsia" w:hAnsi="Cambria Math"/>
                </w:rPr>
                <m:t>ϕC</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WX</m:t>
                      </m:r>
                    </m:e>
                  </m:d>
                </m:e>
                <m:sup>
                  <m:r>
                    <w:rPr>
                      <w:rFonts w:ascii="Cambria Math" w:eastAsiaTheme="minorEastAsia" w:hAnsi="Cambria Math"/>
                    </w:rPr>
                    <m:t>-1</m:t>
                  </m:r>
                </m:sup>
              </m:sSup>
              <m:r>
                <w:rPr>
                  <w:rFonts w:ascii="Cambria Math" w:eastAsiaTheme="minorEastAsia" w:hAnsi="Cambria Math"/>
                </w:rPr>
                <m:t>C'</m:t>
              </m:r>
              <m:r>
                <w:rPr>
                  <w:rFonts w:ascii="Cambria Math" w:hAnsi="Cambria Math"/>
                </w:rPr>
                <m:t>]</m:t>
              </m:r>
            </m:e>
            <m:sup>
              <m:r>
                <w:rPr>
                  <w:rFonts w:ascii="Cambria Math" w:hAnsi="Cambria Math"/>
                </w:rPr>
                <m:t>-1</m:t>
              </m:r>
            </m:sup>
          </m:sSup>
          <m:r>
            <m:rPr>
              <m:sty m:val="bi"/>
            </m:rPr>
            <w:rPr>
              <w:rFonts w:ascii="Cambria Math" w:hAnsi="Cambria Math"/>
            </w:rPr>
            <m:t>(C</m:t>
          </m:r>
          <m:acc>
            <m:accPr>
              <m:ctrlPr>
                <w:rPr>
                  <w:rFonts w:ascii="Cambria Math" w:eastAsiaTheme="minorEastAsia" w:hAnsi="Cambria Math"/>
                  <w:i/>
                </w:rPr>
              </m:ctrlPr>
            </m:accPr>
            <m:e>
              <m:r>
                <w:rPr>
                  <w:rFonts w:ascii="Cambria Math" w:eastAsiaTheme="minorEastAsia" w:hAnsi="Cambria Math"/>
                </w:rPr>
                <m:t>β</m:t>
              </m:r>
            </m:e>
          </m:acc>
          <m:r>
            <w:rPr>
              <w:rFonts w:ascii="Cambria Math" w:hAnsi="Cambria Math"/>
            </w:rPr>
            <m:t xml:space="preserve">-r)~ </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q</m:t>
              </m:r>
            </m:sub>
            <m:sup>
              <m:r>
                <w:rPr>
                  <w:rFonts w:ascii="Cambria Math" w:eastAsiaTheme="minorEastAsia" w:hAnsi="Cambria Math"/>
                </w:rPr>
                <m:t>2</m:t>
              </m:r>
            </m:sup>
          </m:sSubSup>
        </m:oMath>
      </m:oMathPara>
    </w:p>
    <w:p w14:paraId="6276C543" w14:textId="590D6457" w:rsidR="002C782A" w:rsidRDefault="002C782A" w:rsidP="00815D90">
      <w:r>
        <w:t>En pratique, nous pouvons tester un seul paramètre :</w:t>
      </w:r>
    </w:p>
    <w:p w14:paraId="3BC439C4" w14:textId="0ED214C2" w:rsidR="001811D2" w:rsidRDefault="00423160" w:rsidP="001811D2">
      <w:pPr>
        <w:jc w:val="center"/>
        <w:rPr>
          <w:rFonts w:eastAsiaTheme="minorEastAsia"/>
        </w:rPr>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vertAlign w:val="subscript"/>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m:oMathPara>
    </w:p>
    <w:p w14:paraId="71CF338C" w14:textId="55583A89" w:rsidR="002C782A" w:rsidRDefault="001811D2" w:rsidP="00815D90">
      <w:pPr>
        <w:rPr>
          <w:rFonts w:eastAsiaTheme="minorEastAsia"/>
        </w:rPr>
      </w:pPr>
      <w:r>
        <w:t xml:space="preserve">On a alors,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=0, pour i≠j et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=1</m:t>
        </m:r>
      </m:oMath>
      <w:r>
        <w:rPr>
          <w:rFonts w:eastAsiaTheme="minorEastAsia"/>
        </w:rPr>
        <w:t xml:space="preserve"> et </w:t>
      </w:r>
      <m:oMath>
        <m:sSub>
          <m:sSubPr>
            <m:ctrlPr>
              <w:rPr>
                <w:rFonts w:ascii="Cambria Math" w:hAnsi="Cambria Math"/>
                <w:i/>
              </w:rPr>
            </m:ctrlPr>
          </m:sSubPr>
          <m:e>
            <m:r>
              <w:rPr>
                <w:rFonts w:ascii="Cambria Math" w:hAnsi="Cambria Math"/>
              </w:rPr>
              <m:t>Var(</m:t>
            </m:r>
            <m:acc>
              <m:accPr>
                <m:ctrlPr>
                  <w:rPr>
                    <w:rFonts w:ascii="Cambria Math" w:eastAsiaTheme="minorEastAsia" w:hAnsi="Cambria Math"/>
                    <w:i/>
                  </w:rPr>
                </m:ctrlPr>
              </m:accPr>
              <m:e>
                <m:r>
                  <w:rPr>
                    <w:rFonts w:ascii="Cambria Math" w:eastAsiaTheme="minorEastAsia" w:hAnsi="Cambria Math"/>
                  </w:rPr>
                  <m:t>β</m:t>
                </m:r>
              </m:e>
            </m:acc>
          </m:e>
          <m:sub>
            <m:r>
              <w:rPr>
                <w:rFonts w:ascii="Cambria Math" w:hAnsi="Cambria Math"/>
              </w:rPr>
              <m:t>j</m:t>
            </m:r>
          </m:sub>
        </m:sSub>
        <m:r>
          <w:rPr>
            <w:rFonts w:ascii="Cambria Math" w:hAnsi="Cambria Math"/>
          </w:rPr>
          <m:t>)</m:t>
        </m:r>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j</m:t>
            </m:r>
          </m:sub>
        </m:sSub>
      </m:oMath>
      <w:r>
        <w:rPr>
          <w:rFonts w:eastAsiaTheme="minorEastAsia"/>
        </w:rPr>
        <w:t>.</w:t>
      </w:r>
    </w:p>
    <w:p w14:paraId="34CA6FDD" w14:textId="1EC609E0" w:rsidR="001811D2" w:rsidRDefault="001811D2" w:rsidP="00230D49">
      <w:r>
        <w:t xml:space="preserve">La statistique du test de Wald est dans ce cas égale à :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)²</m:t>
            </m:r>
          </m:num>
          <m:den>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den>
        </m:f>
        <m:r>
          <w:rPr>
            <w:rFonts w:ascii="Cambria Math" w:hAnsi="Cambria Math"/>
          </w:rPr>
          <m:t xml:space="preserve"> ~ </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p>
    <w:p w14:paraId="624DC321" w14:textId="1E133F80" w:rsidR="008E18D4" w:rsidRDefault="008E18D4" w:rsidP="00815D90">
      <w:pPr>
        <w:rPr>
          <w:rFonts w:asciiTheme="majorHAnsi" w:eastAsiaTheme="majorEastAsia" w:hAnsiTheme="majorHAnsi" w:cstheme="majorBidi"/>
          <w:color w:val="1F3763" w:themeColor="accent1" w:themeShade="7F"/>
          <w:sz w:val="24"/>
          <w:szCs w:val="24"/>
        </w:rPr>
      </w:pPr>
    </w:p>
    <w:p w14:paraId="059B732F" w14:textId="1A14E785" w:rsidR="00C54EAB" w:rsidRDefault="00C54EAB" w:rsidP="00C54EAB">
      <w:pPr>
        <w:pStyle w:val="Paragraphedeliste"/>
        <w:numPr>
          <w:ilvl w:val="0"/>
          <w:numId w:val="42"/>
        </w:numPr>
        <w:spacing w:before="360"/>
        <w:ind w:left="927"/>
        <w:rPr>
          <w:rFonts w:eastAsiaTheme="minorEastAsia"/>
        </w:rPr>
      </w:pPr>
      <w:r>
        <w:rPr>
          <w:rFonts w:eastAsiaTheme="minorEastAsia"/>
        </w:rPr>
        <w:t>Test du Score :</w:t>
      </w:r>
    </w:p>
    <w:p w14:paraId="2F029D0E" w14:textId="2B3BE467" w:rsidR="00C54EAB" w:rsidRDefault="00C54EAB" w:rsidP="00C54EAB">
      <w:pPr>
        <w:spacing w:before="360"/>
        <w:rPr>
          <w:rFonts w:eastAsiaTheme="minorEastAsia"/>
        </w:rPr>
      </w:pPr>
      <w:r>
        <w:rPr>
          <w:rFonts w:eastAsiaTheme="minorEastAsia"/>
        </w:rPr>
        <w:lastRenderedPageBreak/>
        <w:t xml:space="preserve">Ce test est basé sur la dérivée de la fonction log-vraisemblance définie précédemment, cette dérivée est appelée le Score, on </w:t>
      </w:r>
      <w:proofErr w:type="gramStart"/>
      <w:r>
        <w:rPr>
          <w:rFonts w:eastAsiaTheme="minorEastAsia"/>
        </w:rPr>
        <w:t>la</w:t>
      </w:r>
      <w:proofErr w:type="gramEnd"/>
      <w:r>
        <w:rPr>
          <w:rFonts w:eastAsiaTheme="minorEastAsia"/>
        </w:rPr>
        <w:t xml:space="preserve"> défini en pratique dans ce cas par :</w:t>
      </w:r>
    </w:p>
    <w:p w14:paraId="2227D772" w14:textId="571D496C" w:rsidR="00C54EAB" w:rsidRPr="00230D49" w:rsidRDefault="00423160" w:rsidP="00C54EAB">
      <w:pPr>
        <w:spacing w:before="36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WG(y-</m:t>
          </m:r>
          <m:r>
            <w:rPr>
              <w:rFonts w:ascii="Cambria Math" w:hAnsi="Cambria Math"/>
            </w:rPr>
            <m:t>μ)</m:t>
          </m:r>
        </m:oMath>
      </m:oMathPara>
    </w:p>
    <w:p w14:paraId="19968872" w14:textId="4988ABB7" w:rsidR="00230D49" w:rsidRPr="00C54EAB" w:rsidRDefault="00230D49" w:rsidP="00C54EAB">
      <w:pPr>
        <w:spacing w:before="360"/>
        <w:rPr>
          <w:rFonts w:eastAsiaTheme="minorEastAsia"/>
        </w:rPr>
      </w:pPr>
      <w:r>
        <w:rPr>
          <w:rFonts w:eastAsiaTheme="minorEastAsia"/>
        </w:rPr>
        <w:t>Avec G une matrice diagonale composée des éléments g</w:t>
      </w:r>
      <w:proofErr w:type="gramStart"/>
      <w:r>
        <w:rPr>
          <w:rFonts w:eastAsiaTheme="minorEastAsia"/>
        </w:rPr>
        <w:t>’(</w:t>
      </w:r>
      <w:proofErr w:type="gramEnd"/>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w:r>
        <w:rPr>
          <w:rFonts w:eastAsiaTheme="minorEastAsia"/>
        </w:rPr>
        <w:t xml:space="preserve"> et W une matrice d’éléments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ctrlPr>
                              <w:rPr>
                                <w:rFonts w:ascii="Cambria Math" w:hAnsi="Cambria Math"/>
                                <w:i/>
                              </w:rPr>
                            </m:ctrlPr>
                          </m:e>
                        </m:d>
                        <m:ctrlPr>
                          <w:rPr>
                            <w:rFonts w:ascii="Cambria Math" w:hAnsi="Cambria Math"/>
                            <w:i/>
                          </w:rPr>
                        </m:ctrlPr>
                      </m:e>
                    </m:d>
                    <m:ctrlPr>
                      <w:rPr>
                        <w:rFonts w:ascii="Cambria Math" w:eastAsiaTheme="minorEastAsia" w:hAnsi="Cambria Math"/>
                        <w:i/>
                      </w:rPr>
                    </m:ctrlPr>
                  </m:e>
                  <m:sup>
                    <m:r>
                      <w:rPr>
                        <w:rFonts w:ascii="Cambria Math" w:hAnsi="Cambria Math"/>
                      </w:rPr>
                      <m:t>2</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e>
            </m:d>
          </m:e>
          <m:sup>
            <m:r>
              <w:rPr>
                <w:rFonts w:ascii="Cambria Math" w:eastAsiaTheme="minorEastAsia" w:hAnsi="Cambria Math"/>
              </w:rPr>
              <m:t>-1</m:t>
            </m:r>
          </m:sup>
        </m:sSup>
      </m:oMath>
      <w:r>
        <w:rPr>
          <w:rFonts w:eastAsiaTheme="minorEastAsia"/>
        </w:rPr>
        <w:t xml:space="preserve">. De plus, on peut montrer que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e>
        </m:d>
        <m:r>
          <w:rPr>
            <w:rFonts w:ascii="Cambria Math" w:hAnsi="Cambria Math"/>
          </w:rPr>
          <m:t>=0</m:t>
        </m:r>
      </m:oMath>
      <w:r>
        <w:rPr>
          <w:rFonts w:eastAsiaTheme="minorEastAsia"/>
        </w:rPr>
        <w:t xml:space="preserve"> et </w:t>
      </w:r>
      <m:oMath>
        <m:r>
          <w:rPr>
            <w:rFonts w:ascii="Cambria Math" w:eastAsiaTheme="minorEastAsia" w:hAnsi="Cambria Math"/>
          </w:rPr>
          <m:t>Var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ctrlPr>
              <w:rPr>
                <w:rFonts w:ascii="Cambria Math" w:hAnsi="Cambria Math"/>
                <w:i/>
              </w:rPr>
            </m:ctrlPr>
          </m:e>
        </m:d>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WX</m:t>
        </m:r>
      </m:oMath>
    </w:p>
    <w:p w14:paraId="6377CA5E" w14:textId="1BAE4353" w:rsidR="00C54EAB" w:rsidRDefault="00230D49" w:rsidP="00230D49">
      <w:pPr>
        <w:pStyle w:val="Sansinterligne"/>
      </w:pPr>
      <w:r>
        <w:t>Et enfin la statistique du test du score est donnée par :</w:t>
      </w:r>
    </w:p>
    <w:p w14:paraId="07598559" w14:textId="389A5433" w:rsidR="00230D49" w:rsidRPr="00815D90" w:rsidRDefault="00423160" w:rsidP="00230D49">
      <w:pPr>
        <w:pStyle w:val="Sansinterligne"/>
        <w:spacing w:before="240"/>
      </w:pPr>
      <m:oMathPara>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r>
                <w:rPr>
                  <w:rFonts w:ascii="Cambria Math" w:hAnsi="Cambria Math"/>
                </w:rPr>
                <m:t>)</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[Var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ctrlPr>
                    <w:rPr>
                      <w:rFonts w:ascii="Cambria Math" w:hAnsi="Cambria Math"/>
                      <w:i/>
                    </w:rPr>
                  </m:ctrlPr>
                </m:e>
              </m:d>
              <m:r>
                <w:rPr>
                  <w:rFonts w:ascii="Cambria Math" w:hAnsi="Cambria Math"/>
                </w:rPr>
                <m:t>]</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r>
            <w:rPr>
              <w:rFonts w:ascii="Cambria Math" w:hAnsi="Cambria Math"/>
            </w:rPr>
            <m:t xml:space="preserve"> ~ </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q</m:t>
              </m:r>
            </m:sub>
            <m:sup>
              <m:r>
                <w:rPr>
                  <w:rFonts w:ascii="Cambria Math" w:eastAsiaTheme="minorEastAsia" w:hAnsi="Cambria Math"/>
                </w:rPr>
                <m:t>2</m:t>
              </m:r>
            </m:sup>
          </m:sSubSup>
        </m:oMath>
      </m:oMathPara>
    </w:p>
    <w:p w14:paraId="08BB89F9" w14:textId="58B452B4" w:rsidR="00230D49" w:rsidRDefault="00230D49">
      <w:pPr>
        <w:jc w:val="left"/>
        <w:rPr>
          <w:rFonts w:eastAsiaTheme="majorEastAsia" w:cstheme="majorBidi"/>
          <w:color w:val="00B0F0"/>
          <w:sz w:val="24"/>
          <w:szCs w:val="24"/>
        </w:rPr>
      </w:pPr>
    </w:p>
    <w:p w14:paraId="4121C1C5" w14:textId="167CA790" w:rsidR="00260AC0" w:rsidRDefault="00260AC0" w:rsidP="00230D49">
      <w:pPr>
        <w:pStyle w:val="Titre3"/>
        <w:spacing w:before="600"/>
      </w:pPr>
      <w:bookmarkStart w:id="56" w:name="_Toc112955527"/>
      <w:r>
        <w:t>Etude des résidus</w:t>
      </w:r>
      <w:bookmarkEnd w:id="56"/>
    </w:p>
    <w:p w14:paraId="471373DD" w14:textId="77777777" w:rsidR="00260AC0" w:rsidRDefault="00260AC0" w:rsidP="001B2AD8">
      <w:pPr>
        <w:spacing w:before="360"/>
      </w:pPr>
      <w:r>
        <w:t>Pour évaluer l’erreur du modèle, nous pouvons calculer les résidus du modèle de différentes manières, les méthodes que l’on utilisera dans cette étude sont les principales utilisées pour calculer des résidus, les résidus de Pearson et les résidus de déviances définis tels que :</w:t>
      </w:r>
    </w:p>
    <w:p w14:paraId="5050C232" w14:textId="77777777" w:rsidR="00260AC0" w:rsidRDefault="00260AC0" w:rsidP="00154541">
      <w:pPr>
        <w:pStyle w:val="Paragraphedeliste"/>
        <w:numPr>
          <w:ilvl w:val="0"/>
          <w:numId w:val="29"/>
        </w:numPr>
        <w:jc w:val="left"/>
      </w:pPr>
      <w:r>
        <w:t>Les résidus de Pearson :</w:t>
      </w:r>
    </w:p>
    <w:p w14:paraId="4536DAFF" w14:textId="77777777" w:rsidR="00260AC0" w:rsidRDefault="00260AC0" w:rsidP="00260AC0">
      <w:pPr>
        <w:ind w:left="414"/>
      </w:pPr>
      <w:r>
        <w:t>Le résidu de Pearson est défini comme :</w:t>
      </w:r>
    </w:p>
    <w:p w14:paraId="647C3284" w14:textId="77777777" w:rsidR="00260AC0" w:rsidRPr="00426B17" w:rsidRDefault="00423160" w:rsidP="00260AC0">
      <w:pPr>
        <w:ind w:left="414"/>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p</m:t>
              </m:r>
            </m:sup>
          </m:sSup>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ω</m:t>
                      </m:r>
                    </m:e>
                    <m:sub>
                      <m:r>
                        <w:rPr>
                          <w:rFonts w:ascii="Cambria Math" w:hAnsi="Cambria Math"/>
                        </w:rPr>
                        <m:t>i</m:t>
                      </m:r>
                    </m:sub>
                  </m:sSub>
                </m:e>
              </m:ra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r>
                <w:rPr>
                  <w:rFonts w:ascii="Cambria Math" w:hAnsi="Cambria Math"/>
                </w:rPr>
                <m:t>)</m:t>
              </m:r>
            </m:num>
            <m:den>
              <m:rad>
                <m:radPr>
                  <m:degHide m:val="1"/>
                  <m:ctrlPr>
                    <w:rPr>
                      <w:rFonts w:ascii="Cambria Math" w:hAnsi="Cambria Math"/>
                      <w:i/>
                    </w:rPr>
                  </m:ctrlPr>
                </m:radPr>
                <m:deg/>
                <m:e>
                  <m:r>
                    <w:rPr>
                      <w:rFonts w:ascii="Cambria Math" w:hAnsi="Cambria Math"/>
                    </w:rPr>
                    <m:t>V(</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r>
                    <w:rPr>
                      <w:rFonts w:ascii="Cambria Math" w:hAnsi="Cambria Math"/>
                    </w:rPr>
                    <m:t>)</m:t>
                  </m:r>
                </m:e>
              </m:rad>
            </m:den>
          </m:f>
        </m:oMath>
      </m:oMathPara>
    </w:p>
    <w:p w14:paraId="0BAACF8B" w14:textId="77777777" w:rsidR="00260AC0" w:rsidRDefault="00260AC0" w:rsidP="00154541">
      <w:pPr>
        <w:pStyle w:val="Paragraphedeliste"/>
        <w:numPr>
          <w:ilvl w:val="0"/>
          <w:numId w:val="29"/>
        </w:numPr>
        <w:jc w:val="left"/>
      </w:pPr>
      <w:r>
        <w:t>Les résidus de Déviance :</w:t>
      </w:r>
    </w:p>
    <w:p w14:paraId="32E8B5F4" w14:textId="77777777" w:rsidR="00260AC0" w:rsidRDefault="00260AC0" w:rsidP="00260AC0">
      <w:pPr>
        <w:ind w:left="414"/>
        <w:rPr>
          <w:rFonts w:eastAsiaTheme="minorEastAsia"/>
        </w:rPr>
      </w:pPr>
      <w:r>
        <w:t>On peut considérer que chaque observation y</w:t>
      </w:r>
      <w:r>
        <w:rPr>
          <w:vertAlign w:val="subscript"/>
        </w:rPr>
        <w:t>i</w:t>
      </w:r>
      <w:r>
        <w:t xml:space="preserve"> contribue à une quantité d</w:t>
      </w:r>
      <w:r w:rsidRPr="0051634A">
        <w:rPr>
          <w:vertAlign w:val="subscript"/>
        </w:rPr>
        <w:t>i</w:t>
      </w:r>
      <w:r>
        <w:t xml:space="preserve"> à la déviance (</w:t>
      </w:r>
      <m:oMath>
        <m:r>
          <w:rPr>
            <w:rFonts w:ascii="Cambria Math" w:hAnsi="Cambria Math"/>
          </w:rPr>
          <m:t xml:space="preserve">D=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rPr>
          <w:rFonts w:eastAsiaTheme="minorEastAsia"/>
        </w:rPr>
        <w:t>), le résidu de déviance est défini comme :</w:t>
      </w:r>
    </w:p>
    <w:p w14:paraId="24991CCC" w14:textId="77777777" w:rsidR="00260AC0" w:rsidRPr="0051634A" w:rsidRDefault="00423160" w:rsidP="00260AC0">
      <w:pPr>
        <w:ind w:left="414"/>
        <w:jc w:val="center"/>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D</m:t>
              </m:r>
            </m:sup>
          </m:sSup>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i</m:t>
                  </m:r>
                </m:sub>
              </m:sSub>
            </m:e>
          </m:rad>
          <m:r>
            <w:rPr>
              <w:rFonts w:ascii="Cambria Math" w:hAnsi="Cambria Math"/>
            </w:rPr>
            <m:t>×signe(</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r>
            <w:rPr>
              <w:rFonts w:ascii="Cambria Math" w:hAnsi="Cambria Math"/>
            </w:rPr>
            <m:t>)</m:t>
          </m:r>
        </m:oMath>
      </m:oMathPara>
    </w:p>
    <w:p w14:paraId="20F278B5" w14:textId="77777777" w:rsidR="00260AC0" w:rsidRPr="0051634A" w:rsidRDefault="00260AC0" w:rsidP="00260AC0">
      <w:pPr>
        <w:ind w:left="414"/>
        <w:rPr>
          <w:rFonts w:asciiTheme="minorHAnsi" w:eastAsiaTheme="minorEastAsia" w:hAnsiTheme="minorHAnsi"/>
        </w:rPr>
      </w:pPr>
    </w:p>
    <w:p w14:paraId="110D6CE2" w14:textId="77777777" w:rsidR="00260AC0" w:rsidRPr="0051634A" w:rsidRDefault="00260AC0" w:rsidP="00260AC0">
      <w:pPr>
        <w:ind w:left="414"/>
        <w:jc w:val="left"/>
        <w:rPr>
          <w:rFonts w:asciiTheme="minorHAnsi" w:eastAsiaTheme="minorEastAsia" w:hAnsiTheme="minorHAnsi"/>
        </w:rPr>
      </w:pPr>
      <w:r>
        <w:rPr>
          <w:rFonts w:eastAsiaTheme="minorEastAsia"/>
        </w:rPr>
        <w:t xml:space="preserve">La somme des carrés des résidus dans les deux cas est asymptotiquement une statistique </w:t>
      </w:r>
      <w:proofErr w:type="gramStart"/>
      <w:r>
        <w:rPr>
          <w:rFonts w:eastAsiaTheme="minorEastAsia"/>
        </w:rPr>
        <w:t>du  Khi</w:t>
      </w:r>
      <w:proofErr w:type="gramEnd"/>
      <w:r>
        <w:rPr>
          <w:rFonts w:eastAsiaTheme="minorEastAsia"/>
        </w:rPr>
        <w:t>-2 à n-p-1 degrés de liberté.</w:t>
      </w:r>
    </w:p>
    <w:p w14:paraId="112018FD" w14:textId="708D0DA2" w:rsidR="00260AC0" w:rsidRPr="00E354EE" w:rsidRDefault="00260AC0" w:rsidP="00260AC0">
      <w:pPr>
        <w:rPr>
          <w:rFonts w:asciiTheme="majorHAnsi" w:eastAsiaTheme="majorEastAsia" w:hAnsiTheme="majorHAnsi" w:cstheme="majorBidi"/>
          <w:color w:val="1F3763" w:themeColor="accent1" w:themeShade="7F"/>
          <w:sz w:val="24"/>
          <w:szCs w:val="24"/>
        </w:rPr>
      </w:pPr>
    </w:p>
    <w:p w14:paraId="71220FD8" w14:textId="49919546" w:rsidR="00B8637C" w:rsidRDefault="00B8637C" w:rsidP="00FB72CD">
      <w:pPr>
        <w:rPr>
          <w:b/>
          <w:bCs/>
        </w:rPr>
      </w:pPr>
      <w:r>
        <w:rPr>
          <w:b/>
          <w:bCs/>
        </w:rPr>
        <w:br w:type="page"/>
      </w:r>
    </w:p>
    <w:p w14:paraId="71188C7F" w14:textId="2885DAED" w:rsidR="00163B1C" w:rsidRDefault="00B8637C" w:rsidP="00B8637C">
      <w:pPr>
        <w:pStyle w:val="Titre1"/>
        <w:jc w:val="center"/>
      </w:pPr>
      <w:bookmarkStart w:id="57" w:name="_Toc112955528"/>
      <w:r>
        <w:lastRenderedPageBreak/>
        <w:t>Conclusion</w:t>
      </w:r>
      <w:r w:rsidR="00602D96">
        <w:t xml:space="preserve"> – Pistes pour la suite</w:t>
      </w:r>
      <w:bookmarkEnd w:id="57"/>
    </w:p>
    <w:p w14:paraId="322C7843" w14:textId="6F0E7BBA" w:rsidR="0077022A" w:rsidRDefault="0077022A" w:rsidP="0077022A"/>
    <w:p w14:paraId="19AD8329" w14:textId="308D87A6" w:rsidR="0077022A" w:rsidRDefault="0077022A" w:rsidP="0077022A"/>
    <w:p w14:paraId="589496EF" w14:textId="0D44E8A9" w:rsidR="002F2EFF" w:rsidRDefault="002F2EFF" w:rsidP="0077022A">
      <w:r>
        <w:t>L’étude du risque arrêt de travail est de plus en plus importante de nos jours, le phénomène très couteux d’absentéisme doit être appréhender</w:t>
      </w:r>
      <w:r w:rsidR="00D33417">
        <w:t>, évaluer et gérer par les assureurs mais aussi par les entreprises en général.</w:t>
      </w:r>
    </w:p>
    <w:p w14:paraId="01D06A99" w14:textId="4BC82732" w:rsidR="0077022A" w:rsidRDefault="0077022A" w:rsidP="0077022A">
      <w:r>
        <w:t>Dans le cadre de ce mémoire, nous avons pu étudier l’absentéisme dans la globalité sur le portefeuille collectif de Generali Vie, d’abord en expliquant les notions clés à comprendre pour appréhender le phénomène de l’absentéisme en entreprise, puis en analysant le portefeuille, les tendances sur les arrêts de travail et l’impact du COVID-19 sur l’absentéisme.</w:t>
      </w:r>
    </w:p>
    <w:p w14:paraId="4099B748" w14:textId="279E5970" w:rsidR="0077022A" w:rsidRDefault="0077022A" w:rsidP="0077022A">
      <w:r>
        <w:t>La phase de préparation des données a été primordiale dans cette étude, car l’objectif principal de ce mémoire était je le rappel</w:t>
      </w:r>
      <w:r w:rsidR="002F2EFF">
        <w:t>le</w:t>
      </w:r>
      <w:r>
        <w:t xml:space="preserve"> de fournir les premiers outils pour analyser l’absentéisme de notre portefeuille collectif. Pour la poursuite de ce mémoire, l’objectif est d’aller plus loin en étudiant l’absentéisme individuel des salariés, d’abord en construisant une base de données agrégée par année pour chaque salarié</w:t>
      </w:r>
      <w:r w:rsidR="002F2EFF">
        <w:t>, puis d’analyser ce phénomène, de le comprendre et d’étudier les méthodes pour gérer ce risque en pratique.</w:t>
      </w:r>
      <w:r w:rsidR="00D33417">
        <w:t xml:space="preserve"> </w:t>
      </w:r>
    </w:p>
    <w:p w14:paraId="35C6FFD8" w14:textId="720A98CC" w:rsidR="002F2EFF" w:rsidRDefault="002F2EFF" w:rsidP="0077022A">
      <w:r>
        <w:t xml:space="preserve">Grâce à ce mémoire, nous avons pu constater les limites que le manques d’informations sur les assurés </w:t>
      </w:r>
      <w:r w:rsidR="00780D29">
        <w:t>du périmètre collectif crée pour la modélisation de l’absentéisme avec des modèles linéaires généralisés. Ainsi nous avons pu fournir une piste d’amélioration pour l’étude de l’absentéisme sur notre portefeuille qui est la création d’une base de données sur les bénéficiaires des contrats en y indiquant par exemple leur situation professionnelle, leur secteur d’activité, leur position géographique.</w:t>
      </w:r>
    </w:p>
    <w:p w14:paraId="33D52227" w14:textId="128C07D0" w:rsidR="0077022A" w:rsidRDefault="0077022A" w:rsidP="0077022A"/>
    <w:p w14:paraId="211481A5" w14:textId="33B60714" w:rsidR="00FD5052" w:rsidRDefault="00FD5052">
      <w:pPr>
        <w:jc w:val="left"/>
      </w:pPr>
      <w:r>
        <w:br w:type="page"/>
      </w:r>
    </w:p>
    <w:sdt>
      <w:sdtPr>
        <w:rPr>
          <w:rFonts w:eastAsiaTheme="minorHAnsi" w:cstheme="minorBidi"/>
          <w:b w:val="0"/>
          <w:color w:val="auto"/>
          <w:sz w:val="22"/>
          <w:szCs w:val="22"/>
        </w:rPr>
        <w:id w:val="-358821516"/>
        <w:docPartObj>
          <w:docPartGallery w:val="Bibliographies"/>
          <w:docPartUnique/>
        </w:docPartObj>
      </w:sdtPr>
      <w:sdtEndPr/>
      <w:sdtContent>
        <w:p w14:paraId="71D61A7D" w14:textId="574E363D" w:rsidR="00FD5052" w:rsidRDefault="00FD5052" w:rsidP="00FD5052">
          <w:pPr>
            <w:pStyle w:val="Titre1"/>
            <w:jc w:val="center"/>
          </w:pPr>
          <w:r>
            <w:t>Bibliographie</w:t>
          </w:r>
        </w:p>
        <w:p w14:paraId="6E839A20" w14:textId="77777777" w:rsidR="00FD5052" w:rsidRPr="00FD5052" w:rsidRDefault="00FD5052" w:rsidP="00FD5052"/>
        <w:sdt>
          <w:sdtPr>
            <w:id w:val="111145805"/>
            <w:bibliography/>
          </w:sdtPr>
          <w:sdtEndPr/>
          <w:sdtContent>
            <w:p w14:paraId="2897893F" w14:textId="77777777" w:rsidR="00CC537E" w:rsidRDefault="00FD5052" w:rsidP="00CC537E">
              <w:pPr>
                <w:pStyle w:val="Bibliographie"/>
                <w:ind w:left="720" w:hanging="720"/>
                <w:rPr>
                  <w:noProof/>
                  <w:sz w:val="24"/>
                  <w:szCs w:val="24"/>
                </w:rPr>
              </w:pPr>
              <w:r>
                <w:fldChar w:fldCharType="begin"/>
              </w:r>
              <w:r>
                <w:instrText>BIBLIOGRAPHY</w:instrText>
              </w:r>
              <w:r>
                <w:fldChar w:fldCharType="separate"/>
              </w:r>
              <w:r w:rsidR="00CC537E">
                <w:rPr>
                  <w:noProof/>
                </w:rPr>
                <w:t xml:space="preserve">AXA. (2019). </w:t>
              </w:r>
              <w:r w:rsidR="00CC537E">
                <w:rPr>
                  <w:i/>
                  <w:iCs/>
                  <w:noProof/>
                </w:rPr>
                <w:t>"Quels sont les risques de demain?"</w:t>
              </w:r>
              <w:r w:rsidR="00CC537E">
                <w:rPr>
                  <w:noProof/>
                </w:rPr>
                <w:t>. Récupéré sur https://www.axa.com/fr/magazine/rapport-risques-futurs-2019#:~:text=Selon%20le%20rapport%2C%20les%20principaux,et%20%C3%A0%20l'instabilit%C3%A9%20g%C3%A9opolitique.</w:t>
              </w:r>
            </w:p>
            <w:p w14:paraId="5878F919" w14:textId="77777777" w:rsidR="00CC537E" w:rsidRDefault="00CC537E" w:rsidP="00CC537E">
              <w:pPr>
                <w:pStyle w:val="Bibliographie"/>
                <w:ind w:left="720" w:hanging="720"/>
                <w:rPr>
                  <w:noProof/>
                </w:rPr>
              </w:pPr>
              <w:r w:rsidRPr="00CC537E">
                <w:rPr>
                  <w:noProof/>
                  <w:lang w:val="de-DE"/>
                </w:rPr>
                <w:t xml:space="preserve">Brami, L., Damart, S., &amp; Kletz, F. (2013). </w:t>
              </w:r>
              <w:r>
                <w:rPr>
                  <w:noProof/>
                </w:rPr>
                <w:t>SANTÉ AU TRAVAIL ET TRAVAIL EN SANTÉ. LA PERFORMANCE DES ÉTABLISSEMENTS DE SANTÉ FACE À L'ABSENTÉISME ET AU BIEN-ÊTRE DES PERSONNELS SOIGNANTS.</w:t>
              </w:r>
            </w:p>
            <w:p w14:paraId="33F90B4D" w14:textId="77777777" w:rsidR="00CC537E" w:rsidRDefault="00CC537E" w:rsidP="00CC537E">
              <w:pPr>
                <w:pStyle w:val="Bibliographie"/>
                <w:ind w:left="720" w:hanging="720"/>
                <w:rPr>
                  <w:noProof/>
                </w:rPr>
              </w:pPr>
              <w:r w:rsidRPr="00CC537E">
                <w:rPr>
                  <w:noProof/>
                  <w:lang w:val="en-US"/>
                </w:rPr>
                <w:t xml:space="preserve">Chaupain-Guillot, S., &amp; Guillot, O. (2007). </w:t>
              </w:r>
              <w:r>
                <w:rPr>
                  <w:noProof/>
                </w:rPr>
                <w:t xml:space="preserve">Les absences au travail : une analyse à partir des données françaises du Panel européen des ménages. </w:t>
              </w:r>
              <w:r>
                <w:rPr>
                  <w:i/>
                  <w:iCs/>
                  <w:noProof/>
                </w:rPr>
                <w:t>INSEE</w:t>
              </w:r>
              <w:r>
                <w:rPr>
                  <w:noProof/>
                </w:rPr>
                <w:t>.</w:t>
              </w:r>
            </w:p>
            <w:p w14:paraId="74334CEE" w14:textId="77777777" w:rsidR="00CC537E" w:rsidRDefault="00CC537E" w:rsidP="00CC537E">
              <w:pPr>
                <w:pStyle w:val="Bibliographie"/>
                <w:ind w:left="720" w:hanging="720"/>
                <w:rPr>
                  <w:noProof/>
                </w:rPr>
              </w:pPr>
              <w:r>
                <w:rPr>
                  <w:noProof/>
                </w:rPr>
                <w:t>Fouquet, N., Chérié-Challine, L., Rubion, É., Descatha, A., &amp; Roquelaure, Y. (2020). TROUBLES MUSCULO-SQUELETTIQUES LIÉS AU TRAVAIL : NOMBRE DE CAS ÉVITABLES.</w:t>
              </w:r>
            </w:p>
            <w:p w14:paraId="6F1B3CFF" w14:textId="77777777" w:rsidR="00CC537E" w:rsidRDefault="00CC537E" w:rsidP="00CC537E">
              <w:pPr>
                <w:pStyle w:val="Bibliographie"/>
                <w:ind w:left="720" w:hanging="720"/>
                <w:rPr>
                  <w:noProof/>
                </w:rPr>
              </w:pPr>
              <w:r>
                <w:rPr>
                  <w:noProof/>
                </w:rPr>
                <w:t>Humanis, M. (2020). Rapport annuel sur l'absentéisme.</w:t>
              </w:r>
            </w:p>
            <w:p w14:paraId="02FFEA44" w14:textId="77777777" w:rsidR="00CC537E" w:rsidRDefault="00CC537E" w:rsidP="00CC537E">
              <w:pPr>
                <w:pStyle w:val="Bibliographie"/>
                <w:ind w:left="720" w:hanging="720"/>
                <w:rPr>
                  <w:noProof/>
                </w:rPr>
              </w:pPr>
              <w:r>
                <w:rPr>
                  <w:noProof/>
                </w:rPr>
                <w:t>Milhaud, X. (2022). Compléments de tarification en assurance: problématiques opérationnelles.</w:t>
              </w:r>
            </w:p>
            <w:p w14:paraId="2ECAEE46" w14:textId="77777777" w:rsidR="00CC537E" w:rsidRDefault="00CC537E" w:rsidP="00CC537E">
              <w:pPr>
                <w:pStyle w:val="Bibliographie"/>
                <w:ind w:left="720" w:hanging="720"/>
                <w:rPr>
                  <w:noProof/>
                </w:rPr>
              </w:pPr>
              <w:r>
                <w:rPr>
                  <w:noProof/>
                </w:rPr>
                <w:t xml:space="preserve">Planchet, F. (2020). </w:t>
              </w:r>
              <w:r>
                <w:rPr>
                  <w:i/>
                  <w:iCs/>
                  <w:noProof/>
                </w:rPr>
                <w:t>Ressources actuarielles.</w:t>
              </w:r>
              <w:r>
                <w:rPr>
                  <w:noProof/>
                </w:rPr>
                <w:t xml:space="preserve"> Récupéré sur Ressources actuarielles: http://www.ressources-actuarielles.net/EXT/ISFA/fp-isfa.nsf/0/1430AD6748CE3AFFC1256F130067B88E/$FILE/Seance7.pdf?OpenElement</w:t>
              </w:r>
            </w:p>
            <w:p w14:paraId="3A23B66B" w14:textId="77777777" w:rsidR="00CC537E" w:rsidRDefault="00CC537E" w:rsidP="00CC537E">
              <w:pPr>
                <w:pStyle w:val="Bibliographie"/>
                <w:ind w:left="720" w:hanging="720"/>
                <w:rPr>
                  <w:noProof/>
                </w:rPr>
              </w:pPr>
              <w:r>
                <w:rPr>
                  <w:noProof/>
                </w:rPr>
                <w:t xml:space="preserve">Rehalto. (2019). </w:t>
              </w:r>
              <w:r>
                <w:rPr>
                  <w:i/>
                  <w:iCs/>
                  <w:noProof/>
                </w:rPr>
                <w:t>Baromètre sur les arrêts de travail « Comprendre pour agir » 5ème édition.</w:t>
              </w:r>
              <w:r>
                <w:rPr>
                  <w:noProof/>
                </w:rPr>
                <w:t xml:space="preserve"> Récupéré sur https://entreprise-rh.com/wp-content/uploads/2019/10/R%C3%A9halto-BVA-Barom%C3%A8tre-arr%C3%AAts-de-travail-2019-4.pdf</w:t>
              </w:r>
            </w:p>
            <w:p w14:paraId="3DC32320" w14:textId="2D2AC305" w:rsidR="00FD5052" w:rsidRDefault="00FD5052" w:rsidP="00CC537E">
              <w:r>
                <w:rPr>
                  <w:b/>
                  <w:bCs/>
                </w:rPr>
                <w:fldChar w:fldCharType="end"/>
              </w:r>
            </w:p>
          </w:sdtContent>
        </w:sdt>
      </w:sdtContent>
    </w:sdt>
    <w:p w14:paraId="52A071FA" w14:textId="0B4FFF4E" w:rsidR="00FD5052" w:rsidRPr="00FD5052" w:rsidRDefault="00FD5052" w:rsidP="0032482F">
      <w:pPr>
        <w:tabs>
          <w:tab w:val="left" w:pos="2093"/>
        </w:tabs>
      </w:pPr>
    </w:p>
    <w:sectPr w:rsidR="00FD5052" w:rsidRPr="00FD5052" w:rsidSect="00C57E5E">
      <w:footerReference w:type="default" r:id="rId24"/>
      <w:pgSz w:w="11906" w:h="16838"/>
      <w:pgMar w:top="1417" w:right="1417" w:bottom="1417" w:left="1417"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FA745" w14:textId="77777777" w:rsidR="00423160" w:rsidRDefault="00423160" w:rsidP="00260AC0">
      <w:pPr>
        <w:spacing w:after="0" w:line="240" w:lineRule="auto"/>
      </w:pPr>
      <w:r>
        <w:separator/>
      </w:r>
    </w:p>
  </w:endnote>
  <w:endnote w:type="continuationSeparator" w:id="0">
    <w:p w14:paraId="216B5AD0" w14:textId="77777777" w:rsidR="00423160" w:rsidRDefault="00423160" w:rsidP="00260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Omega">
    <w:altName w:val="Yu Gothic"/>
    <w:charset w:val="80"/>
    <w:family w:val="roman"/>
    <w:pitch w:val="variable"/>
  </w:font>
  <w:font w:name="Tms Rmn">
    <w:panose1 w:val="0202060304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ndara">
    <w:altName w:val="Candara"/>
    <w:panose1 w:val="020E0502030303020204"/>
    <w:charset w:val="00"/>
    <w:family w:val="swiss"/>
    <w:pitch w:val="variable"/>
    <w:sig w:usb0="A00002EF" w:usb1="4000A44B" w:usb2="00000000" w:usb3="00000000" w:csb0="0000019F" w:csb1="00000000"/>
  </w:font>
  <w:font w:name="Utopia-Bold">
    <w:altName w:val="Calibri"/>
    <w:panose1 w:val="00000000000000000000"/>
    <w:charset w:val="00"/>
    <w:family w:val="auto"/>
    <w:notTrueType/>
    <w:pitch w:val="default"/>
    <w:sig w:usb0="00000003" w:usb1="00000000" w:usb2="00000000" w:usb3="00000000" w:csb0="00000001" w:csb1="00000000"/>
  </w:font>
  <w:font w:name="Utopia-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051455"/>
      <w:docPartObj>
        <w:docPartGallery w:val="Page Numbers (Bottom of Page)"/>
        <w:docPartUnique/>
      </w:docPartObj>
    </w:sdtPr>
    <w:sdtEndPr/>
    <w:sdtContent>
      <w:p w14:paraId="4466CEEC" w14:textId="6F28E2E2" w:rsidR="00FD5052" w:rsidRDefault="00FD5052">
        <w:pPr>
          <w:pStyle w:val="Pieddepage"/>
          <w:jc w:val="center"/>
        </w:pPr>
        <w:r>
          <w:fldChar w:fldCharType="begin"/>
        </w:r>
        <w:r>
          <w:instrText>PAGE   \* MERGEFORMAT</w:instrText>
        </w:r>
        <w:r>
          <w:fldChar w:fldCharType="separate"/>
        </w:r>
        <w:r>
          <w:t>2</w:t>
        </w:r>
        <w:r>
          <w:fldChar w:fldCharType="end"/>
        </w:r>
      </w:p>
    </w:sdtContent>
  </w:sdt>
  <w:p w14:paraId="6D225A3D" w14:textId="77777777" w:rsidR="00FD5052" w:rsidRDefault="00FD505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0407B" w14:textId="77777777" w:rsidR="00423160" w:rsidRDefault="00423160" w:rsidP="00260AC0">
      <w:pPr>
        <w:spacing w:after="0" w:line="240" w:lineRule="auto"/>
      </w:pPr>
      <w:r>
        <w:separator/>
      </w:r>
    </w:p>
  </w:footnote>
  <w:footnote w:type="continuationSeparator" w:id="0">
    <w:p w14:paraId="1A14D946" w14:textId="77777777" w:rsidR="00423160" w:rsidRDefault="00423160" w:rsidP="00260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396"/>
    <w:multiLevelType w:val="hybridMultilevel"/>
    <w:tmpl w:val="2602623E"/>
    <w:lvl w:ilvl="0" w:tplc="040C0001">
      <w:start w:val="1"/>
      <w:numFmt w:val="bullet"/>
      <w:lvlText w:val=""/>
      <w:lvlJc w:val="left"/>
      <w:pPr>
        <w:ind w:left="763" w:hanging="360"/>
      </w:pPr>
      <w:rPr>
        <w:rFonts w:ascii="Symbol" w:hAnsi="Symbol" w:hint="default"/>
      </w:rPr>
    </w:lvl>
    <w:lvl w:ilvl="1" w:tplc="040C0003" w:tentative="1">
      <w:start w:val="1"/>
      <w:numFmt w:val="bullet"/>
      <w:lvlText w:val="o"/>
      <w:lvlJc w:val="left"/>
      <w:pPr>
        <w:ind w:left="1483" w:hanging="360"/>
      </w:pPr>
      <w:rPr>
        <w:rFonts w:ascii="Courier New" w:hAnsi="Courier New" w:cs="Courier New" w:hint="default"/>
      </w:rPr>
    </w:lvl>
    <w:lvl w:ilvl="2" w:tplc="040C0005" w:tentative="1">
      <w:start w:val="1"/>
      <w:numFmt w:val="bullet"/>
      <w:lvlText w:val=""/>
      <w:lvlJc w:val="left"/>
      <w:pPr>
        <w:ind w:left="2203" w:hanging="360"/>
      </w:pPr>
      <w:rPr>
        <w:rFonts w:ascii="Wingdings" w:hAnsi="Wingdings" w:hint="default"/>
      </w:rPr>
    </w:lvl>
    <w:lvl w:ilvl="3" w:tplc="040C0001" w:tentative="1">
      <w:start w:val="1"/>
      <w:numFmt w:val="bullet"/>
      <w:lvlText w:val=""/>
      <w:lvlJc w:val="left"/>
      <w:pPr>
        <w:ind w:left="2923" w:hanging="360"/>
      </w:pPr>
      <w:rPr>
        <w:rFonts w:ascii="Symbol" w:hAnsi="Symbol" w:hint="default"/>
      </w:rPr>
    </w:lvl>
    <w:lvl w:ilvl="4" w:tplc="040C0003" w:tentative="1">
      <w:start w:val="1"/>
      <w:numFmt w:val="bullet"/>
      <w:lvlText w:val="o"/>
      <w:lvlJc w:val="left"/>
      <w:pPr>
        <w:ind w:left="3643" w:hanging="360"/>
      </w:pPr>
      <w:rPr>
        <w:rFonts w:ascii="Courier New" w:hAnsi="Courier New" w:cs="Courier New" w:hint="default"/>
      </w:rPr>
    </w:lvl>
    <w:lvl w:ilvl="5" w:tplc="040C0005" w:tentative="1">
      <w:start w:val="1"/>
      <w:numFmt w:val="bullet"/>
      <w:lvlText w:val=""/>
      <w:lvlJc w:val="left"/>
      <w:pPr>
        <w:ind w:left="4363" w:hanging="360"/>
      </w:pPr>
      <w:rPr>
        <w:rFonts w:ascii="Wingdings" w:hAnsi="Wingdings" w:hint="default"/>
      </w:rPr>
    </w:lvl>
    <w:lvl w:ilvl="6" w:tplc="040C0001" w:tentative="1">
      <w:start w:val="1"/>
      <w:numFmt w:val="bullet"/>
      <w:lvlText w:val=""/>
      <w:lvlJc w:val="left"/>
      <w:pPr>
        <w:ind w:left="5083" w:hanging="360"/>
      </w:pPr>
      <w:rPr>
        <w:rFonts w:ascii="Symbol" w:hAnsi="Symbol" w:hint="default"/>
      </w:rPr>
    </w:lvl>
    <w:lvl w:ilvl="7" w:tplc="040C0003" w:tentative="1">
      <w:start w:val="1"/>
      <w:numFmt w:val="bullet"/>
      <w:lvlText w:val="o"/>
      <w:lvlJc w:val="left"/>
      <w:pPr>
        <w:ind w:left="5803" w:hanging="360"/>
      </w:pPr>
      <w:rPr>
        <w:rFonts w:ascii="Courier New" w:hAnsi="Courier New" w:cs="Courier New" w:hint="default"/>
      </w:rPr>
    </w:lvl>
    <w:lvl w:ilvl="8" w:tplc="040C0005" w:tentative="1">
      <w:start w:val="1"/>
      <w:numFmt w:val="bullet"/>
      <w:lvlText w:val=""/>
      <w:lvlJc w:val="left"/>
      <w:pPr>
        <w:ind w:left="6523" w:hanging="360"/>
      </w:pPr>
      <w:rPr>
        <w:rFonts w:ascii="Wingdings" w:hAnsi="Wingdings" w:hint="default"/>
      </w:rPr>
    </w:lvl>
  </w:abstractNum>
  <w:abstractNum w:abstractNumId="1" w15:restartNumberingAfterBreak="0">
    <w:nsid w:val="00EF79FE"/>
    <w:multiLevelType w:val="hybridMultilevel"/>
    <w:tmpl w:val="A4886492"/>
    <w:lvl w:ilvl="0" w:tplc="A68CD3DA">
      <w:start w:val="1"/>
      <w:numFmt w:val="bullet"/>
      <w:lvlText w:val=""/>
      <w:lvlJc w:val="left"/>
      <w:pPr>
        <w:tabs>
          <w:tab w:val="num" w:pos="720"/>
        </w:tabs>
        <w:ind w:left="720" w:hanging="360"/>
      </w:pPr>
      <w:rPr>
        <w:rFonts w:ascii="Wingdings" w:hAnsi="Wingdings" w:hint="default"/>
      </w:rPr>
    </w:lvl>
    <w:lvl w:ilvl="1" w:tplc="F09A0812" w:tentative="1">
      <w:start w:val="1"/>
      <w:numFmt w:val="bullet"/>
      <w:lvlText w:val=""/>
      <w:lvlJc w:val="left"/>
      <w:pPr>
        <w:tabs>
          <w:tab w:val="num" w:pos="1440"/>
        </w:tabs>
        <w:ind w:left="1440" w:hanging="360"/>
      </w:pPr>
      <w:rPr>
        <w:rFonts w:ascii="Wingdings" w:hAnsi="Wingdings" w:hint="default"/>
      </w:rPr>
    </w:lvl>
    <w:lvl w:ilvl="2" w:tplc="F940CECA" w:tentative="1">
      <w:start w:val="1"/>
      <w:numFmt w:val="bullet"/>
      <w:lvlText w:val=""/>
      <w:lvlJc w:val="left"/>
      <w:pPr>
        <w:tabs>
          <w:tab w:val="num" w:pos="2160"/>
        </w:tabs>
        <w:ind w:left="2160" w:hanging="360"/>
      </w:pPr>
      <w:rPr>
        <w:rFonts w:ascii="Wingdings" w:hAnsi="Wingdings" w:hint="default"/>
      </w:rPr>
    </w:lvl>
    <w:lvl w:ilvl="3" w:tplc="AFD63114" w:tentative="1">
      <w:start w:val="1"/>
      <w:numFmt w:val="bullet"/>
      <w:lvlText w:val=""/>
      <w:lvlJc w:val="left"/>
      <w:pPr>
        <w:tabs>
          <w:tab w:val="num" w:pos="2880"/>
        </w:tabs>
        <w:ind w:left="2880" w:hanging="360"/>
      </w:pPr>
      <w:rPr>
        <w:rFonts w:ascii="Wingdings" w:hAnsi="Wingdings" w:hint="default"/>
      </w:rPr>
    </w:lvl>
    <w:lvl w:ilvl="4" w:tplc="41DA9344" w:tentative="1">
      <w:start w:val="1"/>
      <w:numFmt w:val="bullet"/>
      <w:lvlText w:val=""/>
      <w:lvlJc w:val="left"/>
      <w:pPr>
        <w:tabs>
          <w:tab w:val="num" w:pos="3600"/>
        </w:tabs>
        <w:ind w:left="3600" w:hanging="360"/>
      </w:pPr>
      <w:rPr>
        <w:rFonts w:ascii="Wingdings" w:hAnsi="Wingdings" w:hint="default"/>
      </w:rPr>
    </w:lvl>
    <w:lvl w:ilvl="5" w:tplc="3D486EF6" w:tentative="1">
      <w:start w:val="1"/>
      <w:numFmt w:val="bullet"/>
      <w:lvlText w:val=""/>
      <w:lvlJc w:val="left"/>
      <w:pPr>
        <w:tabs>
          <w:tab w:val="num" w:pos="4320"/>
        </w:tabs>
        <w:ind w:left="4320" w:hanging="360"/>
      </w:pPr>
      <w:rPr>
        <w:rFonts w:ascii="Wingdings" w:hAnsi="Wingdings" w:hint="default"/>
      </w:rPr>
    </w:lvl>
    <w:lvl w:ilvl="6" w:tplc="6E8C7DF0" w:tentative="1">
      <w:start w:val="1"/>
      <w:numFmt w:val="bullet"/>
      <w:lvlText w:val=""/>
      <w:lvlJc w:val="left"/>
      <w:pPr>
        <w:tabs>
          <w:tab w:val="num" w:pos="5040"/>
        </w:tabs>
        <w:ind w:left="5040" w:hanging="360"/>
      </w:pPr>
      <w:rPr>
        <w:rFonts w:ascii="Wingdings" w:hAnsi="Wingdings" w:hint="default"/>
      </w:rPr>
    </w:lvl>
    <w:lvl w:ilvl="7" w:tplc="E160B928" w:tentative="1">
      <w:start w:val="1"/>
      <w:numFmt w:val="bullet"/>
      <w:lvlText w:val=""/>
      <w:lvlJc w:val="left"/>
      <w:pPr>
        <w:tabs>
          <w:tab w:val="num" w:pos="5760"/>
        </w:tabs>
        <w:ind w:left="5760" w:hanging="360"/>
      </w:pPr>
      <w:rPr>
        <w:rFonts w:ascii="Wingdings" w:hAnsi="Wingdings" w:hint="default"/>
      </w:rPr>
    </w:lvl>
    <w:lvl w:ilvl="8" w:tplc="AA2025B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0965B1"/>
    <w:multiLevelType w:val="hybridMultilevel"/>
    <w:tmpl w:val="105A8BDA"/>
    <w:lvl w:ilvl="0" w:tplc="4050925E">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8A55A57"/>
    <w:multiLevelType w:val="hybridMultilevel"/>
    <w:tmpl w:val="270E9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E915CB"/>
    <w:multiLevelType w:val="hybridMultilevel"/>
    <w:tmpl w:val="F17E0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BD73BF"/>
    <w:multiLevelType w:val="hybridMultilevel"/>
    <w:tmpl w:val="81A4F250"/>
    <w:lvl w:ilvl="0" w:tplc="040C0003">
      <w:start w:val="1"/>
      <w:numFmt w:val="bullet"/>
      <w:lvlText w:val="o"/>
      <w:lvlJc w:val="left"/>
      <w:pPr>
        <w:ind w:left="1423" w:hanging="360"/>
      </w:pPr>
      <w:rPr>
        <w:rFonts w:ascii="Courier New" w:hAnsi="Courier New" w:cs="Courier New"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6" w15:restartNumberingAfterBreak="0">
    <w:nsid w:val="1149515C"/>
    <w:multiLevelType w:val="hybridMultilevel"/>
    <w:tmpl w:val="F076A250"/>
    <w:lvl w:ilvl="0" w:tplc="405092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504F46"/>
    <w:multiLevelType w:val="hybridMultilevel"/>
    <w:tmpl w:val="F62477C6"/>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8" w15:restartNumberingAfterBreak="0">
    <w:nsid w:val="15580193"/>
    <w:multiLevelType w:val="hybridMultilevel"/>
    <w:tmpl w:val="070EEE50"/>
    <w:lvl w:ilvl="0" w:tplc="040C0005">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9" w15:restartNumberingAfterBreak="0">
    <w:nsid w:val="16E456E9"/>
    <w:multiLevelType w:val="hybridMultilevel"/>
    <w:tmpl w:val="EE0CEBDC"/>
    <w:lvl w:ilvl="0" w:tplc="7AF6C38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A3B7EB5"/>
    <w:multiLevelType w:val="hybridMultilevel"/>
    <w:tmpl w:val="AB02D7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B5C3FA3"/>
    <w:multiLevelType w:val="hybridMultilevel"/>
    <w:tmpl w:val="41B888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5D4D41"/>
    <w:multiLevelType w:val="hybridMultilevel"/>
    <w:tmpl w:val="1F602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D9E441B"/>
    <w:multiLevelType w:val="hybridMultilevel"/>
    <w:tmpl w:val="0A581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1B4A59"/>
    <w:multiLevelType w:val="hybridMultilevel"/>
    <w:tmpl w:val="F5EE2D56"/>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3039319D"/>
    <w:multiLevelType w:val="hybridMultilevel"/>
    <w:tmpl w:val="63AE60D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147F9"/>
    <w:multiLevelType w:val="hybridMultilevel"/>
    <w:tmpl w:val="E14473D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69C4D59"/>
    <w:multiLevelType w:val="hybridMultilevel"/>
    <w:tmpl w:val="09185B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2F4779"/>
    <w:multiLevelType w:val="hybridMultilevel"/>
    <w:tmpl w:val="5F14175C"/>
    <w:lvl w:ilvl="0" w:tplc="830E1238">
      <w:start w:val="1"/>
      <w:numFmt w:val="bullet"/>
      <w:lvlText w:val=""/>
      <w:lvlJc w:val="left"/>
      <w:pPr>
        <w:tabs>
          <w:tab w:val="num" w:pos="720"/>
        </w:tabs>
        <w:ind w:left="720" w:hanging="360"/>
      </w:pPr>
      <w:rPr>
        <w:rFonts w:ascii="Wingdings" w:hAnsi="Wingdings" w:hint="default"/>
      </w:rPr>
    </w:lvl>
    <w:lvl w:ilvl="1" w:tplc="73BC7F48" w:tentative="1">
      <w:start w:val="1"/>
      <w:numFmt w:val="bullet"/>
      <w:lvlText w:val=""/>
      <w:lvlJc w:val="left"/>
      <w:pPr>
        <w:tabs>
          <w:tab w:val="num" w:pos="1440"/>
        </w:tabs>
        <w:ind w:left="1440" w:hanging="360"/>
      </w:pPr>
      <w:rPr>
        <w:rFonts w:ascii="Wingdings" w:hAnsi="Wingdings" w:hint="default"/>
      </w:rPr>
    </w:lvl>
    <w:lvl w:ilvl="2" w:tplc="7DBAEEC2" w:tentative="1">
      <w:start w:val="1"/>
      <w:numFmt w:val="bullet"/>
      <w:lvlText w:val=""/>
      <w:lvlJc w:val="left"/>
      <w:pPr>
        <w:tabs>
          <w:tab w:val="num" w:pos="2160"/>
        </w:tabs>
        <w:ind w:left="2160" w:hanging="360"/>
      </w:pPr>
      <w:rPr>
        <w:rFonts w:ascii="Wingdings" w:hAnsi="Wingdings" w:hint="default"/>
      </w:rPr>
    </w:lvl>
    <w:lvl w:ilvl="3" w:tplc="2D18630A" w:tentative="1">
      <w:start w:val="1"/>
      <w:numFmt w:val="bullet"/>
      <w:lvlText w:val=""/>
      <w:lvlJc w:val="left"/>
      <w:pPr>
        <w:tabs>
          <w:tab w:val="num" w:pos="2880"/>
        </w:tabs>
        <w:ind w:left="2880" w:hanging="360"/>
      </w:pPr>
      <w:rPr>
        <w:rFonts w:ascii="Wingdings" w:hAnsi="Wingdings" w:hint="default"/>
      </w:rPr>
    </w:lvl>
    <w:lvl w:ilvl="4" w:tplc="D1487336" w:tentative="1">
      <w:start w:val="1"/>
      <w:numFmt w:val="bullet"/>
      <w:lvlText w:val=""/>
      <w:lvlJc w:val="left"/>
      <w:pPr>
        <w:tabs>
          <w:tab w:val="num" w:pos="3600"/>
        </w:tabs>
        <w:ind w:left="3600" w:hanging="360"/>
      </w:pPr>
      <w:rPr>
        <w:rFonts w:ascii="Wingdings" w:hAnsi="Wingdings" w:hint="default"/>
      </w:rPr>
    </w:lvl>
    <w:lvl w:ilvl="5" w:tplc="62D8637A" w:tentative="1">
      <w:start w:val="1"/>
      <w:numFmt w:val="bullet"/>
      <w:lvlText w:val=""/>
      <w:lvlJc w:val="left"/>
      <w:pPr>
        <w:tabs>
          <w:tab w:val="num" w:pos="4320"/>
        </w:tabs>
        <w:ind w:left="4320" w:hanging="360"/>
      </w:pPr>
      <w:rPr>
        <w:rFonts w:ascii="Wingdings" w:hAnsi="Wingdings" w:hint="default"/>
      </w:rPr>
    </w:lvl>
    <w:lvl w:ilvl="6" w:tplc="B6347C38" w:tentative="1">
      <w:start w:val="1"/>
      <w:numFmt w:val="bullet"/>
      <w:lvlText w:val=""/>
      <w:lvlJc w:val="left"/>
      <w:pPr>
        <w:tabs>
          <w:tab w:val="num" w:pos="5040"/>
        </w:tabs>
        <w:ind w:left="5040" w:hanging="360"/>
      </w:pPr>
      <w:rPr>
        <w:rFonts w:ascii="Wingdings" w:hAnsi="Wingdings" w:hint="default"/>
      </w:rPr>
    </w:lvl>
    <w:lvl w:ilvl="7" w:tplc="DB2E1340" w:tentative="1">
      <w:start w:val="1"/>
      <w:numFmt w:val="bullet"/>
      <w:lvlText w:val=""/>
      <w:lvlJc w:val="left"/>
      <w:pPr>
        <w:tabs>
          <w:tab w:val="num" w:pos="5760"/>
        </w:tabs>
        <w:ind w:left="5760" w:hanging="360"/>
      </w:pPr>
      <w:rPr>
        <w:rFonts w:ascii="Wingdings" w:hAnsi="Wingdings" w:hint="default"/>
      </w:rPr>
    </w:lvl>
    <w:lvl w:ilvl="8" w:tplc="E6061A8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AF1223"/>
    <w:multiLevelType w:val="hybridMultilevel"/>
    <w:tmpl w:val="E3665F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3F0C44"/>
    <w:multiLevelType w:val="hybridMultilevel"/>
    <w:tmpl w:val="7A2EA404"/>
    <w:lvl w:ilvl="0" w:tplc="B8AC264C">
      <w:start w:val="1"/>
      <w:numFmt w:val="bullet"/>
      <w:lvlText w:val=""/>
      <w:lvlJc w:val="left"/>
      <w:pPr>
        <w:tabs>
          <w:tab w:val="num" w:pos="720"/>
        </w:tabs>
        <w:ind w:left="720" w:hanging="360"/>
      </w:pPr>
      <w:rPr>
        <w:rFonts w:ascii="Wingdings" w:hAnsi="Wingdings" w:hint="default"/>
      </w:rPr>
    </w:lvl>
    <w:lvl w:ilvl="1" w:tplc="AF1C3A4E" w:tentative="1">
      <w:start w:val="1"/>
      <w:numFmt w:val="bullet"/>
      <w:lvlText w:val=""/>
      <w:lvlJc w:val="left"/>
      <w:pPr>
        <w:tabs>
          <w:tab w:val="num" w:pos="1440"/>
        </w:tabs>
        <w:ind w:left="1440" w:hanging="360"/>
      </w:pPr>
      <w:rPr>
        <w:rFonts w:ascii="Wingdings" w:hAnsi="Wingdings" w:hint="default"/>
      </w:rPr>
    </w:lvl>
    <w:lvl w:ilvl="2" w:tplc="413855C6" w:tentative="1">
      <w:start w:val="1"/>
      <w:numFmt w:val="bullet"/>
      <w:lvlText w:val=""/>
      <w:lvlJc w:val="left"/>
      <w:pPr>
        <w:tabs>
          <w:tab w:val="num" w:pos="2160"/>
        </w:tabs>
        <w:ind w:left="2160" w:hanging="360"/>
      </w:pPr>
      <w:rPr>
        <w:rFonts w:ascii="Wingdings" w:hAnsi="Wingdings" w:hint="default"/>
      </w:rPr>
    </w:lvl>
    <w:lvl w:ilvl="3" w:tplc="0AA0E0AE" w:tentative="1">
      <w:start w:val="1"/>
      <w:numFmt w:val="bullet"/>
      <w:lvlText w:val=""/>
      <w:lvlJc w:val="left"/>
      <w:pPr>
        <w:tabs>
          <w:tab w:val="num" w:pos="2880"/>
        </w:tabs>
        <w:ind w:left="2880" w:hanging="360"/>
      </w:pPr>
      <w:rPr>
        <w:rFonts w:ascii="Wingdings" w:hAnsi="Wingdings" w:hint="default"/>
      </w:rPr>
    </w:lvl>
    <w:lvl w:ilvl="4" w:tplc="14124904" w:tentative="1">
      <w:start w:val="1"/>
      <w:numFmt w:val="bullet"/>
      <w:lvlText w:val=""/>
      <w:lvlJc w:val="left"/>
      <w:pPr>
        <w:tabs>
          <w:tab w:val="num" w:pos="3600"/>
        </w:tabs>
        <w:ind w:left="3600" w:hanging="360"/>
      </w:pPr>
      <w:rPr>
        <w:rFonts w:ascii="Wingdings" w:hAnsi="Wingdings" w:hint="default"/>
      </w:rPr>
    </w:lvl>
    <w:lvl w:ilvl="5" w:tplc="AABEB304" w:tentative="1">
      <w:start w:val="1"/>
      <w:numFmt w:val="bullet"/>
      <w:lvlText w:val=""/>
      <w:lvlJc w:val="left"/>
      <w:pPr>
        <w:tabs>
          <w:tab w:val="num" w:pos="4320"/>
        </w:tabs>
        <w:ind w:left="4320" w:hanging="360"/>
      </w:pPr>
      <w:rPr>
        <w:rFonts w:ascii="Wingdings" w:hAnsi="Wingdings" w:hint="default"/>
      </w:rPr>
    </w:lvl>
    <w:lvl w:ilvl="6" w:tplc="4F66602C" w:tentative="1">
      <w:start w:val="1"/>
      <w:numFmt w:val="bullet"/>
      <w:lvlText w:val=""/>
      <w:lvlJc w:val="left"/>
      <w:pPr>
        <w:tabs>
          <w:tab w:val="num" w:pos="5040"/>
        </w:tabs>
        <w:ind w:left="5040" w:hanging="360"/>
      </w:pPr>
      <w:rPr>
        <w:rFonts w:ascii="Wingdings" w:hAnsi="Wingdings" w:hint="default"/>
      </w:rPr>
    </w:lvl>
    <w:lvl w:ilvl="7" w:tplc="0E86A086" w:tentative="1">
      <w:start w:val="1"/>
      <w:numFmt w:val="bullet"/>
      <w:lvlText w:val=""/>
      <w:lvlJc w:val="left"/>
      <w:pPr>
        <w:tabs>
          <w:tab w:val="num" w:pos="5760"/>
        </w:tabs>
        <w:ind w:left="5760" w:hanging="360"/>
      </w:pPr>
      <w:rPr>
        <w:rFonts w:ascii="Wingdings" w:hAnsi="Wingdings" w:hint="default"/>
      </w:rPr>
    </w:lvl>
    <w:lvl w:ilvl="8" w:tplc="E6E0D60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C91F9C"/>
    <w:multiLevelType w:val="hybridMultilevel"/>
    <w:tmpl w:val="AEBE47CE"/>
    <w:lvl w:ilvl="0" w:tplc="221CD1CC">
      <w:start w:val="1"/>
      <w:numFmt w:val="bullet"/>
      <w:lvlText w:val=""/>
      <w:lvlJc w:val="left"/>
      <w:pPr>
        <w:tabs>
          <w:tab w:val="num" w:pos="720"/>
        </w:tabs>
        <w:ind w:left="720" w:hanging="360"/>
      </w:pPr>
      <w:rPr>
        <w:rFonts w:ascii="Wingdings" w:hAnsi="Wingdings" w:hint="default"/>
      </w:rPr>
    </w:lvl>
    <w:lvl w:ilvl="1" w:tplc="1B7E1788" w:tentative="1">
      <w:start w:val="1"/>
      <w:numFmt w:val="bullet"/>
      <w:lvlText w:val=""/>
      <w:lvlJc w:val="left"/>
      <w:pPr>
        <w:tabs>
          <w:tab w:val="num" w:pos="1440"/>
        </w:tabs>
        <w:ind w:left="1440" w:hanging="360"/>
      </w:pPr>
      <w:rPr>
        <w:rFonts w:ascii="Wingdings" w:hAnsi="Wingdings" w:hint="default"/>
      </w:rPr>
    </w:lvl>
    <w:lvl w:ilvl="2" w:tplc="2EEEB3B2" w:tentative="1">
      <w:start w:val="1"/>
      <w:numFmt w:val="bullet"/>
      <w:lvlText w:val=""/>
      <w:lvlJc w:val="left"/>
      <w:pPr>
        <w:tabs>
          <w:tab w:val="num" w:pos="2160"/>
        </w:tabs>
        <w:ind w:left="2160" w:hanging="360"/>
      </w:pPr>
      <w:rPr>
        <w:rFonts w:ascii="Wingdings" w:hAnsi="Wingdings" w:hint="default"/>
      </w:rPr>
    </w:lvl>
    <w:lvl w:ilvl="3" w:tplc="2BB87C7A" w:tentative="1">
      <w:start w:val="1"/>
      <w:numFmt w:val="bullet"/>
      <w:lvlText w:val=""/>
      <w:lvlJc w:val="left"/>
      <w:pPr>
        <w:tabs>
          <w:tab w:val="num" w:pos="2880"/>
        </w:tabs>
        <w:ind w:left="2880" w:hanging="360"/>
      </w:pPr>
      <w:rPr>
        <w:rFonts w:ascii="Wingdings" w:hAnsi="Wingdings" w:hint="default"/>
      </w:rPr>
    </w:lvl>
    <w:lvl w:ilvl="4" w:tplc="C7ACB660" w:tentative="1">
      <w:start w:val="1"/>
      <w:numFmt w:val="bullet"/>
      <w:lvlText w:val=""/>
      <w:lvlJc w:val="left"/>
      <w:pPr>
        <w:tabs>
          <w:tab w:val="num" w:pos="3600"/>
        </w:tabs>
        <w:ind w:left="3600" w:hanging="360"/>
      </w:pPr>
      <w:rPr>
        <w:rFonts w:ascii="Wingdings" w:hAnsi="Wingdings" w:hint="default"/>
      </w:rPr>
    </w:lvl>
    <w:lvl w:ilvl="5" w:tplc="2F3682BE" w:tentative="1">
      <w:start w:val="1"/>
      <w:numFmt w:val="bullet"/>
      <w:lvlText w:val=""/>
      <w:lvlJc w:val="left"/>
      <w:pPr>
        <w:tabs>
          <w:tab w:val="num" w:pos="4320"/>
        </w:tabs>
        <w:ind w:left="4320" w:hanging="360"/>
      </w:pPr>
      <w:rPr>
        <w:rFonts w:ascii="Wingdings" w:hAnsi="Wingdings" w:hint="default"/>
      </w:rPr>
    </w:lvl>
    <w:lvl w:ilvl="6" w:tplc="24EE0298" w:tentative="1">
      <w:start w:val="1"/>
      <w:numFmt w:val="bullet"/>
      <w:lvlText w:val=""/>
      <w:lvlJc w:val="left"/>
      <w:pPr>
        <w:tabs>
          <w:tab w:val="num" w:pos="5040"/>
        </w:tabs>
        <w:ind w:left="5040" w:hanging="360"/>
      </w:pPr>
      <w:rPr>
        <w:rFonts w:ascii="Wingdings" w:hAnsi="Wingdings" w:hint="default"/>
      </w:rPr>
    </w:lvl>
    <w:lvl w:ilvl="7" w:tplc="E1BEC408" w:tentative="1">
      <w:start w:val="1"/>
      <w:numFmt w:val="bullet"/>
      <w:lvlText w:val=""/>
      <w:lvlJc w:val="left"/>
      <w:pPr>
        <w:tabs>
          <w:tab w:val="num" w:pos="5760"/>
        </w:tabs>
        <w:ind w:left="5760" w:hanging="360"/>
      </w:pPr>
      <w:rPr>
        <w:rFonts w:ascii="Wingdings" w:hAnsi="Wingdings" w:hint="default"/>
      </w:rPr>
    </w:lvl>
    <w:lvl w:ilvl="8" w:tplc="E83E240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C96E7C"/>
    <w:multiLevelType w:val="hybridMultilevel"/>
    <w:tmpl w:val="9A6E02F4"/>
    <w:lvl w:ilvl="0" w:tplc="040C0001">
      <w:start w:val="1"/>
      <w:numFmt w:val="bullet"/>
      <w:lvlText w:val=""/>
      <w:lvlJc w:val="left"/>
      <w:pPr>
        <w:ind w:left="770" w:hanging="360"/>
      </w:pPr>
      <w:rPr>
        <w:rFonts w:ascii="Symbol" w:hAnsi="Symbol" w:hint="default"/>
      </w:rPr>
    </w:lvl>
    <w:lvl w:ilvl="1" w:tplc="040C0003">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3" w15:restartNumberingAfterBreak="0">
    <w:nsid w:val="4B2053C2"/>
    <w:multiLevelType w:val="hybridMultilevel"/>
    <w:tmpl w:val="F356F02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B45647B"/>
    <w:multiLevelType w:val="hybridMultilevel"/>
    <w:tmpl w:val="FC200DEA"/>
    <w:lvl w:ilvl="0" w:tplc="0B006406">
      <w:start w:val="1"/>
      <w:numFmt w:val="bullet"/>
      <w:lvlText w:val=""/>
      <w:lvlJc w:val="left"/>
      <w:pPr>
        <w:tabs>
          <w:tab w:val="num" w:pos="720"/>
        </w:tabs>
        <w:ind w:left="720" w:hanging="360"/>
      </w:pPr>
      <w:rPr>
        <w:rFonts w:ascii="Wingdings" w:hAnsi="Wingdings" w:hint="default"/>
      </w:rPr>
    </w:lvl>
    <w:lvl w:ilvl="1" w:tplc="BE8235EC" w:tentative="1">
      <w:start w:val="1"/>
      <w:numFmt w:val="bullet"/>
      <w:lvlText w:val=""/>
      <w:lvlJc w:val="left"/>
      <w:pPr>
        <w:tabs>
          <w:tab w:val="num" w:pos="1440"/>
        </w:tabs>
        <w:ind w:left="1440" w:hanging="360"/>
      </w:pPr>
      <w:rPr>
        <w:rFonts w:ascii="Wingdings" w:hAnsi="Wingdings" w:hint="default"/>
      </w:rPr>
    </w:lvl>
    <w:lvl w:ilvl="2" w:tplc="04B4C0DE" w:tentative="1">
      <w:start w:val="1"/>
      <w:numFmt w:val="bullet"/>
      <w:lvlText w:val=""/>
      <w:lvlJc w:val="left"/>
      <w:pPr>
        <w:tabs>
          <w:tab w:val="num" w:pos="2160"/>
        </w:tabs>
        <w:ind w:left="2160" w:hanging="360"/>
      </w:pPr>
      <w:rPr>
        <w:rFonts w:ascii="Wingdings" w:hAnsi="Wingdings" w:hint="default"/>
      </w:rPr>
    </w:lvl>
    <w:lvl w:ilvl="3" w:tplc="767C0180" w:tentative="1">
      <w:start w:val="1"/>
      <w:numFmt w:val="bullet"/>
      <w:lvlText w:val=""/>
      <w:lvlJc w:val="left"/>
      <w:pPr>
        <w:tabs>
          <w:tab w:val="num" w:pos="2880"/>
        </w:tabs>
        <w:ind w:left="2880" w:hanging="360"/>
      </w:pPr>
      <w:rPr>
        <w:rFonts w:ascii="Wingdings" w:hAnsi="Wingdings" w:hint="default"/>
      </w:rPr>
    </w:lvl>
    <w:lvl w:ilvl="4" w:tplc="E856D160" w:tentative="1">
      <w:start w:val="1"/>
      <w:numFmt w:val="bullet"/>
      <w:lvlText w:val=""/>
      <w:lvlJc w:val="left"/>
      <w:pPr>
        <w:tabs>
          <w:tab w:val="num" w:pos="3600"/>
        </w:tabs>
        <w:ind w:left="3600" w:hanging="360"/>
      </w:pPr>
      <w:rPr>
        <w:rFonts w:ascii="Wingdings" w:hAnsi="Wingdings" w:hint="default"/>
      </w:rPr>
    </w:lvl>
    <w:lvl w:ilvl="5" w:tplc="E48C78A4" w:tentative="1">
      <w:start w:val="1"/>
      <w:numFmt w:val="bullet"/>
      <w:lvlText w:val=""/>
      <w:lvlJc w:val="left"/>
      <w:pPr>
        <w:tabs>
          <w:tab w:val="num" w:pos="4320"/>
        </w:tabs>
        <w:ind w:left="4320" w:hanging="360"/>
      </w:pPr>
      <w:rPr>
        <w:rFonts w:ascii="Wingdings" w:hAnsi="Wingdings" w:hint="default"/>
      </w:rPr>
    </w:lvl>
    <w:lvl w:ilvl="6" w:tplc="A1E8C2A2" w:tentative="1">
      <w:start w:val="1"/>
      <w:numFmt w:val="bullet"/>
      <w:lvlText w:val=""/>
      <w:lvlJc w:val="left"/>
      <w:pPr>
        <w:tabs>
          <w:tab w:val="num" w:pos="5040"/>
        </w:tabs>
        <w:ind w:left="5040" w:hanging="360"/>
      </w:pPr>
      <w:rPr>
        <w:rFonts w:ascii="Wingdings" w:hAnsi="Wingdings" w:hint="default"/>
      </w:rPr>
    </w:lvl>
    <w:lvl w:ilvl="7" w:tplc="44A04090" w:tentative="1">
      <w:start w:val="1"/>
      <w:numFmt w:val="bullet"/>
      <w:lvlText w:val=""/>
      <w:lvlJc w:val="left"/>
      <w:pPr>
        <w:tabs>
          <w:tab w:val="num" w:pos="5760"/>
        </w:tabs>
        <w:ind w:left="5760" w:hanging="360"/>
      </w:pPr>
      <w:rPr>
        <w:rFonts w:ascii="Wingdings" w:hAnsi="Wingdings" w:hint="default"/>
      </w:rPr>
    </w:lvl>
    <w:lvl w:ilvl="8" w:tplc="528C140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BE73A0"/>
    <w:multiLevelType w:val="hybridMultilevel"/>
    <w:tmpl w:val="4132A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ECA58E2"/>
    <w:multiLevelType w:val="hybridMultilevel"/>
    <w:tmpl w:val="4C945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EF97CA9"/>
    <w:multiLevelType w:val="hybridMultilevel"/>
    <w:tmpl w:val="495CBB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14C0629"/>
    <w:multiLevelType w:val="hybridMultilevel"/>
    <w:tmpl w:val="ECFE5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3FB0BCD"/>
    <w:multiLevelType w:val="hybridMultilevel"/>
    <w:tmpl w:val="C1849EC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0" w15:restartNumberingAfterBreak="0">
    <w:nsid w:val="55CE1629"/>
    <w:multiLevelType w:val="hybridMultilevel"/>
    <w:tmpl w:val="9CB08E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243420"/>
    <w:multiLevelType w:val="hybridMultilevel"/>
    <w:tmpl w:val="F01CE8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411791"/>
    <w:multiLevelType w:val="hybridMultilevel"/>
    <w:tmpl w:val="F54036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C4D4B09"/>
    <w:multiLevelType w:val="hybridMultilevel"/>
    <w:tmpl w:val="BBC4C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1D336F1"/>
    <w:multiLevelType w:val="hybridMultilevel"/>
    <w:tmpl w:val="E81873D0"/>
    <w:lvl w:ilvl="0" w:tplc="040C0005">
      <w:start w:val="1"/>
      <w:numFmt w:val="bullet"/>
      <w:lvlText w:val=""/>
      <w:lvlJc w:val="left"/>
      <w:pPr>
        <w:ind w:left="1423" w:hanging="360"/>
      </w:pPr>
      <w:rPr>
        <w:rFonts w:ascii="Wingdings" w:hAnsi="Wingdings" w:hint="default"/>
      </w:rPr>
    </w:lvl>
    <w:lvl w:ilvl="1" w:tplc="040C0003">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35" w15:restartNumberingAfterBreak="0">
    <w:nsid w:val="67090280"/>
    <w:multiLevelType w:val="hybridMultilevel"/>
    <w:tmpl w:val="15ACB824"/>
    <w:lvl w:ilvl="0" w:tplc="405092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A84C2B"/>
    <w:multiLevelType w:val="hybridMultilevel"/>
    <w:tmpl w:val="0952E8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B74032B"/>
    <w:multiLevelType w:val="hybridMultilevel"/>
    <w:tmpl w:val="70200EE4"/>
    <w:lvl w:ilvl="0" w:tplc="040C0005">
      <w:start w:val="1"/>
      <w:numFmt w:val="bullet"/>
      <w:lvlText w:val=""/>
      <w:lvlJc w:val="left"/>
      <w:pPr>
        <w:ind w:left="1003" w:hanging="360"/>
      </w:pPr>
      <w:rPr>
        <w:rFonts w:ascii="Wingdings" w:hAnsi="Wingdings"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38" w15:restartNumberingAfterBreak="0">
    <w:nsid w:val="6D9B12E2"/>
    <w:multiLevelType w:val="hybridMultilevel"/>
    <w:tmpl w:val="23C0E44A"/>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9" w15:restartNumberingAfterBreak="0">
    <w:nsid w:val="6DEC534D"/>
    <w:multiLevelType w:val="hybridMultilevel"/>
    <w:tmpl w:val="F4CE1F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510303C"/>
    <w:multiLevelType w:val="hybridMultilevel"/>
    <w:tmpl w:val="62EA23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CAC26BB"/>
    <w:multiLevelType w:val="hybridMultilevel"/>
    <w:tmpl w:val="25E672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FC615C4"/>
    <w:multiLevelType w:val="hybridMultilevel"/>
    <w:tmpl w:val="DF6CBBE6"/>
    <w:lvl w:ilvl="0" w:tplc="405092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33"/>
  </w:num>
  <w:num w:numId="3">
    <w:abstractNumId w:val="28"/>
  </w:num>
  <w:num w:numId="4">
    <w:abstractNumId w:val="26"/>
  </w:num>
  <w:num w:numId="5">
    <w:abstractNumId w:val="22"/>
  </w:num>
  <w:num w:numId="6">
    <w:abstractNumId w:val="34"/>
  </w:num>
  <w:num w:numId="7">
    <w:abstractNumId w:val="19"/>
  </w:num>
  <w:num w:numId="8">
    <w:abstractNumId w:val="10"/>
  </w:num>
  <w:num w:numId="9">
    <w:abstractNumId w:val="31"/>
  </w:num>
  <w:num w:numId="10">
    <w:abstractNumId w:val="17"/>
  </w:num>
  <w:num w:numId="11">
    <w:abstractNumId w:val="41"/>
  </w:num>
  <w:num w:numId="12">
    <w:abstractNumId w:val="16"/>
  </w:num>
  <w:num w:numId="13">
    <w:abstractNumId w:val="27"/>
  </w:num>
  <w:num w:numId="14">
    <w:abstractNumId w:val="7"/>
  </w:num>
  <w:num w:numId="15">
    <w:abstractNumId w:val="40"/>
  </w:num>
  <w:num w:numId="16">
    <w:abstractNumId w:val="11"/>
  </w:num>
  <w:num w:numId="17">
    <w:abstractNumId w:val="36"/>
  </w:num>
  <w:num w:numId="18">
    <w:abstractNumId w:val="30"/>
  </w:num>
  <w:num w:numId="19">
    <w:abstractNumId w:val="37"/>
  </w:num>
  <w:num w:numId="20">
    <w:abstractNumId w:val="3"/>
  </w:num>
  <w:num w:numId="21">
    <w:abstractNumId w:val="15"/>
  </w:num>
  <w:num w:numId="22">
    <w:abstractNumId w:val="9"/>
  </w:num>
  <w:num w:numId="23">
    <w:abstractNumId w:val="4"/>
  </w:num>
  <w:num w:numId="24">
    <w:abstractNumId w:val="0"/>
  </w:num>
  <w:num w:numId="25">
    <w:abstractNumId w:val="13"/>
  </w:num>
  <w:num w:numId="26">
    <w:abstractNumId w:val="39"/>
  </w:num>
  <w:num w:numId="27">
    <w:abstractNumId w:val="38"/>
  </w:num>
  <w:num w:numId="28">
    <w:abstractNumId w:val="23"/>
  </w:num>
  <w:num w:numId="29">
    <w:abstractNumId w:val="8"/>
  </w:num>
  <w:num w:numId="30">
    <w:abstractNumId w:val="35"/>
  </w:num>
  <w:num w:numId="31">
    <w:abstractNumId w:val="14"/>
  </w:num>
  <w:num w:numId="32">
    <w:abstractNumId w:val="5"/>
  </w:num>
  <w:num w:numId="33">
    <w:abstractNumId w:val="12"/>
  </w:num>
  <w:num w:numId="34">
    <w:abstractNumId w:val="42"/>
  </w:num>
  <w:num w:numId="35">
    <w:abstractNumId w:val="18"/>
  </w:num>
  <w:num w:numId="36">
    <w:abstractNumId w:val="21"/>
  </w:num>
  <w:num w:numId="37">
    <w:abstractNumId w:val="20"/>
  </w:num>
  <w:num w:numId="38">
    <w:abstractNumId w:val="1"/>
  </w:num>
  <w:num w:numId="39">
    <w:abstractNumId w:val="24"/>
  </w:num>
  <w:num w:numId="40">
    <w:abstractNumId w:val="2"/>
  </w:num>
  <w:num w:numId="41">
    <w:abstractNumId w:val="29"/>
  </w:num>
  <w:num w:numId="42">
    <w:abstractNumId w:val="6"/>
  </w:num>
  <w:num w:numId="43">
    <w:abstractNumId w:val="3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40"/>
    <w:rsid w:val="000046F7"/>
    <w:rsid w:val="00025912"/>
    <w:rsid w:val="000273B5"/>
    <w:rsid w:val="00033CE8"/>
    <w:rsid w:val="00053CE5"/>
    <w:rsid w:val="000605D4"/>
    <w:rsid w:val="000628FE"/>
    <w:rsid w:val="000649C9"/>
    <w:rsid w:val="00070EF6"/>
    <w:rsid w:val="0007518C"/>
    <w:rsid w:val="000A3616"/>
    <w:rsid w:val="000C235A"/>
    <w:rsid w:val="000C387D"/>
    <w:rsid w:val="0012643E"/>
    <w:rsid w:val="001322DF"/>
    <w:rsid w:val="00154541"/>
    <w:rsid w:val="00163B1C"/>
    <w:rsid w:val="0017422A"/>
    <w:rsid w:val="001811D2"/>
    <w:rsid w:val="0019409C"/>
    <w:rsid w:val="001969F9"/>
    <w:rsid w:val="001B2AD8"/>
    <w:rsid w:val="001B3A0A"/>
    <w:rsid w:val="001B7625"/>
    <w:rsid w:val="0020223C"/>
    <w:rsid w:val="0020407C"/>
    <w:rsid w:val="00214899"/>
    <w:rsid w:val="00215D68"/>
    <w:rsid w:val="00230D49"/>
    <w:rsid w:val="00242245"/>
    <w:rsid w:val="00245FB4"/>
    <w:rsid w:val="00260AC0"/>
    <w:rsid w:val="00266DD7"/>
    <w:rsid w:val="0027197C"/>
    <w:rsid w:val="00283363"/>
    <w:rsid w:val="00294B8F"/>
    <w:rsid w:val="00296E07"/>
    <w:rsid w:val="002B4499"/>
    <w:rsid w:val="002C782A"/>
    <w:rsid w:val="002D5679"/>
    <w:rsid w:val="002D74C7"/>
    <w:rsid w:val="002E04D4"/>
    <w:rsid w:val="002E13A3"/>
    <w:rsid w:val="002F2EFF"/>
    <w:rsid w:val="0032482F"/>
    <w:rsid w:val="00335EBE"/>
    <w:rsid w:val="00350A0A"/>
    <w:rsid w:val="00385FB3"/>
    <w:rsid w:val="003965B1"/>
    <w:rsid w:val="00397EA1"/>
    <w:rsid w:val="003A76E2"/>
    <w:rsid w:val="003B3EDA"/>
    <w:rsid w:val="003C1098"/>
    <w:rsid w:val="003C4FA0"/>
    <w:rsid w:val="003C752A"/>
    <w:rsid w:val="003D4032"/>
    <w:rsid w:val="003E0C37"/>
    <w:rsid w:val="003E41AA"/>
    <w:rsid w:val="003E5258"/>
    <w:rsid w:val="003F058D"/>
    <w:rsid w:val="003F0B1C"/>
    <w:rsid w:val="004057A7"/>
    <w:rsid w:val="004108B0"/>
    <w:rsid w:val="004167E1"/>
    <w:rsid w:val="00421FAA"/>
    <w:rsid w:val="00423160"/>
    <w:rsid w:val="00456F0C"/>
    <w:rsid w:val="0046574F"/>
    <w:rsid w:val="0048476F"/>
    <w:rsid w:val="00494548"/>
    <w:rsid w:val="004A5139"/>
    <w:rsid w:val="004D3176"/>
    <w:rsid w:val="004D450D"/>
    <w:rsid w:val="004F5DA7"/>
    <w:rsid w:val="005100C8"/>
    <w:rsid w:val="005303CD"/>
    <w:rsid w:val="005423EC"/>
    <w:rsid w:val="00552EF3"/>
    <w:rsid w:val="005B2353"/>
    <w:rsid w:val="005E1C3A"/>
    <w:rsid w:val="005F1B32"/>
    <w:rsid w:val="005F5B85"/>
    <w:rsid w:val="00602D96"/>
    <w:rsid w:val="00621C55"/>
    <w:rsid w:val="0062499A"/>
    <w:rsid w:val="00637264"/>
    <w:rsid w:val="006471B9"/>
    <w:rsid w:val="006476E8"/>
    <w:rsid w:val="00661A1B"/>
    <w:rsid w:val="00662879"/>
    <w:rsid w:val="00676A53"/>
    <w:rsid w:val="006878CD"/>
    <w:rsid w:val="006A3D5B"/>
    <w:rsid w:val="006A3FB9"/>
    <w:rsid w:val="006B00D1"/>
    <w:rsid w:val="006B718A"/>
    <w:rsid w:val="006E5444"/>
    <w:rsid w:val="006F238C"/>
    <w:rsid w:val="006F6474"/>
    <w:rsid w:val="00721820"/>
    <w:rsid w:val="00723223"/>
    <w:rsid w:val="00747135"/>
    <w:rsid w:val="0077022A"/>
    <w:rsid w:val="00775045"/>
    <w:rsid w:val="00780D29"/>
    <w:rsid w:val="007861DA"/>
    <w:rsid w:val="007A2019"/>
    <w:rsid w:val="007D653B"/>
    <w:rsid w:val="007E5C00"/>
    <w:rsid w:val="00807575"/>
    <w:rsid w:val="00815D90"/>
    <w:rsid w:val="00816B10"/>
    <w:rsid w:val="00820C0F"/>
    <w:rsid w:val="00823F3F"/>
    <w:rsid w:val="00826370"/>
    <w:rsid w:val="00830330"/>
    <w:rsid w:val="00843D17"/>
    <w:rsid w:val="00850DE0"/>
    <w:rsid w:val="00850EFE"/>
    <w:rsid w:val="0085582F"/>
    <w:rsid w:val="00862C24"/>
    <w:rsid w:val="008706F7"/>
    <w:rsid w:val="008C35AC"/>
    <w:rsid w:val="008E18D4"/>
    <w:rsid w:val="00913A68"/>
    <w:rsid w:val="009177F2"/>
    <w:rsid w:val="009212F2"/>
    <w:rsid w:val="009410B2"/>
    <w:rsid w:val="0097744D"/>
    <w:rsid w:val="00982F68"/>
    <w:rsid w:val="009875C8"/>
    <w:rsid w:val="009C014E"/>
    <w:rsid w:val="009D0087"/>
    <w:rsid w:val="009D742E"/>
    <w:rsid w:val="009E37DF"/>
    <w:rsid w:val="009E7804"/>
    <w:rsid w:val="00A103B7"/>
    <w:rsid w:val="00A159FF"/>
    <w:rsid w:val="00A37CC4"/>
    <w:rsid w:val="00A41C6F"/>
    <w:rsid w:val="00A51CCF"/>
    <w:rsid w:val="00A529CB"/>
    <w:rsid w:val="00A71C6E"/>
    <w:rsid w:val="00A74A85"/>
    <w:rsid w:val="00A84E4C"/>
    <w:rsid w:val="00AA2D9D"/>
    <w:rsid w:val="00AB44E0"/>
    <w:rsid w:val="00AC1FD6"/>
    <w:rsid w:val="00AC25EE"/>
    <w:rsid w:val="00AC6C46"/>
    <w:rsid w:val="00AC7AE8"/>
    <w:rsid w:val="00AE5FC5"/>
    <w:rsid w:val="00AF56B0"/>
    <w:rsid w:val="00B031FB"/>
    <w:rsid w:val="00B11043"/>
    <w:rsid w:val="00B3024D"/>
    <w:rsid w:val="00B320F2"/>
    <w:rsid w:val="00B51CF2"/>
    <w:rsid w:val="00B610EB"/>
    <w:rsid w:val="00B71D8B"/>
    <w:rsid w:val="00B85F07"/>
    <w:rsid w:val="00B8637C"/>
    <w:rsid w:val="00B948DB"/>
    <w:rsid w:val="00BA57B2"/>
    <w:rsid w:val="00BB2BAB"/>
    <w:rsid w:val="00BB40B6"/>
    <w:rsid w:val="00BB5F86"/>
    <w:rsid w:val="00BD24A2"/>
    <w:rsid w:val="00C040FB"/>
    <w:rsid w:val="00C21A8E"/>
    <w:rsid w:val="00C4573A"/>
    <w:rsid w:val="00C54EAB"/>
    <w:rsid w:val="00C57E5E"/>
    <w:rsid w:val="00C737EF"/>
    <w:rsid w:val="00C8300D"/>
    <w:rsid w:val="00C85FED"/>
    <w:rsid w:val="00C95FB0"/>
    <w:rsid w:val="00CA31DB"/>
    <w:rsid w:val="00CC50F3"/>
    <w:rsid w:val="00CC537E"/>
    <w:rsid w:val="00CC560A"/>
    <w:rsid w:val="00CE0C9B"/>
    <w:rsid w:val="00CE6D17"/>
    <w:rsid w:val="00CF7F66"/>
    <w:rsid w:val="00D105BB"/>
    <w:rsid w:val="00D2593E"/>
    <w:rsid w:val="00D2767C"/>
    <w:rsid w:val="00D33417"/>
    <w:rsid w:val="00D46B28"/>
    <w:rsid w:val="00D479BF"/>
    <w:rsid w:val="00D52CBD"/>
    <w:rsid w:val="00D5746E"/>
    <w:rsid w:val="00D71E35"/>
    <w:rsid w:val="00D73F95"/>
    <w:rsid w:val="00D917AA"/>
    <w:rsid w:val="00DC1238"/>
    <w:rsid w:val="00DC7CBA"/>
    <w:rsid w:val="00DE62CE"/>
    <w:rsid w:val="00DF01E9"/>
    <w:rsid w:val="00E00527"/>
    <w:rsid w:val="00E26834"/>
    <w:rsid w:val="00E351F0"/>
    <w:rsid w:val="00E354EE"/>
    <w:rsid w:val="00E6565F"/>
    <w:rsid w:val="00E677E6"/>
    <w:rsid w:val="00E83A64"/>
    <w:rsid w:val="00EB1625"/>
    <w:rsid w:val="00EB7709"/>
    <w:rsid w:val="00EC06A4"/>
    <w:rsid w:val="00ED15F7"/>
    <w:rsid w:val="00EE78D8"/>
    <w:rsid w:val="00EF6DE9"/>
    <w:rsid w:val="00F11DCB"/>
    <w:rsid w:val="00F13C33"/>
    <w:rsid w:val="00F16702"/>
    <w:rsid w:val="00F22DB5"/>
    <w:rsid w:val="00F271A3"/>
    <w:rsid w:val="00F3594C"/>
    <w:rsid w:val="00F5259B"/>
    <w:rsid w:val="00F62E54"/>
    <w:rsid w:val="00F71898"/>
    <w:rsid w:val="00F86A40"/>
    <w:rsid w:val="00F86B6E"/>
    <w:rsid w:val="00F9611C"/>
    <w:rsid w:val="00FB0A25"/>
    <w:rsid w:val="00FB72CD"/>
    <w:rsid w:val="00FC612F"/>
    <w:rsid w:val="00FD5052"/>
    <w:rsid w:val="00FE2857"/>
    <w:rsid w:val="00FE55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2CF32"/>
  <w15:chartTrackingRefBased/>
  <w15:docId w15:val="{8D10A507-2FD1-4828-9673-7BA0A550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E07"/>
    <w:pPr>
      <w:jc w:val="both"/>
    </w:pPr>
    <w:rPr>
      <w:rFonts w:ascii="Cambria" w:hAnsi="Cambria"/>
    </w:rPr>
  </w:style>
  <w:style w:type="paragraph" w:styleId="Titre1">
    <w:name w:val="heading 1"/>
    <w:basedOn w:val="Normal"/>
    <w:next w:val="Normal"/>
    <w:link w:val="Titre1Car"/>
    <w:uiPriority w:val="9"/>
    <w:qFormat/>
    <w:rsid w:val="00AA2D9D"/>
    <w:pPr>
      <w:keepNext/>
      <w:keepLines/>
      <w:spacing w:before="240" w:after="0"/>
      <w:outlineLvl w:val="0"/>
    </w:pPr>
    <w:rPr>
      <w:rFonts w:eastAsiaTheme="majorEastAsia" w:cstheme="majorBidi"/>
      <w:b/>
      <w:color w:val="C00000"/>
      <w:sz w:val="32"/>
      <w:szCs w:val="32"/>
    </w:rPr>
  </w:style>
  <w:style w:type="paragraph" w:styleId="Titre2">
    <w:name w:val="heading 2"/>
    <w:basedOn w:val="Normal"/>
    <w:next w:val="Normal"/>
    <w:link w:val="Titre2Car"/>
    <w:uiPriority w:val="9"/>
    <w:unhideWhenUsed/>
    <w:qFormat/>
    <w:rsid w:val="009D0087"/>
    <w:pPr>
      <w:keepNext/>
      <w:keepLines/>
      <w:spacing w:before="40" w:after="0"/>
      <w:outlineLvl w:val="1"/>
    </w:pPr>
    <w:rPr>
      <w:rFonts w:eastAsiaTheme="majorEastAsia" w:cstheme="majorBidi"/>
      <w:color w:val="A32323"/>
      <w:sz w:val="26"/>
      <w:szCs w:val="26"/>
    </w:rPr>
  </w:style>
  <w:style w:type="paragraph" w:styleId="Titre3">
    <w:name w:val="heading 3"/>
    <w:basedOn w:val="Normal"/>
    <w:next w:val="Normal"/>
    <w:link w:val="Titre3Car"/>
    <w:uiPriority w:val="9"/>
    <w:unhideWhenUsed/>
    <w:qFormat/>
    <w:rsid w:val="00AE5FC5"/>
    <w:pPr>
      <w:keepNext/>
      <w:keepLines/>
      <w:spacing w:before="40" w:after="0"/>
      <w:outlineLvl w:val="2"/>
    </w:pPr>
    <w:rPr>
      <w:rFonts w:eastAsiaTheme="majorEastAsia" w:cstheme="majorBidi"/>
      <w:color w:val="C84E28"/>
      <w:sz w:val="24"/>
      <w:szCs w:val="24"/>
    </w:rPr>
  </w:style>
  <w:style w:type="paragraph" w:styleId="Titre4">
    <w:name w:val="heading 4"/>
    <w:basedOn w:val="Normal"/>
    <w:next w:val="Normal"/>
    <w:link w:val="Titre4Car"/>
    <w:uiPriority w:val="9"/>
    <w:unhideWhenUsed/>
    <w:qFormat/>
    <w:rsid w:val="00D917AA"/>
    <w:pPr>
      <w:keepNext/>
      <w:keepLines/>
      <w:spacing w:before="40" w:after="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D917A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F5B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5B8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A2D9D"/>
    <w:rPr>
      <w:rFonts w:ascii="Cambria" w:eastAsiaTheme="majorEastAsia" w:hAnsi="Cambria" w:cstheme="majorBidi"/>
      <w:b/>
      <w:color w:val="C00000"/>
      <w:sz w:val="32"/>
      <w:szCs w:val="32"/>
    </w:rPr>
  </w:style>
  <w:style w:type="character" w:customStyle="1" w:styleId="Titre2Car">
    <w:name w:val="Titre 2 Car"/>
    <w:basedOn w:val="Policepardfaut"/>
    <w:link w:val="Titre2"/>
    <w:uiPriority w:val="9"/>
    <w:rsid w:val="009D0087"/>
    <w:rPr>
      <w:rFonts w:ascii="Cambria" w:eastAsiaTheme="majorEastAsia" w:hAnsi="Cambria" w:cstheme="majorBidi"/>
      <w:color w:val="A32323"/>
      <w:sz w:val="26"/>
      <w:szCs w:val="26"/>
    </w:rPr>
  </w:style>
  <w:style w:type="paragraph" w:styleId="Textedebulles">
    <w:name w:val="Balloon Text"/>
    <w:basedOn w:val="Normal"/>
    <w:link w:val="TextedebullesCar"/>
    <w:uiPriority w:val="99"/>
    <w:semiHidden/>
    <w:unhideWhenUsed/>
    <w:rsid w:val="00F718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71898"/>
    <w:rPr>
      <w:rFonts w:ascii="Segoe UI" w:hAnsi="Segoe UI" w:cs="Segoe UI"/>
      <w:sz w:val="18"/>
      <w:szCs w:val="18"/>
    </w:rPr>
  </w:style>
  <w:style w:type="paragraph" w:styleId="En-ttedetabledesmatires">
    <w:name w:val="TOC Heading"/>
    <w:basedOn w:val="Titre1"/>
    <w:next w:val="Normal"/>
    <w:uiPriority w:val="39"/>
    <w:unhideWhenUsed/>
    <w:qFormat/>
    <w:rsid w:val="00A103B7"/>
    <w:pPr>
      <w:outlineLvl w:val="9"/>
    </w:pPr>
    <w:rPr>
      <w:lang w:eastAsia="fr-FR"/>
    </w:rPr>
  </w:style>
  <w:style w:type="paragraph" w:styleId="TM1">
    <w:name w:val="toc 1"/>
    <w:basedOn w:val="Normal"/>
    <w:next w:val="Normal"/>
    <w:autoRedefine/>
    <w:uiPriority w:val="39"/>
    <w:unhideWhenUsed/>
    <w:rsid w:val="00A103B7"/>
    <w:pPr>
      <w:spacing w:after="100"/>
    </w:pPr>
  </w:style>
  <w:style w:type="paragraph" w:styleId="TM2">
    <w:name w:val="toc 2"/>
    <w:basedOn w:val="Normal"/>
    <w:next w:val="Normal"/>
    <w:autoRedefine/>
    <w:uiPriority w:val="39"/>
    <w:unhideWhenUsed/>
    <w:rsid w:val="00A103B7"/>
    <w:pPr>
      <w:spacing w:after="100"/>
      <w:ind w:left="220"/>
    </w:pPr>
  </w:style>
  <w:style w:type="character" w:styleId="Lienhypertexte">
    <w:name w:val="Hyperlink"/>
    <w:basedOn w:val="Policepardfaut"/>
    <w:uiPriority w:val="99"/>
    <w:unhideWhenUsed/>
    <w:rsid w:val="00A103B7"/>
    <w:rPr>
      <w:color w:val="0563C1" w:themeColor="hyperlink"/>
      <w:u w:val="single"/>
    </w:rPr>
  </w:style>
  <w:style w:type="paragraph" w:styleId="Paragraphedeliste">
    <w:name w:val="List Paragraph"/>
    <w:basedOn w:val="Normal"/>
    <w:uiPriority w:val="34"/>
    <w:qFormat/>
    <w:rsid w:val="001B3A0A"/>
    <w:pPr>
      <w:ind w:left="720"/>
      <w:contextualSpacing/>
    </w:pPr>
  </w:style>
  <w:style w:type="character" w:customStyle="1" w:styleId="Titre3Car">
    <w:name w:val="Titre 3 Car"/>
    <w:basedOn w:val="Policepardfaut"/>
    <w:link w:val="Titre3"/>
    <w:uiPriority w:val="9"/>
    <w:rsid w:val="00AE5FC5"/>
    <w:rPr>
      <w:rFonts w:ascii="Cambria" w:eastAsiaTheme="majorEastAsia" w:hAnsi="Cambria" w:cstheme="majorBidi"/>
      <w:color w:val="C84E28"/>
      <w:sz w:val="24"/>
      <w:szCs w:val="24"/>
    </w:rPr>
  </w:style>
  <w:style w:type="paragraph" w:styleId="TM3">
    <w:name w:val="toc 3"/>
    <w:basedOn w:val="Normal"/>
    <w:next w:val="Normal"/>
    <w:autoRedefine/>
    <w:uiPriority w:val="39"/>
    <w:unhideWhenUsed/>
    <w:rsid w:val="00025912"/>
    <w:pPr>
      <w:spacing w:after="100"/>
      <w:ind w:left="440"/>
    </w:pPr>
  </w:style>
  <w:style w:type="paragraph" w:styleId="Sansinterligne">
    <w:name w:val="No Spacing"/>
    <w:uiPriority w:val="1"/>
    <w:qFormat/>
    <w:rsid w:val="00242245"/>
    <w:pPr>
      <w:spacing w:after="0" w:line="240" w:lineRule="auto"/>
    </w:pPr>
    <w:rPr>
      <w:rFonts w:ascii="Cambria" w:hAnsi="Cambria"/>
    </w:rPr>
  </w:style>
  <w:style w:type="paragraph" w:styleId="Sous-titre">
    <w:name w:val="Subtitle"/>
    <w:basedOn w:val="Normal"/>
    <w:next w:val="Normal"/>
    <w:link w:val="Sous-titreCar"/>
    <w:uiPriority w:val="11"/>
    <w:qFormat/>
    <w:rsid w:val="00D917AA"/>
    <w:pPr>
      <w:numPr>
        <w:ilvl w:val="1"/>
      </w:numPr>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D917AA"/>
    <w:rPr>
      <w:rFonts w:eastAsiaTheme="minorEastAsia"/>
      <w:color w:val="5A5A5A" w:themeColor="text1" w:themeTint="A5"/>
      <w:spacing w:val="15"/>
    </w:rPr>
  </w:style>
  <w:style w:type="character" w:customStyle="1" w:styleId="Titre4Car">
    <w:name w:val="Titre 4 Car"/>
    <w:basedOn w:val="Policepardfaut"/>
    <w:link w:val="Titre4"/>
    <w:uiPriority w:val="9"/>
    <w:rsid w:val="00D917AA"/>
    <w:rPr>
      <w:rFonts w:ascii="Cambria" w:eastAsiaTheme="majorEastAsia" w:hAnsi="Cambria" w:cstheme="majorBidi"/>
      <w:i/>
      <w:iCs/>
      <w:color w:val="2F5496" w:themeColor="accent1" w:themeShade="BF"/>
    </w:rPr>
  </w:style>
  <w:style w:type="character" w:customStyle="1" w:styleId="Titre5Car">
    <w:name w:val="Titre 5 Car"/>
    <w:basedOn w:val="Policepardfaut"/>
    <w:link w:val="Titre5"/>
    <w:uiPriority w:val="9"/>
    <w:rsid w:val="00D917AA"/>
    <w:rPr>
      <w:rFonts w:asciiTheme="majorHAnsi" w:eastAsiaTheme="majorEastAsia" w:hAnsiTheme="majorHAnsi" w:cstheme="majorBidi"/>
      <w:color w:val="2F5496" w:themeColor="accent1" w:themeShade="BF"/>
    </w:rPr>
  </w:style>
  <w:style w:type="table" w:styleId="Grilledutableau">
    <w:name w:val="Table Grid"/>
    <w:basedOn w:val="TableauNormal"/>
    <w:uiPriority w:val="39"/>
    <w:rsid w:val="00163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71C6E"/>
    <w:pPr>
      <w:autoSpaceDE w:val="0"/>
      <w:autoSpaceDN w:val="0"/>
      <w:adjustRightInd w:val="0"/>
      <w:spacing w:after="0" w:line="240" w:lineRule="auto"/>
    </w:pPr>
    <w:rPr>
      <w:rFonts w:ascii="Wingdings" w:hAnsi="Wingdings" w:cs="Wingdings"/>
      <w:color w:val="000000"/>
      <w:sz w:val="24"/>
      <w:szCs w:val="24"/>
    </w:rPr>
  </w:style>
  <w:style w:type="paragraph" w:styleId="En-tte">
    <w:name w:val="header"/>
    <w:basedOn w:val="Normal"/>
    <w:link w:val="En-tteCar"/>
    <w:uiPriority w:val="99"/>
    <w:unhideWhenUsed/>
    <w:rsid w:val="00260AC0"/>
    <w:pPr>
      <w:tabs>
        <w:tab w:val="center" w:pos="4536"/>
        <w:tab w:val="right" w:pos="9072"/>
      </w:tabs>
      <w:spacing w:after="0" w:line="240" w:lineRule="auto"/>
    </w:pPr>
  </w:style>
  <w:style w:type="character" w:customStyle="1" w:styleId="En-tteCar">
    <w:name w:val="En-tête Car"/>
    <w:basedOn w:val="Policepardfaut"/>
    <w:link w:val="En-tte"/>
    <w:uiPriority w:val="99"/>
    <w:rsid w:val="00260AC0"/>
    <w:rPr>
      <w:rFonts w:ascii="Cambria" w:hAnsi="Cambria"/>
    </w:rPr>
  </w:style>
  <w:style w:type="paragraph" w:styleId="Pieddepage">
    <w:name w:val="footer"/>
    <w:basedOn w:val="Normal"/>
    <w:link w:val="PieddepageCar"/>
    <w:uiPriority w:val="99"/>
    <w:unhideWhenUsed/>
    <w:rsid w:val="00260A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0AC0"/>
    <w:rPr>
      <w:rFonts w:ascii="Cambria" w:hAnsi="Cambria"/>
    </w:rPr>
  </w:style>
  <w:style w:type="character" w:styleId="Textedelespacerserv">
    <w:name w:val="Placeholder Text"/>
    <w:basedOn w:val="Policepardfaut"/>
    <w:uiPriority w:val="99"/>
    <w:semiHidden/>
    <w:rsid w:val="00FB72CD"/>
    <w:rPr>
      <w:color w:val="808080"/>
    </w:rPr>
  </w:style>
  <w:style w:type="paragraph" w:styleId="Lgende">
    <w:name w:val="caption"/>
    <w:basedOn w:val="Normal"/>
    <w:next w:val="Normal"/>
    <w:uiPriority w:val="35"/>
    <w:unhideWhenUsed/>
    <w:qFormat/>
    <w:rsid w:val="00B11043"/>
    <w:pPr>
      <w:spacing w:after="200" w:line="240" w:lineRule="auto"/>
    </w:pPr>
    <w:rPr>
      <w:i/>
      <w:iCs/>
      <w:color w:val="44546A" w:themeColor="text2"/>
      <w:sz w:val="18"/>
      <w:szCs w:val="18"/>
    </w:rPr>
  </w:style>
  <w:style w:type="paragraph" w:styleId="Bibliographie">
    <w:name w:val="Bibliography"/>
    <w:basedOn w:val="Normal"/>
    <w:next w:val="Normal"/>
    <w:uiPriority w:val="37"/>
    <w:unhideWhenUsed/>
    <w:rsid w:val="00FD5052"/>
  </w:style>
  <w:style w:type="character" w:styleId="Mentionnonrsolue">
    <w:name w:val="Unresolved Mention"/>
    <w:basedOn w:val="Policepardfaut"/>
    <w:uiPriority w:val="99"/>
    <w:semiHidden/>
    <w:unhideWhenUsed/>
    <w:rsid w:val="009D0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959">
      <w:bodyDiv w:val="1"/>
      <w:marLeft w:val="0"/>
      <w:marRight w:val="0"/>
      <w:marTop w:val="0"/>
      <w:marBottom w:val="0"/>
      <w:divBdr>
        <w:top w:val="none" w:sz="0" w:space="0" w:color="auto"/>
        <w:left w:val="none" w:sz="0" w:space="0" w:color="auto"/>
        <w:bottom w:val="none" w:sz="0" w:space="0" w:color="auto"/>
        <w:right w:val="none" w:sz="0" w:space="0" w:color="auto"/>
      </w:divBdr>
    </w:div>
    <w:div w:id="85080263">
      <w:bodyDiv w:val="1"/>
      <w:marLeft w:val="0"/>
      <w:marRight w:val="0"/>
      <w:marTop w:val="0"/>
      <w:marBottom w:val="0"/>
      <w:divBdr>
        <w:top w:val="none" w:sz="0" w:space="0" w:color="auto"/>
        <w:left w:val="none" w:sz="0" w:space="0" w:color="auto"/>
        <w:bottom w:val="none" w:sz="0" w:space="0" w:color="auto"/>
        <w:right w:val="none" w:sz="0" w:space="0" w:color="auto"/>
      </w:divBdr>
    </w:div>
    <w:div w:id="128672034">
      <w:bodyDiv w:val="1"/>
      <w:marLeft w:val="0"/>
      <w:marRight w:val="0"/>
      <w:marTop w:val="0"/>
      <w:marBottom w:val="0"/>
      <w:divBdr>
        <w:top w:val="none" w:sz="0" w:space="0" w:color="auto"/>
        <w:left w:val="none" w:sz="0" w:space="0" w:color="auto"/>
        <w:bottom w:val="none" w:sz="0" w:space="0" w:color="auto"/>
        <w:right w:val="none" w:sz="0" w:space="0" w:color="auto"/>
      </w:divBdr>
    </w:div>
    <w:div w:id="214973379">
      <w:bodyDiv w:val="1"/>
      <w:marLeft w:val="0"/>
      <w:marRight w:val="0"/>
      <w:marTop w:val="0"/>
      <w:marBottom w:val="0"/>
      <w:divBdr>
        <w:top w:val="none" w:sz="0" w:space="0" w:color="auto"/>
        <w:left w:val="none" w:sz="0" w:space="0" w:color="auto"/>
        <w:bottom w:val="none" w:sz="0" w:space="0" w:color="auto"/>
        <w:right w:val="none" w:sz="0" w:space="0" w:color="auto"/>
      </w:divBdr>
    </w:div>
    <w:div w:id="409546019">
      <w:bodyDiv w:val="1"/>
      <w:marLeft w:val="0"/>
      <w:marRight w:val="0"/>
      <w:marTop w:val="0"/>
      <w:marBottom w:val="0"/>
      <w:divBdr>
        <w:top w:val="none" w:sz="0" w:space="0" w:color="auto"/>
        <w:left w:val="none" w:sz="0" w:space="0" w:color="auto"/>
        <w:bottom w:val="none" w:sz="0" w:space="0" w:color="auto"/>
        <w:right w:val="none" w:sz="0" w:space="0" w:color="auto"/>
      </w:divBdr>
    </w:div>
    <w:div w:id="722367784">
      <w:bodyDiv w:val="1"/>
      <w:marLeft w:val="0"/>
      <w:marRight w:val="0"/>
      <w:marTop w:val="0"/>
      <w:marBottom w:val="0"/>
      <w:divBdr>
        <w:top w:val="none" w:sz="0" w:space="0" w:color="auto"/>
        <w:left w:val="none" w:sz="0" w:space="0" w:color="auto"/>
        <w:bottom w:val="none" w:sz="0" w:space="0" w:color="auto"/>
        <w:right w:val="none" w:sz="0" w:space="0" w:color="auto"/>
      </w:divBdr>
    </w:div>
    <w:div w:id="783497337">
      <w:bodyDiv w:val="1"/>
      <w:marLeft w:val="0"/>
      <w:marRight w:val="0"/>
      <w:marTop w:val="0"/>
      <w:marBottom w:val="0"/>
      <w:divBdr>
        <w:top w:val="none" w:sz="0" w:space="0" w:color="auto"/>
        <w:left w:val="none" w:sz="0" w:space="0" w:color="auto"/>
        <w:bottom w:val="none" w:sz="0" w:space="0" w:color="auto"/>
        <w:right w:val="none" w:sz="0" w:space="0" w:color="auto"/>
      </w:divBdr>
    </w:div>
    <w:div w:id="788166893">
      <w:bodyDiv w:val="1"/>
      <w:marLeft w:val="0"/>
      <w:marRight w:val="0"/>
      <w:marTop w:val="0"/>
      <w:marBottom w:val="0"/>
      <w:divBdr>
        <w:top w:val="none" w:sz="0" w:space="0" w:color="auto"/>
        <w:left w:val="none" w:sz="0" w:space="0" w:color="auto"/>
        <w:bottom w:val="none" w:sz="0" w:space="0" w:color="auto"/>
        <w:right w:val="none" w:sz="0" w:space="0" w:color="auto"/>
      </w:divBdr>
    </w:div>
    <w:div w:id="985087285">
      <w:bodyDiv w:val="1"/>
      <w:marLeft w:val="0"/>
      <w:marRight w:val="0"/>
      <w:marTop w:val="0"/>
      <w:marBottom w:val="0"/>
      <w:divBdr>
        <w:top w:val="none" w:sz="0" w:space="0" w:color="auto"/>
        <w:left w:val="none" w:sz="0" w:space="0" w:color="auto"/>
        <w:bottom w:val="none" w:sz="0" w:space="0" w:color="auto"/>
        <w:right w:val="none" w:sz="0" w:space="0" w:color="auto"/>
      </w:divBdr>
    </w:div>
    <w:div w:id="1072196550">
      <w:bodyDiv w:val="1"/>
      <w:marLeft w:val="0"/>
      <w:marRight w:val="0"/>
      <w:marTop w:val="0"/>
      <w:marBottom w:val="0"/>
      <w:divBdr>
        <w:top w:val="none" w:sz="0" w:space="0" w:color="auto"/>
        <w:left w:val="none" w:sz="0" w:space="0" w:color="auto"/>
        <w:bottom w:val="none" w:sz="0" w:space="0" w:color="auto"/>
        <w:right w:val="none" w:sz="0" w:space="0" w:color="auto"/>
      </w:divBdr>
    </w:div>
    <w:div w:id="1226405913">
      <w:bodyDiv w:val="1"/>
      <w:marLeft w:val="0"/>
      <w:marRight w:val="0"/>
      <w:marTop w:val="0"/>
      <w:marBottom w:val="0"/>
      <w:divBdr>
        <w:top w:val="none" w:sz="0" w:space="0" w:color="auto"/>
        <w:left w:val="none" w:sz="0" w:space="0" w:color="auto"/>
        <w:bottom w:val="none" w:sz="0" w:space="0" w:color="auto"/>
        <w:right w:val="none" w:sz="0" w:space="0" w:color="auto"/>
      </w:divBdr>
    </w:div>
    <w:div w:id="1247110326">
      <w:bodyDiv w:val="1"/>
      <w:marLeft w:val="0"/>
      <w:marRight w:val="0"/>
      <w:marTop w:val="0"/>
      <w:marBottom w:val="0"/>
      <w:divBdr>
        <w:top w:val="none" w:sz="0" w:space="0" w:color="auto"/>
        <w:left w:val="none" w:sz="0" w:space="0" w:color="auto"/>
        <w:bottom w:val="none" w:sz="0" w:space="0" w:color="auto"/>
        <w:right w:val="none" w:sz="0" w:space="0" w:color="auto"/>
      </w:divBdr>
    </w:div>
    <w:div w:id="1414202823">
      <w:bodyDiv w:val="1"/>
      <w:marLeft w:val="0"/>
      <w:marRight w:val="0"/>
      <w:marTop w:val="0"/>
      <w:marBottom w:val="0"/>
      <w:divBdr>
        <w:top w:val="none" w:sz="0" w:space="0" w:color="auto"/>
        <w:left w:val="none" w:sz="0" w:space="0" w:color="auto"/>
        <w:bottom w:val="none" w:sz="0" w:space="0" w:color="auto"/>
        <w:right w:val="none" w:sz="0" w:space="0" w:color="auto"/>
      </w:divBdr>
    </w:div>
    <w:div w:id="1592620623">
      <w:bodyDiv w:val="1"/>
      <w:marLeft w:val="0"/>
      <w:marRight w:val="0"/>
      <w:marTop w:val="0"/>
      <w:marBottom w:val="0"/>
      <w:divBdr>
        <w:top w:val="none" w:sz="0" w:space="0" w:color="auto"/>
        <w:left w:val="none" w:sz="0" w:space="0" w:color="auto"/>
        <w:bottom w:val="none" w:sz="0" w:space="0" w:color="auto"/>
        <w:right w:val="none" w:sz="0" w:space="0" w:color="auto"/>
      </w:divBdr>
    </w:div>
    <w:div w:id="1756316700">
      <w:bodyDiv w:val="1"/>
      <w:marLeft w:val="0"/>
      <w:marRight w:val="0"/>
      <w:marTop w:val="0"/>
      <w:marBottom w:val="0"/>
      <w:divBdr>
        <w:top w:val="none" w:sz="0" w:space="0" w:color="auto"/>
        <w:left w:val="none" w:sz="0" w:space="0" w:color="auto"/>
        <w:bottom w:val="none" w:sz="0" w:space="0" w:color="auto"/>
        <w:right w:val="none" w:sz="0" w:space="0" w:color="auto"/>
      </w:divBdr>
      <w:divsChild>
        <w:div w:id="1134254346">
          <w:marLeft w:val="274"/>
          <w:marRight w:val="0"/>
          <w:marTop w:val="0"/>
          <w:marBottom w:val="0"/>
          <w:divBdr>
            <w:top w:val="none" w:sz="0" w:space="0" w:color="auto"/>
            <w:left w:val="none" w:sz="0" w:space="0" w:color="auto"/>
            <w:bottom w:val="none" w:sz="0" w:space="0" w:color="auto"/>
            <w:right w:val="none" w:sz="0" w:space="0" w:color="auto"/>
          </w:divBdr>
        </w:div>
        <w:div w:id="840630791">
          <w:marLeft w:val="274"/>
          <w:marRight w:val="0"/>
          <w:marTop w:val="0"/>
          <w:marBottom w:val="0"/>
          <w:divBdr>
            <w:top w:val="none" w:sz="0" w:space="0" w:color="auto"/>
            <w:left w:val="none" w:sz="0" w:space="0" w:color="auto"/>
            <w:bottom w:val="none" w:sz="0" w:space="0" w:color="auto"/>
            <w:right w:val="none" w:sz="0" w:space="0" w:color="auto"/>
          </w:divBdr>
        </w:div>
        <w:div w:id="1251430432">
          <w:marLeft w:val="274"/>
          <w:marRight w:val="0"/>
          <w:marTop w:val="0"/>
          <w:marBottom w:val="0"/>
          <w:divBdr>
            <w:top w:val="none" w:sz="0" w:space="0" w:color="auto"/>
            <w:left w:val="none" w:sz="0" w:space="0" w:color="auto"/>
            <w:bottom w:val="none" w:sz="0" w:space="0" w:color="auto"/>
            <w:right w:val="none" w:sz="0" w:space="0" w:color="auto"/>
          </w:divBdr>
        </w:div>
        <w:div w:id="1586917479">
          <w:marLeft w:val="274"/>
          <w:marRight w:val="0"/>
          <w:marTop w:val="0"/>
          <w:marBottom w:val="0"/>
          <w:divBdr>
            <w:top w:val="none" w:sz="0" w:space="0" w:color="auto"/>
            <w:left w:val="none" w:sz="0" w:space="0" w:color="auto"/>
            <w:bottom w:val="none" w:sz="0" w:space="0" w:color="auto"/>
            <w:right w:val="none" w:sz="0" w:space="0" w:color="auto"/>
          </w:divBdr>
        </w:div>
        <w:div w:id="1772824028">
          <w:marLeft w:val="274"/>
          <w:marRight w:val="0"/>
          <w:marTop w:val="0"/>
          <w:marBottom w:val="0"/>
          <w:divBdr>
            <w:top w:val="none" w:sz="0" w:space="0" w:color="auto"/>
            <w:left w:val="none" w:sz="0" w:space="0" w:color="auto"/>
            <w:bottom w:val="none" w:sz="0" w:space="0" w:color="auto"/>
            <w:right w:val="none" w:sz="0" w:space="0" w:color="auto"/>
          </w:divBdr>
        </w:div>
        <w:div w:id="1734544543">
          <w:marLeft w:val="274"/>
          <w:marRight w:val="0"/>
          <w:marTop w:val="0"/>
          <w:marBottom w:val="0"/>
          <w:divBdr>
            <w:top w:val="none" w:sz="0" w:space="0" w:color="auto"/>
            <w:left w:val="none" w:sz="0" w:space="0" w:color="auto"/>
            <w:bottom w:val="none" w:sz="0" w:space="0" w:color="auto"/>
            <w:right w:val="none" w:sz="0" w:space="0" w:color="auto"/>
          </w:divBdr>
        </w:div>
        <w:div w:id="1751005320">
          <w:marLeft w:val="274"/>
          <w:marRight w:val="0"/>
          <w:marTop w:val="0"/>
          <w:marBottom w:val="0"/>
          <w:divBdr>
            <w:top w:val="none" w:sz="0" w:space="0" w:color="auto"/>
            <w:left w:val="none" w:sz="0" w:space="0" w:color="auto"/>
            <w:bottom w:val="none" w:sz="0" w:space="0" w:color="auto"/>
            <w:right w:val="none" w:sz="0" w:space="0" w:color="auto"/>
          </w:divBdr>
        </w:div>
        <w:div w:id="2134712842">
          <w:marLeft w:val="274"/>
          <w:marRight w:val="0"/>
          <w:marTop w:val="0"/>
          <w:marBottom w:val="0"/>
          <w:divBdr>
            <w:top w:val="none" w:sz="0" w:space="0" w:color="auto"/>
            <w:left w:val="none" w:sz="0" w:space="0" w:color="auto"/>
            <w:bottom w:val="none" w:sz="0" w:space="0" w:color="auto"/>
            <w:right w:val="none" w:sz="0" w:space="0" w:color="auto"/>
          </w:divBdr>
        </w:div>
      </w:divsChild>
    </w:div>
    <w:div w:id="1766880955">
      <w:bodyDiv w:val="1"/>
      <w:marLeft w:val="0"/>
      <w:marRight w:val="0"/>
      <w:marTop w:val="0"/>
      <w:marBottom w:val="0"/>
      <w:divBdr>
        <w:top w:val="none" w:sz="0" w:space="0" w:color="auto"/>
        <w:left w:val="none" w:sz="0" w:space="0" w:color="auto"/>
        <w:bottom w:val="none" w:sz="0" w:space="0" w:color="auto"/>
        <w:right w:val="none" w:sz="0" w:space="0" w:color="auto"/>
      </w:divBdr>
    </w:div>
    <w:div w:id="1834027519">
      <w:bodyDiv w:val="1"/>
      <w:marLeft w:val="0"/>
      <w:marRight w:val="0"/>
      <w:marTop w:val="0"/>
      <w:marBottom w:val="0"/>
      <w:divBdr>
        <w:top w:val="none" w:sz="0" w:space="0" w:color="auto"/>
        <w:left w:val="none" w:sz="0" w:space="0" w:color="auto"/>
        <w:bottom w:val="none" w:sz="0" w:space="0" w:color="auto"/>
        <w:right w:val="none" w:sz="0" w:space="0" w:color="auto"/>
      </w:divBdr>
    </w:div>
    <w:div w:id="1847787723">
      <w:bodyDiv w:val="1"/>
      <w:marLeft w:val="0"/>
      <w:marRight w:val="0"/>
      <w:marTop w:val="0"/>
      <w:marBottom w:val="0"/>
      <w:divBdr>
        <w:top w:val="none" w:sz="0" w:space="0" w:color="auto"/>
        <w:left w:val="none" w:sz="0" w:space="0" w:color="auto"/>
        <w:bottom w:val="none" w:sz="0" w:space="0" w:color="auto"/>
        <w:right w:val="none" w:sz="0" w:space="0" w:color="auto"/>
      </w:divBdr>
    </w:div>
    <w:div w:id="1862820621">
      <w:bodyDiv w:val="1"/>
      <w:marLeft w:val="0"/>
      <w:marRight w:val="0"/>
      <w:marTop w:val="0"/>
      <w:marBottom w:val="0"/>
      <w:divBdr>
        <w:top w:val="none" w:sz="0" w:space="0" w:color="auto"/>
        <w:left w:val="none" w:sz="0" w:space="0" w:color="auto"/>
        <w:bottom w:val="none" w:sz="0" w:space="0" w:color="auto"/>
        <w:right w:val="none" w:sz="0" w:space="0" w:color="auto"/>
      </w:divBdr>
    </w:div>
    <w:div w:id="1929850772">
      <w:bodyDiv w:val="1"/>
      <w:marLeft w:val="0"/>
      <w:marRight w:val="0"/>
      <w:marTop w:val="0"/>
      <w:marBottom w:val="0"/>
      <w:divBdr>
        <w:top w:val="none" w:sz="0" w:space="0" w:color="auto"/>
        <w:left w:val="none" w:sz="0" w:space="0" w:color="auto"/>
        <w:bottom w:val="none" w:sz="0" w:space="0" w:color="auto"/>
        <w:right w:val="none" w:sz="0" w:space="0" w:color="auto"/>
      </w:divBdr>
    </w:div>
    <w:div w:id="1973093619">
      <w:bodyDiv w:val="1"/>
      <w:marLeft w:val="0"/>
      <w:marRight w:val="0"/>
      <w:marTop w:val="0"/>
      <w:marBottom w:val="0"/>
      <w:divBdr>
        <w:top w:val="none" w:sz="0" w:space="0" w:color="auto"/>
        <w:left w:val="none" w:sz="0" w:space="0" w:color="auto"/>
        <w:bottom w:val="none" w:sz="0" w:space="0" w:color="auto"/>
        <w:right w:val="none" w:sz="0" w:space="0" w:color="auto"/>
      </w:divBdr>
    </w:div>
    <w:div w:id="2026059121">
      <w:bodyDiv w:val="1"/>
      <w:marLeft w:val="0"/>
      <w:marRight w:val="0"/>
      <w:marTop w:val="0"/>
      <w:marBottom w:val="0"/>
      <w:divBdr>
        <w:top w:val="none" w:sz="0" w:space="0" w:color="auto"/>
        <w:left w:val="none" w:sz="0" w:space="0" w:color="auto"/>
        <w:bottom w:val="none" w:sz="0" w:space="0" w:color="auto"/>
        <w:right w:val="none" w:sz="0" w:space="0" w:color="auto"/>
      </w:divBdr>
    </w:div>
    <w:div w:id="205357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AXA19</b:Tag>
    <b:SourceType>InternetSite</b:SourceType>
    <b:Guid>{45423C61-0394-4D25-9637-E49B753A59BE}</b:Guid>
    <b:Title>"Quels sont les risques de demain?"</b:Title>
    <b:Year>2019</b:Year>
    <b:Author>
      <b:Author>
        <b:Corporate>AXA</b:Corporate>
      </b:Author>
    </b:Author>
    <b:URL>https://www.axa.com/fr/magazine/rapport-risques-futurs-2019#:~:text=Selon%20le%20rapport%2C%20les%20principaux,et%20%C3%A0%20l'instabilit%C3%A9%20g%C3%A9opolitique.</b:URL>
    <b:RefOrder>1</b:RefOrder>
  </b:Source>
  <b:Source>
    <b:Tag>Fre20</b:Tag>
    <b:SourceType>DocumentFromInternetSite</b:SourceType>
    <b:Guid>{C125209E-DB3D-4DEA-AF28-1EE054D670D4}</b:Guid>
    <b:Author>
      <b:Author>
        <b:NameList>
          <b:Person>
            <b:Last>Planchet</b:Last>
            <b:First>Frederic</b:First>
          </b:Person>
        </b:NameList>
      </b:Author>
    </b:Author>
    <b:Title>Ressources actuarielles</b:Title>
    <b:InternetSiteTitle>Ressources actuarielles</b:InternetSiteTitle>
    <b:Year>2020</b:Year>
    <b:URL>http://www.ressources-actuarielles.net/EXT/ISFA/fp-isfa.nsf/0/1430AD6748CE3AFFC1256F130067B88E/$FILE/Seance7.pdf?OpenElement</b:URL>
    <b:RefOrder>2</b:RefOrder>
  </b:Source>
  <b:Source>
    <b:Tag>Reh19</b:Tag>
    <b:SourceType>DocumentFromInternetSite</b:SourceType>
    <b:Guid>{74B28E3C-24A1-4E33-863F-3DE018BAFA76}</b:Guid>
    <b:Year>2019</b:Year>
    <b:URL>https://entreprise-rh.com/wp-content/uploads/2019/10/R%C3%A9halto-BVA-Barom%C3%A8tre-arr%C3%AAts-de-travail-2019-4.pdf</b:URL>
    <b:Author>
      <b:Author>
        <b:NameList>
          <b:Person>
            <b:Last>Rehalto</b:Last>
          </b:Person>
        </b:NameList>
      </b:Author>
    </b:Author>
    <b:Title>Baromètre sur les arrêts de travail « Comprendre pour agir » 5ème édition</b:Title>
    <b:RefOrder>3</b:RefOrder>
  </b:Source>
  <b:Source>
    <b:Tag>Nat20</b:Tag>
    <b:SourceType>JournalArticle</b:SourceType>
    <b:Guid>{412A687C-D626-41B5-88FB-9A4B6948DD09}</b:Guid>
    <b:Title>TROUBLES MUSCULO-SQUELETTIQUES LIÉS AU TRAVAIL : NOMBRE DE CAS ÉVITABLES</b:Title>
    <b:Year>2020</b:Year>
    <b:Author>
      <b:Author>
        <b:NameList>
          <b:Person>
            <b:Last>Fouquet</b:Last>
            <b:First>Natacha</b:First>
          </b:Person>
          <b:Person>
            <b:Last>Chérié-Challine</b:Last>
            <b:First>Laurence</b:First>
          </b:Person>
          <b:Person>
            <b:Last>Rubion</b:Last>
            <b:First>Élise</b:First>
          </b:Person>
          <b:Person>
            <b:Last>Descatha</b:Last>
            <b:First>Alexis</b:First>
          </b:Person>
          <b:Person>
            <b:Last>Roquelaure</b:Last>
            <b:First>Yves</b:First>
          </b:Person>
        </b:NameList>
      </b:Author>
    </b:Author>
    <b:RefOrder>4</b:RefOrder>
  </b:Source>
  <b:Source>
    <b:Tag>Mal20</b:Tag>
    <b:SourceType>JournalArticle</b:SourceType>
    <b:Guid>{18BF9ED1-2277-42A7-AF8F-452CF38D6CF1}</b:Guid>
    <b:Author>
      <b:Author>
        <b:NameList>
          <b:Person>
            <b:Last>Humanis</b:Last>
            <b:First>Malakoff</b:First>
          </b:Person>
        </b:NameList>
      </b:Author>
    </b:Author>
    <b:Title>Rapport annuel sur l'absentéisme</b:Title>
    <b:Year>2020</b:Year>
    <b:RefOrder>5</b:RefOrder>
  </b:Source>
  <b:Source>
    <b:Tag>Lau13</b:Tag>
    <b:SourceType>JournalArticle</b:SourceType>
    <b:Guid>{A4D4C8B0-4140-4DD0-B02F-329254CE4751}</b:Guid>
    <b:Author>
      <b:Author>
        <b:NameList>
          <b:Person>
            <b:Last>Brami</b:Last>
            <b:First>Laurent</b:First>
          </b:Person>
          <b:Person>
            <b:Last>Damart</b:Last>
            <b:First>Sébastien</b:First>
          </b:Person>
          <b:Person>
            <b:Last>Kletz</b:Last>
            <b:First>Frédéric</b:First>
          </b:Person>
        </b:NameList>
      </b:Author>
    </b:Author>
    <b:Title>SANTÉ AU TRAVAIL ET TRAVAIL EN SANTÉ. LA PERFORMANCE DES ÉTABLISSEMENTS DE SANTÉ FACE À L'ABSENTÉISME ET AU BIEN-ÊTRE DES PERSONNELS SOIGNANTS</b:Title>
    <b:Year>2013</b:Year>
    <b:RefOrder>6</b:RefOrder>
  </b:Source>
  <b:Source>
    <b:Tag>Sab07</b:Tag>
    <b:SourceType>JournalArticle</b:SourceType>
    <b:Guid>{8F3F5CB0-96A6-4D05-9A91-1AD0CB0A8B7F}</b:Guid>
    <b:Author>
      <b:Author>
        <b:NameList>
          <b:Person>
            <b:Last>Chaupain-Guillot</b:Last>
            <b:First>Sabine</b:First>
          </b:Person>
          <b:Person>
            <b:Last>Guillot</b:Last>
            <b:First>Olivier</b:First>
          </b:Person>
        </b:NameList>
      </b:Author>
    </b:Author>
    <b:Title>Les absences au travail : une analyse à partir des données françaises du Panel européen des ménages</b:Title>
    <b:JournalName>INSEE</b:JournalName>
    <b:Year>2007</b:Year>
    <b:RefOrder>7</b:RefOrder>
  </b:Source>
  <b:Source>
    <b:Tag>Xav22</b:Tag>
    <b:SourceType>JournalArticle</b:SourceType>
    <b:Guid>{E1EC3B9F-095F-41EB-958F-CC873CFAECD4}</b:Guid>
    <b:Author>
      <b:Author>
        <b:NameList>
          <b:Person>
            <b:Last>Milhaud</b:Last>
            <b:First>Xavier</b:First>
          </b:Person>
        </b:NameList>
      </b:Author>
    </b:Author>
    <b:Title>Compléments de tarification en assurance: problématiques opérationnelles</b:Title>
    <b:Year>2022</b:Year>
    <b:RefOrder>8</b:RefOrder>
  </b:Source>
</b:Sources>
</file>

<file path=customXml/itemProps1.xml><?xml version="1.0" encoding="utf-8"?>
<ds:datastoreItem xmlns:ds="http://schemas.openxmlformats.org/officeDocument/2006/customXml" ds:itemID="{6944FC5F-1E01-42BF-9E81-741993D65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42</Pages>
  <Words>10676</Words>
  <Characters>58719</Characters>
  <Application>Microsoft Office Word</Application>
  <DocSecurity>0</DocSecurity>
  <Lines>489</Lines>
  <Paragraphs>138</Paragraphs>
  <ScaleCrop>false</ScaleCrop>
  <HeadingPairs>
    <vt:vector size="2" baseType="variant">
      <vt:variant>
        <vt:lpstr>Titre</vt:lpstr>
      </vt:variant>
      <vt:variant>
        <vt:i4>1</vt:i4>
      </vt:variant>
    </vt:vector>
  </HeadingPairs>
  <TitlesOfParts>
    <vt:vector size="1" baseType="lpstr">
      <vt:lpstr/>
    </vt:vector>
  </TitlesOfParts>
  <Company>Generali Shared Services</Company>
  <LinksUpToDate>false</LinksUpToDate>
  <CharactersWithSpaces>69257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DATSI Khalil</dc:creator>
  <cp:keywords/>
  <dc:description/>
  <cp:lastModifiedBy>Khalil Datsi</cp:lastModifiedBy>
  <cp:revision>16</cp:revision>
  <cp:lastPrinted>2022-09-01T18:42:00Z</cp:lastPrinted>
  <dcterms:created xsi:type="dcterms:W3CDTF">2022-09-01T18:05:00Z</dcterms:created>
  <dcterms:modified xsi:type="dcterms:W3CDTF">2023-01-08T20:44:00Z</dcterms:modified>
</cp:coreProperties>
</file>