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3CDB" w14:textId="77B86B87" w:rsidR="005B2353" w:rsidRDefault="005F5B85" w:rsidP="005F5B85">
      <w:pPr>
        <w:pStyle w:val="Titre"/>
        <w:jc w:val="center"/>
      </w:pPr>
      <w:r>
        <w:t>Contexte</w:t>
      </w:r>
      <w:r w:rsidR="00A103B7">
        <w:t xml:space="preserve"> de l’étude</w:t>
      </w:r>
    </w:p>
    <w:p w14:paraId="1DBCE351" w14:textId="77777777" w:rsidR="00F71898" w:rsidRPr="00F71898" w:rsidRDefault="00F71898" w:rsidP="00F71898"/>
    <w:sdt>
      <w:sdtPr>
        <w:id w:val="2006010196"/>
        <w:docPartObj>
          <w:docPartGallery w:val="Table of Contents"/>
          <w:docPartUnique/>
        </w:docPartObj>
      </w:sdtPr>
      <w:sdtEndPr>
        <w:rPr>
          <w:rFonts w:eastAsiaTheme="minorHAnsi" w:cstheme="minorBidi"/>
          <w:bCs/>
          <w:color w:val="auto"/>
          <w:sz w:val="22"/>
          <w:szCs w:val="22"/>
          <w:lang w:eastAsia="en-US"/>
        </w:rPr>
      </w:sdtEndPr>
      <w:sdtContent>
        <w:p w14:paraId="72311E71" w14:textId="7F4461DF" w:rsidR="00A103B7" w:rsidRDefault="00A103B7">
          <w:pPr>
            <w:pStyle w:val="En-ttedetabledesmatires"/>
          </w:pPr>
          <w:r>
            <w:t>Table des matières</w:t>
          </w:r>
        </w:p>
        <w:p w14:paraId="43DB8D47" w14:textId="642D5DD2" w:rsidR="005F1B32"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0864812" w:history="1">
            <w:r w:rsidR="005F1B32" w:rsidRPr="00BE1E33">
              <w:rPr>
                <w:rStyle w:val="Lienhypertexte"/>
                <w:noProof/>
              </w:rPr>
              <w:t>Le risque arrêt de travail dans le contexte de l’assurance collective</w:t>
            </w:r>
            <w:r w:rsidR="005F1B32">
              <w:rPr>
                <w:noProof/>
                <w:webHidden/>
              </w:rPr>
              <w:tab/>
            </w:r>
            <w:r w:rsidR="005F1B32">
              <w:rPr>
                <w:noProof/>
                <w:webHidden/>
              </w:rPr>
              <w:fldChar w:fldCharType="begin"/>
            </w:r>
            <w:r w:rsidR="005F1B32">
              <w:rPr>
                <w:noProof/>
                <w:webHidden/>
              </w:rPr>
              <w:instrText xml:space="preserve"> PAGEREF _Toc110864812 \h </w:instrText>
            </w:r>
            <w:r w:rsidR="005F1B32">
              <w:rPr>
                <w:noProof/>
                <w:webHidden/>
              </w:rPr>
            </w:r>
            <w:r w:rsidR="005F1B32">
              <w:rPr>
                <w:noProof/>
                <w:webHidden/>
              </w:rPr>
              <w:fldChar w:fldCharType="separate"/>
            </w:r>
            <w:r w:rsidR="005F1B32">
              <w:rPr>
                <w:noProof/>
                <w:webHidden/>
              </w:rPr>
              <w:t>2</w:t>
            </w:r>
            <w:r w:rsidR="005F1B32">
              <w:rPr>
                <w:noProof/>
                <w:webHidden/>
              </w:rPr>
              <w:fldChar w:fldCharType="end"/>
            </w:r>
          </w:hyperlink>
        </w:p>
        <w:p w14:paraId="58C7A3E6" w14:textId="27F56EDD" w:rsidR="005F1B32" w:rsidRDefault="005F1B32">
          <w:pPr>
            <w:pStyle w:val="TM2"/>
            <w:tabs>
              <w:tab w:val="right" w:leader="dot" w:pos="9062"/>
            </w:tabs>
            <w:rPr>
              <w:rFonts w:asciiTheme="minorHAnsi" w:eastAsiaTheme="minorEastAsia" w:hAnsiTheme="minorHAnsi"/>
              <w:noProof/>
              <w:lang w:eastAsia="fr-FR"/>
            </w:rPr>
          </w:pPr>
          <w:hyperlink w:anchor="_Toc110864813" w:history="1">
            <w:r w:rsidRPr="00BE1E33">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_Toc110864813 \h </w:instrText>
            </w:r>
            <w:r>
              <w:rPr>
                <w:noProof/>
                <w:webHidden/>
              </w:rPr>
            </w:r>
            <w:r>
              <w:rPr>
                <w:noProof/>
                <w:webHidden/>
              </w:rPr>
              <w:fldChar w:fldCharType="separate"/>
            </w:r>
            <w:r>
              <w:rPr>
                <w:noProof/>
                <w:webHidden/>
              </w:rPr>
              <w:t>2</w:t>
            </w:r>
            <w:r>
              <w:rPr>
                <w:noProof/>
                <w:webHidden/>
              </w:rPr>
              <w:fldChar w:fldCharType="end"/>
            </w:r>
          </w:hyperlink>
        </w:p>
        <w:p w14:paraId="7DE796DA" w14:textId="5F2C1B7A" w:rsidR="005F1B32" w:rsidRDefault="005F1B32">
          <w:pPr>
            <w:pStyle w:val="TM3"/>
            <w:tabs>
              <w:tab w:val="right" w:leader="dot" w:pos="9062"/>
            </w:tabs>
            <w:rPr>
              <w:rFonts w:asciiTheme="minorHAnsi" w:eastAsiaTheme="minorEastAsia" w:hAnsiTheme="minorHAnsi"/>
              <w:noProof/>
              <w:lang w:eastAsia="fr-FR"/>
            </w:rPr>
          </w:pPr>
          <w:hyperlink w:anchor="_Toc110864814" w:history="1">
            <w:r w:rsidRPr="00BE1E33">
              <w:rPr>
                <w:rStyle w:val="Lienhypertexte"/>
                <w:noProof/>
              </w:rPr>
              <w:t>Histoire de la protection sociale</w:t>
            </w:r>
            <w:r>
              <w:rPr>
                <w:noProof/>
                <w:webHidden/>
              </w:rPr>
              <w:tab/>
            </w:r>
            <w:r>
              <w:rPr>
                <w:noProof/>
                <w:webHidden/>
              </w:rPr>
              <w:fldChar w:fldCharType="begin"/>
            </w:r>
            <w:r>
              <w:rPr>
                <w:noProof/>
                <w:webHidden/>
              </w:rPr>
              <w:instrText xml:space="preserve"> PAGEREF _Toc110864814 \h </w:instrText>
            </w:r>
            <w:r>
              <w:rPr>
                <w:noProof/>
                <w:webHidden/>
              </w:rPr>
            </w:r>
            <w:r>
              <w:rPr>
                <w:noProof/>
                <w:webHidden/>
              </w:rPr>
              <w:fldChar w:fldCharType="separate"/>
            </w:r>
            <w:r>
              <w:rPr>
                <w:noProof/>
                <w:webHidden/>
              </w:rPr>
              <w:t>2</w:t>
            </w:r>
            <w:r>
              <w:rPr>
                <w:noProof/>
                <w:webHidden/>
              </w:rPr>
              <w:fldChar w:fldCharType="end"/>
            </w:r>
          </w:hyperlink>
        </w:p>
        <w:p w14:paraId="38932367" w14:textId="4809BDDD" w:rsidR="005F1B32" w:rsidRDefault="005F1B32">
          <w:pPr>
            <w:pStyle w:val="TM3"/>
            <w:tabs>
              <w:tab w:val="right" w:leader="dot" w:pos="9062"/>
            </w:tabs>
            <w:rPr>
              <w:rFonts w:asciiTheme="minorHAnsi" w:eastAsiaTheme="minorEastAsia" w:hAnsiTheme="minorHAnsi"/>
              <w:noProof/>
              <w:lang w:eastAsia="fr-FR"/>
            </w:rPr>
          </w:pPr>
          <w:hyperlink w:anchor="_Toc110864815" w:history="1">
            <w:r w:rsidRPr="00BE1E33">
              <w:rPr>
                <w:rStyle w:val="Lienhypertexte"/>
                <w:noProof/>
              </w:rPr>
              <w:t>Organisation fonctionnelle</w:t>
            </w:r>
            <w:r>
              <w:rPr>
                <w:noProof/>
                <w:webHidden/>
              </w:rPr>
              <w:tab/>
            </w:r>
            <w:r>
              <w:rPr>
                <w:noProof/>
                <w:webHidden/>
              </w:rPr>
              <w:fldChar w:fldCharType="begin"/>
            </w:r>
            <w:r>
              <w:rPr>
                <w:noProof/>
                <w:webHidden/>
              </w:rPr>
              <w:instrText xml:space="preserve"> PAGEREF _Toc110864815 \h </w:instrText>
            </w:r>
            <w:r>
              <w:rPr>
                <w:noProof/>
                <w:webHidden/>
              </w:rPr>
            </w:r>
            <w:r>
              <w:rPr>
                <w:noProof/>
                <w:webHidden/>
              </w:rPr>
              <w:fldChar w:fldCharType="separate"/>
            </w:r>
            <w:r>
              <w:rPr>
                <w:noProof/>
                <w:webHidden/>
              </w:rPr>
              <w:t>2</w:t>
            </w:r>
            <w:r>
              <w:rPr>
                <w:noProof/>
                <w:webHidden/>
              </w:rPr>
              <w:fldChar w:fldCharType="end"/>
            </w:r>
          </w:hyperlink>
        </w:p>
        <w:p w14:paraId="7FC20A25" w14:textId="58882440" w:rsidR="005F1B32" w:rsidRDefault="005F1B32">
          <w:pPr>
            <w:pStyle w:val="TM3"/>
            <w:tabs>
              <w:tab w:val="right" w:leader="dot" w:pos="9062"/>
            </w:tabs>
            <w:rPr>
              <w:rFonts w:asciiTheme="minorHAnsi" w:eastAsiaTheme="minorEastAsia" w:hAnsiTheme="minorHAnsi"/>
              <w:noProof/>
              <w:lang w:eastAsia="fr-FR"/>
            </w:rPr>
          </w:pPr>
          <w:hyperlink w:anchor="_Toc110864816" w:history="1">
            <w:r w:rsidRPr="00BE1E33">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_Toc110864816 \h </w:instrText>
            </w:r>
            <w:r>
              <w:rPr>
                <w:noProof/>
                <w:webHidden/>
              </w:rPr>
            </w:r>
            <w:r>
              <w:rPr>
                <w:noProof/>
                <w:webHidden/>
              </w:rPr>
              <w:fldChar w:fldCharType="separate"/>
            </w:r>
            <w:r>
              <w:rPr>
                <w:noProof/>
                <w:webHidden/>
              </w:rPr>
              <w:t>4</w:t>
            </w:r>
            <w:r>
              <w:rPr>
                <w:noProof/>
                <w:webHidden/>
              </w:rPr>
              <w:fldChar w:fldCharType="end"/>
            </w:r>
          </w:hyperlink>
        </w:p>
        <w:p w14:paraId="520C2494" w14:textId="0284F3E9" w:rsidR="005F1B32" w:rsidRDefault="005F1B32">
          <w:pPr>
            <w:pStyle w:val="TM3"/>
            <w:tabs>
              <w:tab w:val="right" w:leader="dot" w:pos="9062"/>
            </w:tabs>
            <w:rPr>
              <w:rFonts w:asciiTheme="minorHAnsi" w:eastAsiaTheme="minorEastAsia" w:hAnsiTheme="minorHAnsi"/>
              <w:noProof/>
              <w:lang w:eastAsia="fr-FR"/>
            </w:rPr>
          </w:pPr>
          <w:hyperlink w:anchor="_Toc110864817" w:history="1">
            <w:r w:rsidRPr="00BE1E33">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_Toc110864817 \h </w:instrText>
            </w:r>
            <w:r>
              <w:rPr>
                <w:noProof/>
                <w:webHidden/>
              </w:rPr>
            </w:r>
            <w:r>
              <w:rPr>
                <w:noProof/>
                <w:webHidden/>
              </w:rPr>
              <w:fldChar w:fldCharType="separate"/>
            </w:r>
            <w:r>
              <w:rPr>
                <w:noProof/>
                <w:webHidden/>
              </w:rPr>
              <w:t>8</w:t>
            </w:r>
            <w:r>
              <w:rPr>
                <w:noProof/>
                <w:webHidden/>
              </w:rPr>
              <w:fldChar w:fldCharType="end"/>
            </w:r>
          </w:hyperlink>
        </w:p>
        <w:p w14:paraId="36E4146A" w14:textId="415724CB" w:rsidR="005F1B32" w:rsidRDefault="005F1B32">
          <w:pPr>
            <w:pStyle w:val="TM2"/>
            <w:tabs>
              <w:tab w:val="right" w:leader="dot" w:pos="9062"/>
            </w:tabs>
            <w:rPr>
              <w:rFonts w:asciiTheme="minorHAnsi" w:eastAsiaTheme="minorEastAsia" w:hAnsiTheme="minorHAnsi"/>
              <w:noProof/>
              <w:lang w:eastAsia="fr-FR"/>
            </w:rPr>
          </w:pPr>
          <w:hyperlink w:anchor="_Toc110864818" w:history="1">
            <w:r w:rsidRPr="00BE1E33">
              <w:rPr>
                <w:rStyle w:val="Lienhypertexte"/>
                <w:noProof/>
              </w:rPr>
              <w:t>Qu’est-ce que la prévoyance collective ?</w:t>
            </w:r>
            <w:r>
              <w:rPr>
                <w:noProof/>
                <w:webHidden/>
              </w:rPr>
              <w:tab/>
            </w:r>
            <w:r>
              <w:rPr>
                <w:noProof/>
                <w:webHidden/>
              </w:rPr>
              <w:fldChar w:fldCharType="begin"/>
            </w:r>
            <w:r>
              <w:rPr>
                <w:noProof/>
                <w:webHidden/>
              </w:rPr>
              <w:instrText xml:space="preserve"> PAGEREF _Toc110864818 \h </w:instrText>
            </w:r>
            <w:r>
              <w:rPr>
                <w:noProof/>
                <w:webHidden/>
              </w:rPr>
            </w:r>
            <w:r>
              <w:rPr>
                <w:noProof/>
                <w:webHidden/>
              </w:rPr>
              <w:fldChar w:fldCharType="separate"/>
            </w:r>
            <w:r>
              <w:rPr>
                <w:noProof/>
                <w:webHidden/>
              </w:rPr>
              <w:t>8</w:t>
            </w:r>
            <w:r>
              <w:rPr>
                <w:noProof/>
                <w:webHidden/>
              </w:rPr>
              <w:fldChar w:fldCharType="end"/>
            </w:r>
          </w:hyperlink>
        </w:p>
        <w:p w14:paraId="66EFE765" w14:textId="5B8997CE" w:rsidR="005F1B32" w:rsidRDefault="005F1B32">
          <w:pPr>
            <w:pStyle w:val="TM2"/>
            <w:tabs>
              <w:tab w:val="right" w:leader="dot" w:pos="9062"/>
            </w:tabs>
            <w:rPr>
              <w:rFonts w:asciiTheme="minorHAnsi" w:eastAsiaTheme="minorEastAsia" w:hAnsiTheme="minorHAnsi"/>
              <w:noProof/>
              <w:lang w:eastAsia="fr-FR"/>
            </w:rPr>
          </w:pPr>
          <w:hyperlink w:anchor="_Toc110864819" w:history="1">
            <w:r w:rsidRPr="00BE1E33">
              <w:rPr>
                <w:rStyle w:val="Lienhypertexte"/>
                <w:noProof/>
              </w:rPr>
              <w:t>Contexte général et définitions autour du risque arrêt de travail.</w:t>
            </w:r>
            <w:r>
              <w:rPr>
                <w:noProof/>
                <w:webHidden/>
              </w:rPr>
              <w:tab/>
            </w:r>
            <w:r>
              <w:rPr>
                <w:noProof/>
                <w:webHidden/>
              </w:rPr>
              <w:fldChar w:fldCharType="begin"/>
            </w:r>
            <w:r>
              <w:rPr>
                <w:noProof/>
                <w:webHidden/>
              </w:rPr>
              <w:instrText xml:space="preserve"> PAGEREF _Toc110864819 \h </w:instrText>
            </w:r>
            <w:r>
              <w:rPr>
                <w:noProof/>
                <w:webHidden/>
              </w:rPr>
            </w:r>
            <w:r>
              <w:rPr>
                <w:noProof/>
                <w:webHidden/>
              </w:rPr>
              <w:fldChar w:fldCharType="separate"/>
            </w:r>
            <w:r>
              <w:rPr>
                <w:noProof/>
                <w:webHidden/>
              </w:rPr>
              <w:t>8</w:t>
            </w:r>
            <w:r>
              <w:rPr>
                <w:noProof/>
                <w:webHidden/>
              </w:rPr>
              <w:fldChar w:fldCharType="end"/>
            </w:r>
          </w:hyperlink>
        </w:p>
        <w:p w14:paraId="1C8CF312" w14:textId="0E4FC872" w:rsidR="005F1B32" w:rsidRDefault="005F1B32">
          <w:pPr>
            <w:pStyle w:val="TM1"/>
            <w:tabs>
              <w:tab w:val="right" w:leader="dot" w:pos="9062"/>
            </w:tabs>
            <w:rPr>
              <w:rFonts w:asciiTheme="minorHAnsi" w:eastAsiaTheme="minorEastAsia" w:hAnsiTheme="minorHAnsi"/>
              <w:noProof/>
              <w:lang w:eastAsia="fr-FR"/>
            </w:rPr>
          </w:pPr>
          <w:hyperlink w:anchor="_Toc110864820" w:history="1">
            <w:r w:rsidRPr="00BE1E33">
              <w:rPr>
                <w:rStyle w:val="Lienhypertexte"/>
                <w:noProof/>
              </w:rPr>
              <w:t>L’absentéisme en entreprise en France</w:t>
            </w:r>
            <w:r>
              <w:rPr>
                <w:noProof/>
                <w:webHidden/>
              </w:rPr>
              <w:tab/>
            </w:r>
            <w:r>
              <w:rPr>
                <w:noProof/>
                <w:webHidden/>
              </w:rPr>
              <w:fldChar w:fldCharType="begin"/>
            </w:r>
            <w:r>
              <w:rPr>
                <w:noProof/>
                <w:webHidden/>
              </w:rPr>
              <w:instrText xml:space="preserve"> PAGEREF _Toc110864820 \h </w:instrText>
            </w:r>
            <w:r>
              <w:rPr>
                <w:noProof/>
                <w:webHidden/>
              </w:rPr>
            </w:r>
            <w:r>
              <w:rPr>
                <w:noProof/>
                <w:webHidden/>
              </w:rPr>
              <w:fldChar w:fldCharType="separate"/>
            </w:r>
            <w:r>
              <w:rPr>
                <w:noProof/>
                <w:webHidden/>
              </w:rPr>
              <w:t>8</w:t>
            </w:r>
            <w:r>
              <w:rPr>
                <w:noProof/>
                <w:webHidden/>
              </w:rPr>
              <w:fldChar w:fldCharType="end"/>
            </w:r>
          </w:hyperlink>
        </w:p>
        <w:p w14:paraId="6655CA29" w14:textId="2D1E55FC" w:rsidR="005F1B32" w:rsidRDefault="005F1B32">
          <w:pPr>
            <w:pStyle w:val="TM2"/>
            <w:tabs>
              <w:tab w:val="right" w:leader="dot" w:pos="9062"/>
            </w:tabs>
            <w:rPr>
              <w:rFonts w:asciiTheme="minorHAnsi" w:eastAsiaTheme="minorEastAsia" w:hAnsiTheme="minorHAnsi"/>
              <w:noProof/>
              <w:lang w:eastAsia="fr-FR"/>
            </w:rPr>
          </w:pPr>
          <w:hyperlink w:anchor="_Toc110864821" w:history="1">
            <w:r w:rsidRPr="00BE1E33">
              <w:rPr>
                <w:rStyle w:val="Lienhypertexte"/>
                <w:noProof/>
              </w:rPr>
              <w:t>Qu’est-ce que l’absentéisme ?</w:t>
            </w:r>
            <w:r>
              <w:rPr>
                <w:noProof/>
                <w:webHidden/>
              </w:rPr>
              <w:tab/>
            </w:r>
            <w:r>
              <w:rPr>
                <w:noProof/>
                <w:webHidden/>
              </w:rPr>
              <w:fldChar w:fldCharType="begin"/>
            </w:r>
            <w:r>
              <w:rPr>
                <w:noProof/>
                <w:webHidden/>
              </w:rPr>
              <w:instrText xml:space="preserve"> PAGEREF _Toc110864821 \h </w:instrText>
            </w:r>
            <w:r>
              <w:rPr>
                <w:noProof/>
                <w:webHidden/>
              </w:rPr>
            </w:r>
            <w:r>
              <w:rPr>
                <w:noProof/>
                <w:webHidden/>
              </w:rPr>
              <w:fldChar w:fldCharType="separate"/>
            </w:r>
            <w:r>
              <w:rPr>
                <w:noProof/>
                <w:webHidden/>
              </w:rPr>
              <w:t>8</w:t>
            </w:r>
            <w:r>
              <w:rPr>
                <w:noProof/>
                <w:webHidden/>
              </w:rPr>
              <w:fldChar w:fldCharType="end"/>
            </w:r>
          </w:hyperlink>
        </w:p>
        <w:p w14:paraId="043971D2" w14:textId="5A41057F" w:rsidR="005F1B32" w:rsidRDefault="005F1B32">
          <w:pPr>
            <w:pStyle w:val="TM2"/>
            <w:tabs>
              <w:tab w:val="right" w:leader="dot" w:pos="9062"/>
            </w:tabs>
            <w:rPr>
              <w:rFonts w:asciiTheme="minorHAnsi" w:eastAsiaTheme="minorEastAsia" w:hAnsiTheme="minorHAnsi"/>
              <w:noProof/>
              <w:lang w:eastAsia="fr-FR"/>
            </w:rPr>
          </w:pPr>
          <w:hyperlink w:anchor="_Toc110864822" w:history="1">
            <w:r w:rsidRPr="00BE1E33">
              <w:rPr>
                <w:rStyle w:val="Lienhypertexte"/>
                <w:noProof/>
              </w:rPr>
              <w:t>Comment mesurer l’absentéisme en entreprise ?</w:t>
            </w:r>
            <w:r>
              <w:rPr>
                <w:noProof/>
                <w:webHidden/>
              </w:rPr>
              <w:tab/>
            </w:r>
            <w:r>
              <w:rPr>
                <w:noProof/>
                <w:webHidden/>
              </w:rPr>
              <w:fldChar w:fldCharType="begin"/>
            </w:r>
            <w:r>
              <w:rPr>
                <w:noProof/>
                <w:webHidden/>
              </w:rPr>
              <w:instrText xml:space="preserve"> PAGEREF _Toc110864822 \h </w:instrText>
            </w:r>
            <w:r>
              <w:rPr>
                <w:noProof/>
                <w:webHidden/>
              </w:rPr>
            </w:r>
            <w:r>
              <w:rPr>
                <w:noProof/>
                <w:webHidden/>
              </w:rPr>
              <w:fldChar w:fldCharType="separate"/>
            </w:r>
            <w:r>
              <w:rPr>
                <w:noProof/>
                <w:webHidden/>
              </w:rPr>
              <w:t>8</w:t>
            </w:r>
            <w:r>
              <w:rPr>
                <w:noProof/>
                <w:webHidden/>
              </w:rPr>
              <w:fldChar w:fldCharType="end"/>
            </w:r>
          </w:hyperlink>
        </w:p>
        <w:p w14:paraId="2AD0407C" w14:textId="116790E3" w:rsidR="005F1B32" w:rsidRDefault="005F1B32">
          <w:pPr>
            <w:pStyle w:val="TM2"/>
            <w:tabs>
              <w:tab w:val="right" w:leader="dot" w:pos="9062"/>
            </w:tabs>
            <w:rPr>
              <w:rFonts w:asciiTheme="minorHAnsi" w:eastAsiaTheme="minorEastAsia" w:hAnsiTheme="minorHAnsi"/>
              <w:noProof/>
              <w:lang w:eastAsia="fr-FR"/>
            </w:rPr>
          </w:pPr>
          <w:hyperlink w:anchor="_Toc110864823" w:history="1">
            <w:r w:rsidRPr="00BE1E33">
              <w:rPr>
                <w:rStyle w:val="Lienhypertexte"/>
                <w:noProof/>
              </w:rPr>
              <w:t>Quel est son coût réel sur les entreprises ?</w:t>
            </w:r>
            <w:r>
              <w:rPr>
                <w:noProof/>
                <w:webHidden/>
              </w:rPr>
              <w:tab/>
            </w:r>
            <w:r>
              <w:rPr>
                <w:noProof/>
                <w:webHidden/>
              </w:rPr>
              <w:fldChar w:fldCharType="begin"/>
            </w:r>
            <w:r>
              <w:rPr>
                <w:noProof/>
                <w:webHidden/>
              </w:rPr>
              <w:instrText xml:space="preserve"> PAGEREF _Toc110864823 \h </w:instrText>
            </w:r>
            <w:r>
              <w:rPr>
                <w:noProof/>
                <w:webHidden/>
              </w:rPr>
            </w:r>
            <w:r>
              <w:rPr>
                <w:noProof/>
                <w:webHidden/>
              </w:rPr>
              <w:fldChar w:fldCharType="separate"/>
            </w:r>
            <w:r>
              <w:rPr>
                <w:noProof/>
                <w:webHidden/>
              </w:rPr>
              <w:t>8</w:t>
            </w:r>
            <w:r>
              <w:rPr>
                <w:noProof/>
                <w:webHidden/>
              </w:rPr>
              <w:fldChar w:fldCharType="end"/>
            </w:r>
          </w:hyperlink>
        </w:p>
        <w:p w14:paraId="6169CD4F" w14:textId="260FB691" w:rsidR="00A103B7" w:rsidRDefault="00A103B7">
          <w:r>
            <w:rPr>
              <w:b/>
              <w:bCs/>
            </w:rPr>
            <w:fldChar w:fldCharType="end"/>
          </w:r>
        </w:p>
      </w:sdtContent>
    </w:sdt>
    <w:p w14:paraId="16DA07E4" w14:textId="79020D5B" w:rsidR="00A103B7" w:rsidRDefault="00A103B7">
      <w:r>
        <w:br w:type="page"/>
      </w:r>
    </w:p>
    <w:p w14:paraId="1EA448A1" w14:textId="61400B47" w:rsidR="00A103B7" w:rsidRDefault="00A103B7" w:rsidP="00163B1C">
      <w:pPr>
        <w:pStyle w:val="Titre1"/>
      </w:pPr>
      <w:bookmarkStart w:id="0" w:name="_Toc110864812"/>
      <w:r w:rsidRPr="009212F2">
        <w:lastRenderedPageBreak/>
        <w:t>Le risque arrêt de travail dans le contexte de l’assurance collective</w:t>
      </w:r>
      <w:bookmarkEnd w:id="0"/>
    </w:p>
    <w:p w14:paraId="70FD84F2" w14:textId="77777777" w:rsidR="00296E07" w:rsidRPr="00296E07" w:rsidRDefault="00296E07" w:rsidP="00296E07"/>
    <w:p w14:paraId="5B5741F6" w14:textId="759FE010" w:rsidR="00296E07" w:rsidRDefault="00296E07" w:rsidP="00296E07">
      <w:r>
        <w:t xml:space="preserve">Dans le cadre de l’étude, nous avons </w:t>
      </w:r>
      <w:r>
        <w:t>pour</w:t>
      </w:r>
      <w:r>
        <w:t xml:space="preserve"> objectif d’étudier et de modéliser l’absentéisme sur le portefeuille collectif de Generali Vie</w:t>
      </w:r>
      <w:r>
        <w:t>. Pour introduire ce vaste sujet, il est naturel de tout d’abord</w:t>
      </w:r>
      <w:r>
        <w:t xml:space="preserve"> </w:t>
      </w:r>
      <w:r>
        <w:t xml:space="preserve">présenter le système de protection sociale français, présentation qui nous amènera à </w:t>
      </w:r>
      <w:r w:rsidR="00214899">
        <w:t>aborder les</w:t>
      </w:r>
      <w:r>
        <w:t xml:space="preserve"> spécificités de la prévoyance collective,</w:t>
      </w:r>
      <w:r>
        <w:t xml:space="preser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1" w:name="_Toc110864813"/>
      <w:r>
        <w:t>Présentation de la protection sociale en France : régime de base et régime complémentaire.</w:t>
      </w:r>
      <w:bookmarkEnd w:id="1"/>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63B1C">
      <w:pPr>
        <w:pStyle w:val="Paragraphedeliste"/>
        <w:numPr>
          <w:ilvl w:val="0"/>
          <w:numId w:val="3"/>
        </w:numPr>
      </w:pPr>
      <w:r>
        <w:t xml:space="preserve">Santé : actes courants, hospitalisation, optique et dentaire : remboursement des frais médicaux  </w:t>
      </w:r>
    </w:p>
    <w:p w14:paraId="2F159EC9" w14:textId="77777777" w:rsidR="00661A1B" w:rsidRDefault="00661A1B" w:rsidP="00163B1C">
      <w:pPr>
        <w:pStyle w:val="Paragraphedeliste"/>
        <w:numPr>
          <w:ilvl w:val="0"/>
          <w:numId w:val="3"/>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63B1C">
      <w:pPr>
        <w:pStyle w:val="Paragraphedeliste"/>
        <w:numPr>
          <w:ilvl w:val="0"/>
          <w:numId w:val="3"/>
        </w:numPr>
      </w:pPr>
      <w:r>
        <w:t xml:space="preserve">Décès : versement d’un capital ou d’une rente aux ayants droits </w:t>
      </w:r>
    </w:p>
    <w:p w14:paraId="2DB8AB93" w14:textId="77777777" w:rsidR="00661A1B" w:rsidRDefault="00661A1B" w:rsidP="00163B1C">
      <w:pPr>
        <w:pStyle w:val="Paragraphedeliste"/>
        <w:numPr>
          <w:ilvl w:val="0"/>
          <w:numId w:val="3"/>
        </w:numPr>
      </w:pPr>
      <w:r>
        <w:t xml:space="preserve">Retraite : constitution d’un capital ou d’une rente </w:t>
      </w:r>
    </w:p>
    <w:p w14:paraId="52BBAACA" w14:textId="77777777" w:rsidR="00661A1B" w:rsidRDefault="00661A1B" w:rsidP="00163B1C">
      <w:pPr>
        <w:pStyle w:val="Paragraphedeliste"/>
        <w:numPr>
          <w:ilvl w:val="0"/>
          <w:numId w:val="3"/>
        </w:numPr>
      </w:pPr>
      <w:r>
        <w:t xml:space="preserve">Dépendance : versement d’un capital ou d’une rente </w:t>
      </w:r>
    </w:p>
    <w:p w14:paraId="5A20FBA5" w14:textId="45E11E10" w:rsidR="00B320F2" w:rsidRDefault="00661A1B" w:rsidP="00163B1C">
      <w:pPr>
        <w:pStyle w:val="Paragraphedeliste"/>
        <w:numPr>
          <w:ilvl w:val="0"/>
          <w:numId w:val="3"/>
        </w:numPr>
      </w:pPr>
      <w:r>
        <w:t>Chômage : versement d’indemnités de chômage</w:t>
      </w:r>
    </w:p>
    <w:p w14:paraId="1AE4DBAE" w14:textId="56A922CD" w:rsidR="009212F2" w:rsidRDefault="009212F2" w:rsidP="00163B1C">
      <w:pPr>
        <w:pStyle w:val="Titre3"/>
      </w:pPr>
      <w:bookmarkStart w:id="2" w:name="_Toc110864814"/>
      <w:r w:rsidRPr="009212F2">
        <w:t>Histoire de la protection sociale</w:t>
      </w:r>
      <w:bookmarkEnd w:id="2"/>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63B1C">
      <w:pPr>
        <w:pStyle w:val="Paragraphedeliste"/>
        <w:numPr>
          <w:ilvl w:val="0"/>
          <w:numId w:val="4"/>
        </w:numPr>
      </w:pPr>
      <w:r>
        <w:t>Unité de la Sécurité Sociale</w:t>
      </w:r>
    </w:p>
    <w:p w14:paraId="59C6F4AE" w14:textId="28D4C694" w:rsidR="00850EFE" w:rsidRDefault="00850EFE" w:rsidP="00163B1C">
      <w:pPr>
        <w:pStyle w:val="Paragraphedeliste"/>
        <w:numPr>
          <w:ilvl w:val="0"/>
          <w:numId w:val="4"/>
        </w:numPr>
      </w:pPr>
      <w:r>
        <w:t>Généralisation quant aux personnes</w:t>
      </w:r>
    </w:p>
    <w:p w14:paraId="05D2E161" w14:textId="73D31645" w:rsidR="00850EFE" w:rsidRDefault="00850EFE" w:rsidP="00163B1C">
      <w:pPr>
        <w:pStyle w:val="Paragraphedeliste"/>
        <w:numPr>
          <w:ilvl w:val="0"/>
          <w:numId w:val="4"/>
        </w:numPr>
      </w:pPr>
      <w:r>
        <w:t>Extension des risques couverts</w:t>
      </w:r>
    </w:p>
    <w:p w14:paraId="040A41CB" w14:textId="7CDF973A" w:rsidR="00850EFE" w:rsidRDefault="00850EFE" w:rsidP="00163B1C">
      <w:r>
        <w:t>L’ordonnance du 4 octobre 1945 prévoit un système coordonné de caisses se s</w:t>
      </w:r>
      <w:r w:rsidR="00823F3F">
        <w:t>ubstituant à de multiples organismes existants. Les salariés des régimes spéciaux comme les fonctionnaires, les marins, les cheminots, etc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63B1C">
      <w:pPr>
        <w:pStyle w:val="Paragraphedeliste"/>
        <w:numPr>
          <w:ilvl w:val="0"/>
          <w:numId w:val="5"/>
        </w:numPr>
      </w:pPr>
      <w:r>
        <w:t>Régime général : salariés et travailleurs assimilés à des salariés soit environ 80 % de la population.</w:t>
      </w:r>
    </w:p>
    <w:p w14:paraId="12FCC3D0" w14:textId="74678CDE" w:rsidR="00775045" w:rsidRDefault="00775045" w:rsidP="00163B1C">
      <w:pPr>
        <w:pStyle w:val="Paragraphedeliste"/>
        <w:numPr>
          <w:ilvl w:val="0"/>
          <w:numId w:val="5"/>
        </w:numPr>
      </w:pPr>
      <w:r>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63B1C">
      <w:pPr>
        <w:pStyle w:val="Paragraphedeliste"/>
        <w:numPr>
          <w:ilvl w:val="0"/>
          <w:numId w:val="5"/>
        </w:numPr>
      </w:pPr>
      <w:r>
        <w:lastRenderedPageBreak/>
        <w:t>Régime agricole : exploitants et salariés agricoles, ainsi que certains secteurs rattachés à l’agriculture (ex l’industrie agro alimentaire).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3" w:name="_Toc110864815"/>
      <w:r>
        <w:t>Organisation fonctionnelle</w:t>
      </w:r>
      <w:bookmarkEnd w:id="3"/>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63B1C">
      <w:pPr>
        <w:pStyle w:val="Paragraphedeliste"/>
        <w:numPr>
          <w:ilvl w:val="0"/>
          <w:numId w:val="6"/>
        </w:numPr>
      </w:pPr>
      <w:r>
        <w:t>Branche Maladie</w:t>
      </w:r>
      <w:r w:rsidR="004167E1">
        <w:t xml:space="preserve"> : </w:t>
      </w:r>
      <w:r>
        <w:t xml:space="preserve">maladie, maternité, paternité, invalidité, décès </w:t>
      </w:r>
    </w:p>
    <w:p w14:paraId="7C16B146" w14:textId="4863A50E" w:rsidR="00C21A8E" w:rsidRDefault="00C21A8E" w:rsidP="00163B1C">
      <w:pPr>
        <w:pStyle w:val="Paragraphedeliste"/>
        <w:numPr>
          <w:ilvl w:val="0"/>
          <w:numId w:val="6"/>
        </w:numPr>
      </w:pPr>
      <w:r>
        <w:t xml:space="preserve">Branche Accidents du travail et Maladies professionnelles </w:t>
      </w:r>
    </w:p>
    <w:p w14:paraId="4EB8CAFC" w14:textId="5FCB6D84" w:rsidR="00C21A8E" w:rsidRDefault="00C21A8E" w:rsidP="00163B1C">
      <w:pPr>
        <w:pStyle w:val="Paragraphedeliste"/>
        <w:numPr>
          <w:ilvl w:val="0"/>
          <w:numId w:val="6"/>
        </w:numPr>
      </w:pPr>
      <w:r>
        <w:t>Branche Vieillesse et veuvage</w:t>
      </w:r>
    </w:p>
    <w:p w14:paraId="0A3CE01D" w14:textId="7A5C8123" w:rsidR="004167E1" w:rsidRPr="00070EF6" w:rsidRDefault="00C21A8E" w:rsidP="00163B1C">
      <w:pPr>
        <w:pStyle w:val="Paragraphedeliste"/>
        <w:numPr>
          <w:ilvl w:val="0"/>
          <w:numId w:val="6"/>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4" w:name="_Toc110864816"/>
      <w:r>
        <w:t>Détails de l’offre proposée par le régime de base</w:t>
      </w:r>
      <w:bookmarkEnd w:id="4"/>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63B1C">
      <w:pPr>
        <w:pStyle w:val="Paragraphedeliste"/>
        <w:numPr>
          <w:ilvl w:val="0"/>
          <w:numId w:val="8"/>
        </w:numPr>
      </w:pPr>
      <w:r>
        <w:t>Si l’arrêt de travail est inférieur à 6 mois :</w:t>
      </w:r>
    </w:p>
    <w:p w14:paraId="226EBC5A" w14:textId="76F5A906" w:rsidR="00025912" w:rsidRDefault="00025912" w:rsidP="00163B1C">
      <w:pPr>
        <w:pStyle w:val="Paragraphedeliste"/>
        <w:numPr>
          <w:ilvl w:val="1"/>
          <w:numId w:val="8"/>
        </w:numPr>
        <w:ind w:left="1210"/>
      </w:pPr>
      <w:r>
        <w:t>Avoir travaillé au moins 150 heures au cours des trois mois précédant l'arrêt de travail</w:t>
      </w:r>
    </w:p>
    <w:p w14:paraId="49624F94" w14:textId="192F83CF" w:rsidR="00025912" w:rsidRDefault="00025912" w:rsidP="00163B1C">
      <w:pPr>
        <w:pStyle w:val="Paragraphedeliste"/>
        <w:numPr>
          <w:ilvl w:val="1"/>
          <w:numId w:val="8"/>
        </w:numPr>
        <w:ind w:left="1210"/>
      </w:pPr>
      <w:r>
        <w:t>Ou avoir cotisé sur un salaire au moins égal à 1 015 fois le montant du SMIC horaire au cours des six mois précédant l'arrêt</w:t>
      </w:r>
    </w:p>
    <w:p w14:paraId="4593C7E1" w14:textId="784FEFFE" w:rsidR="00025912" w:rsidRDefault="00025912" w:rsidP="00163B1C">
      <w:pPr>
        <w:pStyle w:val="Paragraphedeliste"/>
        <w:numPr>
          <w:ilvl w:val="0"/>
          <w:numId w:val="8"/>
        </w:numPr>
      </w:pPr>
      <w:r>
        <w:t>Si l’arrêt de travail est supérieur à 6 mois :</w:t>
      </w:r>
    </w:p>
    <w:p w14:paraId="2DB6EB45" w14:textId="17B9D39B" w:rsidR="00025912" w:rsidRDefault="00025912" w:rsidP="00163B1C">
      <w:pPr>
        <w:pStyle w:val="Paragraphedeliste"/>
        <w:numPr>
          <w:ilvl w:val="1"/>
          <w:numId w:val="8"/>
        </w:numPr>
        <w:ind w:left="1210"/>
      </w:pPr>
      <w:r>
        <w:t>Justifier à la date de l’arrêt, de douze mois d'immatriculation en tant qu'assuré social auprès de l'Assurance Maladie</w:t>
      </w:r>
    </w:p>
    <w:p w14:paraId="4CE1CE7C" w14:textId="4EF79CA7" w:rsidR="00025912" w:rsidRDefault="00025912" w:rsidP="00163B1C">
      <w:pPr>
        <w:pStyle w:val="Paragraphedeliste"/>
        <w:numPr>
          <w:ilvl w:val="1"/>
          <w:numId w:val="8"/>
        </w:numPr>
        <w:ind w:left="1210"/>
      </w:pPr>
      <w:r>
        <w:t>Avoir travaillé au moins 600 heures au cours des douze derniers mois</w:t>
      </w:r>
    </w:p>
    <w:p w14:paraId="0C41871E" w14:textId="6D1980EF" w:rsidR="00025912" w:rsidRDefault="00025912" w:rsidP="00163B1C">
      <w:pPr>
        <w:pStyle w:val="Paragraphedeliste"/>
        <w:numPr>
          <w:ilvl w:val="1"/>
          <w:numId w:val="8"/>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63B1C">
      <w:pPr>
        <w:pStyle w:val="Paragraphedeliste"/>
        <w:numPr>
          <w:ilvl w:val="0"/>
          <w:numId w:val="9"/>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63B1C">
      <w:pPr>
        <w:pStyle w:val="Paragraphedeliste"/>
        <w:numPr>
          <w:ilvl w:val="0"/>
          <w:numId w:val="10"/>
        </w:numPr>
      </w:pPr>
      <w:r>
        <w:t xml:space="preserve">En cas de reprise d’activité entre deux prescriptions d’arrêt de travail qui ne dépasse pas 48 heures </w:t>
      </w:r>
    </w:p>
    <w:p w14:paraId="07F27DEF" w14:textId="09856DB6" w:rsidR="00B610EB" w:rsidRDefault="00B610EB" w:rsidP="00163B1C">
      <w:pPr>
        <w:pStyle w:val="Paragraphedeliste"/>
        <w:numPr>
          <w:ilvl w:val="0"/>
          <w:numId w:val="10"/>
        </w:numPr>
      </w:pPr>
      <w:r>
        <w:lastRenderedPageBreak/>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63B1C">
      <w:pPr>
        <w:pStyle w:val="Paragraphedeliste"/>
        <w:numPr>
          <w:ilvl w:val="0"/>
          <w:numId w:val="9"/>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;1,8*SMIC)</m:t>
        </m:r>
        <m:r>
          <w:rPr>
            <w:rFonts w:ascii="Cambria Math" w:hAnsi="Cambria Math"/>
          </w:rPr>
          <m:t xml:space="preserve">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63B1C">
      <w:pPr>
        <w:pStyle w:val="Paragraphedeliste"/>
        <w:numPr>
          <w:ilvl w:val="0"/>
          <w:numId w:val="15"/>
        </w:numPr>
      </w:pPr>
      <w:r>
        <w:t>Pour l’assurance maternité :</w:t>
      </w:r>
    </w:p>
    <w:p w14:paraId="1C9D8649" w14:textId="16D373DC" w:rsidR="00ED15F7" w:rsidRDefault="00EB7709" w:rsidP="00163B1C">
      <w:pPr>
        <w:pStyle w:val="Paragraphedeliste"/>
        <w:numPr>
          <w:ilvl w:val="1"/>
          <w:numId w:val="15"/>
        </w:numPr>
        <w:ind w:left="1210"/>
      </w:pPr>
      <w:r>
        <w:t>Être</w:t>
      </w:r>
      <w:r w:rsidR="00D917AA">
        <w:t xml:space="preserve"> immatriculée en tant qu'assurée sociale depuis au moins 10 mois, à la date prévue de l’accouchement </w:t>
      </w:r>
    </w:p>
    <w:p w14:paraId="726219D8" w14:textId="77777777" w:rsidR="00EB7709" w:rsidRDefault="00D917AA" w:rsidP="00163B1C">
      <w:pPr>
        <w:pStyle w:val="Paragraphedeliste"/>
        <w:numPr>
          <w:ilvl w:val="1"/>
          <w:numId w:val="15"/>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63B1C">
      <w:pPr>
        <w:pStyle w:val="Paragraphedeliste"/>
        <w:numPr>
          <w:ilvl w:val="1"/>
          <w:numId w:val="15"/>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63B1C">
      <w:pPr>
        <w:pStyle w:val="Paragraphedeliste"/>
        <w:numPr>
          <w:ilvl w:val="0"/>
          <w:numId w:val="15"/>
        </w:numPr>
      </w:pPr>
      <w:r>
        <w:t>Pour le congé paternité :</w:t>
      </w:r>
    </w:p>
    <w:p w14:paraId="4F88341A" w14:textId="7D8256E1" w:rsidR="00ED15F7" w:rsidRDefault="00ED15F7" w:rsidP="00163B1C">
      <w:pPr>
        <w:pStyle w:val="Paragraphedeliste"/>
        <w:numPr>
          <w:ilvl w:val="1"/>
          <w:numId w:val="15"/>
        </w:numPr>
        <w:ind w:left="1210"/>
      </w:pPr>
      <w:r>
        <w:t>Justifier d'au moins 10 mois d'immatriculation en tant qu'assuré social à la date de début du congé</w:t>
      </w:r>
    </w:p>
    <w:p w14:paraId="1F14F42F" w14:textId="3D2E8362" w:rsidR="00D917AA" w:rsidRDefault="00ED15F7" w:rsidP="00163B1C">
      <w:pPr>
        <w:pStyle w:val="Paragraphedeliste"/>
        <w:numPr>
          <w:ilvl w:val="1"/>
          <w:numId w:val="15"/>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63B1C">
      <w:pPr>
        <w:pStyle w:val="Paragraphedeliste"/>
        <w:numPr>
          <w:ilvl w:val="0"/>
          <w:numId w:val="9"/>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63B1C">
      <w:pPr>
        <w:pStyle w:val="Paragraphedeliste"/>
        <w:numPr>
          <w:ilvl w:val="0"/>
          <w:numId w:val="16"/>
        </w:numPr>
      </w:pPr>
      <w:r>
        <w:t xml:space="preserve">Congé Maternité : </w:t>
      </w:r>
      <w:r w:rsidR="00ED15F7">
        <w:t>16 semaines (peut être plus longue selon le nombre d’enfants de l’assuré et le nombre d’enfants attendus)</w:t>
      </w:r>
    </w:p>
    <w:p w14:paraId="0AFBE980" w14:textId="244BD7DE" w:rsidR="00913A68" w:rsidRDefault="00913A68" w:rsidP="00163B1C">
      <w:pPr>
        <w:pStyle w:val="Paragraphedeliste"/>
        <w:numPr>
          <w:ilvl w:val="0"/>
          <w:numId w:val="16"/>
        </w:numPr>
      </w:pPr>
      <w:r>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63B1C">
      <w:pPr>
        <w:pStyle w:val="Paragraphedeliste"/>
        <w:numPr>
          <w:ilvl w:val="0"/>
          <w:numId w:val="9"/>
        </w:numPr>
        <w:ind w:left="1210"/>
      </w:pPr>
      <w:r>
        <w:lastRenderedPageBreak/>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63B1C">
      <w:pPr>
        <w:pStyle w:val="Paragraphedeliste"/>
        <w:numPr>
          <w:ilvl w:val="0"/>
          <w:numId w:val="17"/>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63B1C">
      <w:pPr>
        <w:pStyle w:val="Paragraphedeliste"/>
        <w:numPr>
          <w:ilvl w:val="0"/>
          <w:numId w:val="17"/>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63B1C">
      <w:pPr>
        <w:pStyle w:val="Paragraphedeliste"/>
        <w:numPr>
          <w:ilvl w:val="0"/>
          <w:numId w:val="18"/>
        </w:numPr>
      </w:pPr>
      <w:r>
        <w:t xml:space="preserve">L’invalidité que présente l'assuré doit réduire au moins des 2/3 sa capacité de travail ou de gain  </w:t>
      </w:r>
    </w:p>
    <w:p w14:paraId="7F8495D9" w14:textId="28344192" w:rsidR="00A529CB" w:rsidRDefault="003E0C37" w:rsidP="00163B1C">
      <w:pPr>
        <w:pStyle w:val="Paragraphedeliste"/>
        <w:numPr>
          <w:ilvl w:val="0"/>
          <w:numId w:val="18"/>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63B1C">
      <w:pPr>
        <w:pStyle w:val="Paragraphedeliste"/>
        <w:numPr>
          <w:ilvl w:val="0"/>
          <w:numId w:val="19"/>
        </w:numPr>
      </w:pPr>
      <w:r>
        <w:t xml:space="preserve">Invalides capables d'exercer une activité rémunérée ; </w:t>
      </w:r>
    </w:p>
    <w:p w14:paraId="63734EB6" w14:textId="77777777" w:rsidR="003E0C37" w:rsidRDefault="003E0C37" w:rsidP="00163B1C">
      <w:pPr>
        <w:pStyle w:val="Paragraphedeliste"/>
        <w:numPr>
          <w:ilvl w:val="0"/>
          <w:numId w:val="19"/>
        </w:numPr>
      </w:pPr>
      <w:r>
        <w:t xml:space="preserve">Invalides absolument incapables d'exercer une profession quelconque ; </w:t>
      </w:r>
    </w:p>
    <w:p w14:paraId="68BD1599" w14:textId="1BE83BE9" w:rsidR="001B7625" w:rsidRPr="00FE2857" w:rsidRDefault="003E0C37" w:rsidP="00163B1C">
      <w:pPr>
        <w:pStyle w:val="Paragraphedeliste"/>
        <w:numPr>
          <w:ilvl w:val="0"/>
          <w:numId w:val="19"/>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63B1C">
      <w:pPr>
        <w:pStyle w:val="Paragraphedeliste"/>
        <w:numPr>
          <w:ilvl w:val="0"/>
          <w:numId w:val="15"/>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63B1C">
      <w:pPr>
        <w:pStyle w:val="Paragraphedeliste"/>
        <w:numPr>
          <w:ilvl w:val="0"/>
          <w:numId w:val="15"/>
        </w:numPr>
      </w:pPr>
      <w:r>
        <w:t>Justifier, au cours des 12 mois qui précédent l’arrêt de travail pour invalidité ou constatation médicale de l'invalidité,</w:t>
      </w:r>
    </w:p>
    <w:p w14:paraId="6510B46F" w14:textId="7A92317E" w:rsidR="00397EA1" w:rsidRDefault="00397EA1" w:rsidP="00163B1C">
      <w:pPr>
        <w:pStyle w:val="Paragraphedeliste"/>
        <w:numPr>
          <w:ilvl w:val="1"/>
          <w:numId w:val="15"/>
        </w:numPr>
        <w:ind w:left="1210"/>
      </w:pPr>
      <w:r>
        <w:t>Soit avoir effectué au moins 600 heures de travail salarié ;</w:t>
      </w:r>
    </w:p>
    <w:p w14:paraId="0282C8AC" w14:textId="2F6E1C79" w:rsidR="00397EA1" w:rsidRDefault="00397EA1" w:rsidP="00163B1C">
      <w:pPr>
        <w:pStyle w:val="Paragraphedeliste"/>
        <w:numPr>
          <w:ilvl w:val="1"/>
          <w:numId w:val="15"/>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t>La pension d’invalidité :</w:t>
      </w:r>
    </w:p>
    <w:p w14:paraId="680739B8" w14:textId="77777777" w:rsidR="000046F7" w:rsidRDefault="000046F7" w:rsidP="00163B1C">
      <w:pPr>
        <w:pStyle w:val="Paragraphedeliste"/>
        <w:numPr>
          <w:ilvl w:val="0"/>
          <w:numId w:val="9"/>
        </w:numPr>
        <w:ind w:left="1210"/>
      </w:pPr>
      <w:r>
        <w:t>Durée de service des indemnités journalières :</w:t>
      </w:r>
    </w:p>
    <w:p w14:paraId="584E2A6F" w14:textId="34CEABBA" w:rsidR="00F16702" w:rsidRPr="00F16702" w:rsidRDefault="000046F7" w:rsidP="00163B1C">
      <w:r>
        <w:lastRenderedPageBreak/>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63B1C">
      <w:pPr>
        <w:pStyle w:val="Paragraphedeliste"/>
        <w:numPr>
          <w:ilvl w:val="0"/>
          <w:numId w:val="9"/>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63B1C">
      <w:pPr>
        <w:pStyle w:val="Paragraphedeliste"/>
        <w:numPr>
          <w:ilvl w:val="0"/>
          <w:numId w:val="21"/>
        </w:numPr>
      </w:pPr>
      <w:r>
        <w:t xml:space="preserve">1ère catégorie = 30 % du salaire annuel moyen </w:t>
      </w:r>
    </w:p>
    <w:p w14:paraId="33F55EF9" w14:textId="1B19FB56" w:rsidR="00C85FED" w:rsidRDefault="00C85FED" w:rsidP="00163B1C">
      <w:pPr>
        <w:pStyle w:val="Paragraphedeliste"/>
        <w:numPr>
          <w:ilvl w:val="0"/>
          <w:numId w:val="21"/>
        </w:numPr>
      </w:pPr>
      <w:r>
        <w:t xml:space="preserve">2ème catégorie = 50 % du salaire annuel moyen </w:t>
      </w:r>
    </w:p>
    <w:p w14:paraId="06AA7078" w14:textId="4A582D6F" w:rsidR="00C85FED" w:rsidRPr="005F1B32" w:rsidRDefault="00C85FED" w:rsidP="00163B1C">
      <w:pPr>
        <w:pStyle w:val="Paragraphedeliste"/>
        <w:numPr>
          <w:ilvl w:val="0"/>
          <w:numId w:val="21"/>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63B1C">
      <w:pPr>
        <w:pStyle w:val="Paragraphedeliste"/>
        <w:numPr>
          <w:ilvl w:val="0"/>
          <w:numId w:val="22"/>
        </w:numPr>
        <w:ind w:left="1210"/>
      </w:pPr>
      <w:r>
        <w:t>Tout lieu où le travailleur se rend de façon habituelle (résidence principale, résidence secondaire, …) et le lieu de travail.</w:t>
      </w:r>
    </w:p>
    <w:p w14:paraId="0EA9A640" w14:textId="24FE71FF" w:rsidR="00AC7AE8" w:rsidRDefault="00456F0C" w:rsidP="00163B1C">
      <w:pPr>
        <w:pStyle w:val="Paragraphedeliste"/>
        <w:numPr>
          <w:ilvl w:val="0"/>
          <w:numId w:val="22"/>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63B1C">
      <w:pPr>
        <w:pStyle w:val="Paragraphedeliste"/>
        <w:numPr>
          <w:ilvl w:val="0"/>
          <w:numId w:val="9"/>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63B1C">
      <w:pPr>
        <w:pStyle w:val="Paragraphedeliste"/>
        <w:numPr>
          <w:ilvl w:val="0"/>
          <w:numId w:val="9"/>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63B1C">
      <w:pPr>
        <w:pStyle w:val="Paragraphedeliste"/>
        <w:numPr>
          <w:ilvl w:val="0"/>
          <w:numId w:val="23"/>
        </w:numPr>
        <w:tabs>
          <w:tab w:val="left" w:pos="1770"/>
        </w:tabs>
      </w:pPr>
      <w:r>
        <w:t>60 % du salaire journalier de base jusqu’au 28ème jour</w:t>
      </w:r>
    </w:p>
    <w:p w14:paraId="2FE4CDE9" w14:textId="3AA81224" w:rsidR="00D5746E" w:rsidRDefault="00456F0C" w:rsidP="00163B1C">
      <w:pPr>
        <w:pStyle w:val="Paragraphedeliste"/>
        <w:numPr>
          <w:ilvl w:val="0"/>
          <w:numId w:val="23"/>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63B1C">
      <w:pPr>
        <w:pStyle w:val="Paragraphedeliste"/>
        <w:numPr>
          <w:ilvl w:val="0"/>
          <w:numId w:val="24"/>
        </w:numPr>
      </w:pPr>
      <w:r>
        <w:t>Si taux &lt; 10% : Un capital est versé en fonction du taux d’incapacité de la victime sur la base d’un barème forfaitaire.</w:t>
      </w:r>
    </w:p>
    <w:p w14:paraId="6FEC317F" w14:textId="5954B0D4" w:rsidR="00A74A85" w:rsidRDefault="00A74A85" w:rsidP="00163B1C">
      <w:pPr>
        <w:pStyle w:val="Paragraphedeliste"/>
        <w:numPr>
          <w:ilvl w:val="0"/>
          <w:numId w:val="24"/>
        </w:numPr>
      </w:pPr>
      <w:r>
        <w:t>Si taux ≥ 10% : Versement d’une rente viagère égale au salaire annuel multiplié par le taux d'incapacité qui peut être réduit ou augmenté en fonction de la gravité de celle-ci</w:t>
      </w:r>
    </w:p>
    <w:p w14:paraId="6D7FC9FC" w14:textId="68E3BE49" w:rsidR="005F1B32" w:rsidRDefault="005F1B32" w:rsidP="00163B1C">
      <w:pPr>
        <w:pStyle w:val="Titre3"/>
      </w:pPr>
    </w:p>
    <w:p w14:paraId="59E3018C" w14:textId="715F7547" w:rsidR="000273B5" w:rsidRPr="000273B5" w:rsidRDefault="000273B5" w:rsidP="00163B1C">
      <w:pPr>
        <w:pStyle w:val="Titre3"/>
      </w:pPr>
      <w:bookmarkStart w:id="5" w:name="_Toc110864817"/>
      <w:r>
        <w:t>Panorama de l’offre de couverture complémentaire</w:t>
      </w:r>
      <w:bookmarkEnd w:id="5"/>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63B1C">
      <w:pPr>
        <w:pStyle w:val="Paragraphedeliste"/>
        <w:numPr>
          <w:ilvl w:val="0"/>
          <w:numId w:val="9"/>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63B1C">
      <w:pPr>
        <w:pStyle w:val="Paragraphedeliste"/>
        <w:numPr>
          <w:ilvl w:val="0"/>
          <w:numId w:val="9"/>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63B1C">
      <w:pPr>
        <w:pStyle w:val="Paragraphedeliste"/>
        <w:numPr>
          <w:ilvl w:val="0"/>
          <w:numId w:val="9"/>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63B1C">
      <w:pPr>
        <w:pStyle w:val="Paragraphedeliste"/>
        <w:numPr>
          <w:ilvl w:val="0"/>
          <w:numId w:val="9"/>
        </w:numPr>
        <w:ind w:left="927"/>
      </w:pPr>
      <w:r w:rsidRPr="005F1B32">
        <w:rPr>
          <w:b/>
          <w:bCs/>
        </w:rPr>
        <w:t>Les entreprises de conseil :</w:t>
      </w:r>
      <w:r w:rsidR="00F22DB5">
        <w:t xml:space="preserve"> elles portent assistance à l’entreprise </w:t>
      </w:r>
      <w:r w:rsidR="00FB0A25">
        <w:t xml:space="preserve">et possède des domaines </w:t>
      </w:r>
      <w:bookmarkStart w:id="6" w:name="_GoBack"/>
      <w:bookmarkEnd w:id="6"/>
      <w:r w:rsidR="00FB0A25">
        <w:t>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4EB87A0A" w:rsidR="003F0B1C" w:rsidRDefault="003F0B1C" w:rsidP="00163B1C">
      <w:pPr>
        <w:pStyle w:val="Paragraphedeliste"/>
        <w:numPr>
          <w:ilvl w:val="0"/>
          <w:numId w:val="27"/>
        </w:numPr>
        <w:ind w:left="1210"/>
      </w:pPr>
      <w:r>
        <w:t>Les Frais de Santé</w:t>
      </w:r>
    </w:p>
    <w:p w14:paraId="25A387DB" w14:textId="3202258D" w:rsidR="000C235A" w:rsidRPr="00070EF6" w:rsidRDefault="00070EF6" w:rsidP="00397EA1">
      <w:r>
        <w:rPr>
          <w:noProof/>
        </w:rPr>
        <w:lastRenderedPageBreak/>
        <w:drawing>
          <wp:anchor distT="0" distB="0" distL="114300" distR="114300" simplePos="0" relativeHeight="251658240" behindDoc="1" locked="0" layoutInCell="1" allowOverlap="1" wp14:anchorId="4B643CF8" wp14:editId="58D0D692">
            <wp:simplePos x="0" y="0"/>
            <wp:positionH relativeFrom="margin">
              <wp:align>center</wp:align>
            </wp:positionH>
            <wp:positionV relativeFrom="paragraph">
              <wp:posOffset>544</wp:posOffset>
            </wp:positionV>
            <wp:extent cx="5337175" cy="2583180"/>
            <wp:effectExtent l="0" t="0" r="0" b="7620"/>
            <wp:wrapTight wrapText="bothSides">
              <wp:wrapPolygon edited="0">
                <wp:start x="0" y="0"/>
                <wp:lineTo x="0" y="21504"/>
                <wp:lineTo x="21510" y="21504"/>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37175" cy="2583180"/>
                    </a:xfrm>
                    <a:prstGeom prst="rect">
                      <a:avLst/>
                    </a:prstGeom>
                  </pic:spPr>
                </pic:pic>
              </a:graphicData>
            </a:graphic>
            <wp14:sizeRelH relativeFrom="page">
              <wp14:pctWidth>0</wp14:pctWidth>
            </wp14:sizeRelH>
            <wp14:sizeRelV relativeFrom="page">
              <wp14:pctHeight>0</wp14:pctHeight>
            </wp14:sizeRelV>
          </wp:anchor>
        </w:drawing>
      </w:r>
      <w:r w:rsidR="003F0B1C">
        <w:t xml:space="preserve">La garantie complémentaire frais de santé intervient en complément de la Sécurité Sociale, voire même dans certains cas lorsque la Sécurité Sociale n’intervient pas. </w:t>
      </w:r>
    </w:p>
    <w:p w14:paraId="2C7A95CE" w14:textId="6A2109AC" w:rsidR="00D46B28" w:rsidRDefault="00D46B28" w:rsidP="00D46B28">
      <w:pPr>
        <w:pStyle w:val="Paragraphedeliste"/>
        <w:numPr>
          <w:ilvl w:val="0"/>
          <w:numId w:val="2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D46B28">
      <w:pPr>
        <w:pStyle w:val="Paragraphedeliste"/>
        <w:numPr>
          <w:ilvl w:val="0"/>
          <w:numId w:val="2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pré-décès », …</w:t>
      </w:r>
    </w:p>
    <w:p w14:paraId="70816D89" w14:textId="2472F06E" w:rsidR="00CC560A" w:rsidRDefault="00CC560A" w:rsidP="00163B1C">
      <w:pPr>
        <w:pStyle w:val="Paragraphedeliste"/>
        <w:numPr>
          <w:ilvl w:val="0"/>
          <w:numId w:val="2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63B1C">
      <w:pPr>
        <w:pStyle w:val="Paragraphedeliste"/>
        <w:numPr>
          <w:ilvl w:val="0"/>
          <w:numId w:val="2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63B1C">
      <w:pPr>
        <w:pStyle w:val="Paragraphedeliste"/>
        <w:numPr>
          <w:ilvl w:val="0"/>
          <w:numId w:val="28"/>
        </w:numPr>
        <w:spacing w:after="120"/>
        <w:ind w:left="643"/>
      </w:pPr>
      <w:r>
        <w:t>Incapacité de travail :</w:t>
      </w:r>
    </w:p>
    <w:p w14:paraId="61155BBA" w14:textId="2CC0F34B" w:rsidR="00F3594C" w:rsidRDefault="00F3594C" w:rsidP="00163B1C">
      <w:pPr>
        <w:spacing w:after="0"/>
        <w:ind w:left="283"/>
      </w:pPr>
      <w:r>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63B1C">
      <w:pPr>
        <w:pStyle w:val="Paragraphedeliste"/>
        <w:numPr>
          <w:ilvl w:val="0"/>
          <w:numId w:val="27"/>
        </w:numPr>
        <w:spacing w:after="0"/>
        <w:ind w:left="1210"/>
      </w:pPr>
      <w:r>
        <w:t>La</w:t>
      </w:r>
      <w:r w:rsidR="00F3594C">
        <w:t xml:space="preserve"> franchise : type et durée (ferme ou continue, rétroactive, discontinue)</w:t>
      </w:r>
    </w:p>
    <w:p w14:paraId="114B958D" w14:textId="0E2CF05F" w:rsidR="00F3594C" w:rsidRDefault="00B948DB" w:rsidP="00163B1C">
      <w:pPr>
        <w:pStyle w:val="Paragraphedeliste"/>
        <w:numPr>
          <w:ilvl w:val="0"/>
          <w:numId w:val="27"/>
        </w:numPr>
        <w:spacing w:after="0"/>
        <w:ind w:left="1210"/>
      </w:pPr>
      <w:r>
        <w:t>Le</w:t>
      </w:r>
      <w:r w:rsidR="00F3594C">
        <w:t xml:space="preserve"> montant : en pourcentage du salaire de l’assuré</w:t>
      </w:r>
    </w:p>
    <w:p w14:paraId="23CF5C39" w14:textId="46813529" w:rsidR="00F3594C" w:rsidRDefault="00B948DB" w:rsidP="00163B1C">
      <w:pPr>
        <w:pStyle w:val="Paragraphedeliste"/>
        <w:numPr>
          <w:ilvl w:val="0"/>
          <w:numId w:val="27"/>
        </w:numPr>
        <w:spacing w:after="120"/>
        <w:ind w:left="1210"/>
      </w:pPr>
      <w:r>
        <w:lastRenderedPageBreak/>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63B1C">
      <w:pPr>
        <w:pStyle w:val="Paragraphedeliste"/>
        <w:numPr>
          <w:ilvl w:val="0"/>
          <w:numId w:val="29"/>
        </w:numPr>
        <w:spacing w:after="0"/>
        <w:ind w:left="1210"/>
      </w:pPr>
      <w:r>
        <w:t>Condition d’ancienneté : le salarié doit avoir au moins 1 an d’ancienneté</w:t>
      </w:r>
    </w:p>
    <w:p w14:paraId="4EC8E2D1" w14:textId="653EBC62" w:rsidR="00163B1C" w:rsidRDefault="00163B1C" w:rsidP="00163B1C">
      <w:pPr>
        <w:pStyle w:val="Paragraphedeliste"/>
        <w:numPr>
          <w:ilvl w:val="0"/>
          <w:numId w:val="29"/>
        </w:numPr>
        <w:spacing w:after="0"/>
        <w:ind w:left="1210"/>
      </w:pPr>
      <w:r>
        <w:t>Franchise : 7 jours sauf en cas d’arrêt consécutif à un arrêt de travail ou une maladie professionnelle</w:t>
      </w:r>
    </w:p>
    <w:p w14:paraId="73DBD9CB" w14:textId="575BA1E2" w:rsidR="00163B1C" w:rsidRDefault="00163B1C" w:rsidP="00163B1C">
      <w:pPr>
        <w:pStyle w:val="Paragraphedeliste"/>
        <w:numPr>
          <w:ilvl w:val="0"/>
          <w:numId w:val="2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w:t>
            </w:r>
            <w:r>
              <w:t xml:space="preserve"> – </w:t>
            </w:r>
            <w:r>
              <w:t>11</w:t>
            </w:r>
            <w:r>
              <w:t xml:space="preserve">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w:t>
            </w:r>
            <w:r>
              <w:t>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w:t>
            </w:r>
            <w:r>
              <w:t>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w:t>
            </w:r>
            <w:r>
              <w:t>1</w:t>
            </w:r>
            <w:r>
              <w:t xml:space="preserve"> – </w:t>
            </w:r>
            <w:r>
              <w:t>1</w:t>
            </w:r>
            <w:r>
              <w:t>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w:t>
            </w:r>
            <w:r>
              <w:t>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w:t>
            </w:r>
            <w:r>
              <w:t>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w:t>
            </w:r>
            <w:r>
              <w:t>6</w:t>
            </w:r>
            <w:r>
              <w:t xml:space="preserve"> – </w:t>
            </w:r>
            <w:r>
              <w:t>21</w:t>
            </w:r>
            <w:r>
              <w:t xml:space="preserve">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w:t>
            </w:r>
            <w:r>
              <w:t>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w:t>
            </w:r>
            <w:r>
              <w:t>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w:t>
            </w:r>
            <w:r>
              <w:t xml:space="preserve">1 – </w:t>
            </w:r>
            <w:r>
              <w:t>2</w:t>
            </w:r>
            <w:r>
              <w:t>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w:t>
            </w:r>
            <w:r>
              <w:t>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w:t>
            </w:r>
            <w:r>
              <w:t>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w:t>
            </w:r>
            <w:r>
              <w:t xml:space="preserve"> – </w:t>
            </w:r>
            <w:r>
              <w:t>31</w:t>
            </w:r>
            <w:r>
              <w:t xml:space="preserve">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w:t>
            </w:r>
            <w:r>
              <w:t>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w:t>
            </w:r>
            <w:r>
              <w:t>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w:t>
            </w:r>
            <w:r>
              <w:t>0 jours</w:t>
            </w:r>
          </w:p>
        </w:tc>
        <w:tc>
          <w:tcPr>
            <w:tcW w:w="2693" w:type="dxa"/>
            <w:tcBorders>
              <w:top w:val="nil"/>
            </w:tcBorders>
          </w:tcPr>
          <w:p w14:paraId="5F33DC3F" w14:textId="2E1568C0" w:rsidR="00D2593E" w:rsidRDefault="00D2593E" w:rsidP="00D2593E">
            <w:pPr>
              <w:pStyle w:val="Paragraphedeliste"/>
              <w:ind w:left="0"/>
              <w:jc w:val="center"/>
            </w:pPr>
            <w:r>
              <w:t>9</w:t>
            </w:r>
            <w:r>
              <w:t>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D2593E">
      <w:pPr>
        <w:pStyle w:val="Paragraphedeliste"/>
        <w:numPr>
          <w:ilvl w:val="0"/>
          <w:numId w:val="28"/>
        </w:numPr>
        <w:spacing w:after="120"/>
        <w:ind w:left="643"/>
      </w:pPr>
      <w:r>
        <w:t>Invalidité</w:t>
      </w:r>
      <w:r>
        <w:t>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7" w:name="_Toc110864818"/>
      <w:r>
        <w:t>Qu’est-ce que la prévoyance collective ?</w:t>
      </w:r>
      <w:bookmarkEnd w:id="7"/>
    </w:p>
    <w:p w14:paraId="59842157" w14:textId="77777777" w:rsidR="005423EC" w:rsidRDefault="005423EC" w:rsidP="005423EC">
      <w:pPr>
        <w:spacing w:after="100"/>
      </w:pPr>
    </w:p>
    <w:p w14:paraId="128C34FF" w14:textId="6DFB3744" w:rsidR="005423EC" w:rsidRDefault="005423EC" w:rsidP="005423EC">
      <w:pPr>
        <w:spacing w:after="100"/>
      </w:pPr>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5423EC">
      <w:pPr>
        <w:spacing w:after="100"/>
      </w:pPr>
      <w:r>
        <w:t>Les différents intervenants dans un contrat de prévoyance collective sont le souscripteur, les affiliés, les assurés et les bénéficiaires.</w:t>
      </w:r>
    </w:p>
    <w:p w14:paraId="62F1B641" w14:textId="58392658" w:rsidR="00AC6C46" w:rsidRDefault="00AC6C46" w:rsidP="00AC6C46">
      <w:pPr>
        <w:pStyle w:val="Paragraphedeliste"/>
        <w:numPr>
          <w:ilvl w:val="0"/>
          <w:numId w:val="30"/>
        </w:numPr>
        <w:spacing w:after="100"/>
        <w:ind w:left="643"/>
      </w:pPr>
      <w:r w:rsidRPr="00820C0F">
        <w:rPr>
          <w:b/>
          <w:bCs/>
        </w:rPr>
        <w:t>Le souscripteur :</w:t>
      </w:r>
      <w:r>
        <w:t xml:space="preserve"> la personne morale qui signe le contrat et paie les cotisations (entreprise, association, établissement de crédit)</w:t>
      </w:r>
    </w:p>
    <w:p w14:paraId="7987CAA1" w14:textId="7BEAA2E5" w:rsidR="00AC6C46" w:rsidRDefault="00AC6C46" w:rsidP="00AC6C46">
      <w:pPr>
        <w:pStyle w:val="Paragraphedeliste"/>
        <w:numPr>
          <w:ilvl w:val="0"/>
          <w:numId w:val="30"/>
        </w:numPr>
        <w:spacing w:after="100"/>
        <w:ind w:left="643"/>
      </w:pPr>
      <w:r w:rsidRPr="00820C0F">
        <w:rPr>
          <w:b/>
          <w:bCs/>
        </w:rPr>
        <w:t>Les affiliés :</w:t>
      </w:r>
      <w:r>
        <w:t xml:space="preserve"> l’ensemble des personnes appartenant au groupe assurable </w:t>
      </w:r>
    </w:p>
    <w:p w14:paraId="5A16CE46" w14:textId="7659F616" w:rsidR="00AC6C46" w:rsidRDefault="00AC6C46" w:rsidP="00AC6C46">
      <w:pPr>
        <w:pStyle w:val="Paragraphedeliste"/>
        <w:numPr>
          <w:ilvl w:val="0"/>
          <w:numId w:val="30"/>
        </w:numPr>
        <w:spacing w:after="100"/>
        <w:ind w:left="643"/>
      </w:pPr>
      <w:r w:rsidRPr="00820C0F">
        <w:rPr>
          <w:b/>
          <w:bCs/>
        </w:rPr>
        <w:t>Les assurés :</w:t>
      </w:r>
      <w:r>
        <w:t xml:space="preserve"> l’ensemble des personnes soumises au risque </w:t>
      </w:r>
    </w:p>
    <w:p w14:paraId="725C5981" w14:textId="2E82F1BE" w:rsidR="00A103B7" w:rsidRDefault="00AC6C46" w:rsidP="00A103B7">
      <w:pPr>
        <w:pStyle w:val="Paragraphedeliste"/>
        <w:numPr>
          <w:ilvl w:val="0"/>
          <w:numId w:val="3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8" w:name="_Toc110864819"/>
      <w:r>
        <w:lastRenderedPageBreak/>
        <w:t>Le</w:t>
      </w:r>
      <w:r w:rsidR="00FE2857">
        <w:t xml:space="preserve"> risque </w:t>
      </w:r>
      <w:r w:rsidR="00A103B7">
        <w:t>arrêt de travail</w:t>
      </w:r>
      <w:bookmarkEnd w:id="8"/>
      <w:r>
        <w:t xml:space="preserve"> en France</w:t>
      </w:r>
    </w:p>
    <w:p w14:paraId="135E8F7B" w14:textId="7080C51C" w:rsidR="00A103B7" w:rsidRDefault="00A103B7" w:rsidP="00A103B7"/>
    <w:p w14:paraId="5CCF138C" w14:textId="77777777" w:rsidR="00F5259B" w:rsidRDefault="00F5259B" w:rsidP="00F5259B">
      <w:pPr>
        <w:pStyle w:val="Titre3"/>
      </w:pPr>
      <w:r>
        <w:t>Contexte général</w:t>
      </w:r>
    </w:p>
    <w:p w14:paraId="283C8C78" w14:textId="77777777" w:rsidR="00DC1238" w:rsidRDefault="00DC1238" w:rsidP="00DC1238">
      <w:pPr>
        <w:spacing w:after="100"/>
      </w:pPr>
    </w:p>
    <w:p w14:paraId="1716C121" w14:textId="36D04264" w:rsidR="00D71E35" w:rsidRDefault="00DC1238" w:rsidP="00DC1238">
      <w:pPr>
        <w:spacing w:after="0"/>
        <w:rPr>
          <w:sz w:val="23"/>
          <w:szCs w:val="23"/>
        </w:rPr>
      </w:pPr>
      <w:r>
        <w:rPr>
          <w:sz w:val="23"/>
          <w:szCs w:val="23"/>
        </w:rPr>
        <w:t>Pour l’assureur</w:t>
      </w:r>
      <w:r>
        <w:rPr>
          <w:sz w:val="23"/>
          <w:szCs w:val="23"/>
        </w:rPr>
        <w:t>, la définition des prestations</w:t>
      </w:r>
      <w:r w:rsidR="0020223C">
        <w:rPr>
          <w:sz w:val="23"/>
          <w:szCs w:val="23"/>
        </w:rPr>
        <w:t xml:space="preserve"> </w:t>
      </w:r>
      <w:r>
        <w:rPr>
          <w:sz w:val="23"/>
          <w:szCs w:val="23"/>
        </w:rPr>
        <w:t>et de</w:t>
      </w:r>
      <w:r>
        <w:rPr>
          <w:sz w:val="23"/>
          <w:szCs w:val="23"/>
        </w:rPr>
        <w:t xml:space="preserve"> son </w:t>
      </w:r>
      <w:r>
        <w:rPr>
          <w:sz w:val="23"/>
          <w:szCs w:val="23"/>
        </w:rPr>
        <w:t>intervention</w:t>
      </w:r>
      <w:r>
        <w:rPr>
          <w:sz w:val="23"/>
          <w:szCs w:val="23"/>
        </w:rPr>
        <w:t xml:space="preserve"> dans la prise en charge</w:t>
      </w:r>
      <w:r>
        <w:rPr>
          <w:sz w:val="23"/>
          <w:szCs w:val="23"/>
        </w:rPr>
        <w:t>, est alignée sur la reconnaissance par la Sécurité Sociale</w:t>
      </w:r>
      <w:r w:rsidR="0020223C">
        <w:rPr>
          <w:sz w:val="23"/>
          <w:szCs w:val="23"/>
        </w:rPr>
        <w:t xml:space="preserve"> </w:t>
      </w:r>
      <w:r>
        <w:rPr>
          <w:sz w:val="23"/>
          <w:szCs w:val="23"/>
        </w:rPr>
        <w:t>d’un arrêt de travail</w:t>
      </w:r>
      <w:r w:rsidR="0020223C">
        <w:rPr>
          <w:sz w:val="23"/>
          <w:szCs w:val="23"/>
        </w:rPr>
        <w:t xml:space="preserve"> </w:t>
      </w:r>
      <w:r w:rsidR="0020223C">
        <w:rPr>
          <w:sz w:val="23"/>
          <w:szCs w:val="23"/>
        </w:rPr>
        <w:t>vue précédemment</w:t>
      </w:r>
      <w:r>
        <w:rPr>
          <w:sz w:val="23"/>
          <w:szCs w:val="23"/>
        </w:rPr>
        <w:t>. Les règles de</w:t>
      </w:r>
      <w:r>
        <w:rPr>
          <w:sz w:val="23"/>
          <w:szCs w:val="23"/>
        </w:rPr>
        <w:t xml:space="preserve"> </w:t>
      </w:r>
      <w:r>
        <w:rPr>
          <w:sz w:val="23"/>
          <w:szCs w:val="23"/>
        </w:rPr>
        <w:t>base qui vont donc conduire à définir ce qu’est un arrêt de travail, avec la distinction entr</w:t>
      </w:r>
      <w:r>
        <w:rPr>
          <w:sz w:val="23"/>
          <w:szCs w:val="23"/>
        </w:rPr>
        <w:t xml:space="preserve">e </w:t>
      </w:r>
      <w:r>
        <w:rPr>
          <w:sz w:val="23"/>
          <w:szCs w:val="23"/>
        </w:rPr>
        <w:t xml:space="preserve">l’incapacité et l’invalidité, sont donc celles de la Sécurité Sociale. </w:t>
      </w:r>
      <w:r>
        <w:rPr>
          <w:sz w:val="23"/>
          <w:szCs w:val="23"/>
        </w:rPr>
        <w:t>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0FC26153" w:rsidR="00A71C6E" w:rsidRPr="00A71C6E" w:rsidRDefault="00A71C6E" w:rsidP="00A71C6E">
      <w:pPr>
        <w:pStyle w:val="Titre4"/>
        <w:numPr>
          <w:ilvl w:val="0"/>
          <w:numId w:val="34"/>
        </w:numPr>
        <w:spacing w:after="240"/>
      </w:pPr>
      <w:r>
        <w:t>Que désigne t’on par la notion de risque arrêt de travail ?</w:t>
      </w:r>
    </w:p>
    <w:p w14:paraId="64BA778A" w14:textId="36B124EB" w:rsidR="00A71C6E" w:rsidRDefault="00DC1238" w:rsidP="00DC1238">
      <w:pPr>
        <w:spacing w:after="0"/>
        <w:rPr>
          <w:sz w:val="23"/>
          <w:szCs w:val="23"/>
        </w:rPr>
      </w:pPr>
      <w:r>
        <w:rPr>
          <w:sz w:val="23"/>
          <w:szCs w:val="23"/>
        </w:rPr>
        <w:t>Ce que l’on désigne ici par la notion de « risque arrêt de travail » constitue en pratique pour l’</w:t>
      </w:r>
      <w:r w:rsidR="00F271A3">
        <w:rPr>
          <w:sz w:val="23"/>
          <w:szCs w:val="23"/>
        </w:rPr>
        <w:t>assureur l</w:t>
      </w:r>
      <w:r w:rsidR="0020223C">
        <w:rPr>
          <w:sz w:val="23"/>
          <w:szCs w:val="23"/>
        </w:rPr>
        <w:t xml:space="preserve">’association </w:t>
      </w:r>
      <w:r w:rsidR="00F271A3">
        <w:rPr>
          <w:sz w:val="23"/>
          <w:szCs w:val="23"/>
        </w:rPr>
        <w:t xml:space="preserve">du risque incapacité </w:t>
      </w:r>
      <w:r w:rsidR="0020223C">
        <w:rPr>
          <w:sz w:val="23"/>
          <w:szCs w:val="23"/>
        </w:rPr>
        <w:t>et</w:t>
      </w:r>
      <w:r w:rsidR="00F271A3">
        <w:rPr>
          <w:sz w:val="23"/>
          <w:szCs w:val="23"/>
        </w:rPr>
        <w:t xml:space="preserve"> </w:t>
      </w:r>
      <w:r w:rsidR="0020223C">
        <w:rPr>
          <w:sz w:val="23"/>
          <w:szCs w:val="23"/>
        </w:rPr>
        <w:t>du</w:t>
      </w:r>
      <w:r w:rsidR="00F271A3">
        <w:rPr>
          <w:sz w:val="23"/>
          <w:szCs w:val="23"/>
        </w:rPr>
        <w:t xml:space="preserve"> risque invalidité</w:t>
      </w:r>
      <w:r w:rsidR="0020223C">
        <w:rPr>
          <w:sz w:val="23"/>
          <w:szCs w:val="23"/>
        </w:rPr>
        <w:t>. Cette association est nécessaire car l’incapacité temporaire de travail peut devenir permanente, soit par aggravement du facteur incapacitant, soit après la durée maximum légale de l’incapacité (36 mois)</w:t>
      </w:r>
      <w:r w:rsidR="00A71C6E">
        <w:rPr>
          <w:sz w:val="23"/>
          <w:szCs w:val="23"/>
        </w:rPr>
        <w:t>, d’ailleurs cela constitue un réel enjeu pour l’actuaire qui doit prendre en compte la probabilité de passage en invalidité pour le calcul des provisions ITIP via les tables de maintien en incapacité</w:t>
      </w:r>
      <w:r w:rsidR="0020223C">
        <w:rPr>
          <w:sz w:val="23"/>
          <w:szCs w:val="23"/>
        </w:rPr>
        <w:t xml:space="preserve">. </w:t>
      </w:r>
      <w:r w:rsidR="00F86B6E">
        <w:rPr>
          <w:sz w:val="23"/>
          <w:szCs w:val="23"/>
        </w:rPr>
        <w:t xml:space="preserve"> </w:t>
      </w:r>
    </w:p>
    <w:p w14:paraId="2580E96D" w14:textId="5E1F6A69" w:rsidR="00DC1238" w:rsidRDefault="00A71C6E" w:rsidP="00DC1238">
      <w:pPr>
        <w:spacing w:after="0"/>
      </w:pPr>
      <w:r>
        <w:rPr>
          <w:sz w:val="23"/>
          <w:szCs w:val="23"/>
        </w:rPr>
        <w:t>Malgré qu’en pratique il aurait été plus simple de ne considérer qu’un seul type d’arrêt, ces</w:t>
      </w:r>
      <w:r w:rsidR="00F86B6E">
        <w:rPr>
          <w:sz w:val="23"/>
          <w:szCs w:val="23"/>
        </w:rPr>
        <w:t xml:space="preserve"> deux risques sont très différents </w:t>
      </w:r>
      <w:r>
        <w:rPr>
          <w:sz w:val="23"/>
          <w:szCs w:val="23"/>
        </w:rPr>
        <w:t xml:space="preserve">notamment via leur statut clairement et </w:t>
      </w:r>
      <w:r>
        <w:rPr>
          <w:sz w:val="23"/>
          <w:szCs w:val="23"/>
        </w:rPr>
        <w:t>leur durée</w:t>
      </w:r>
      <w:r>
        <w:rPr>
          <w:sz w:val="23"/>
          <w:szCs w:val="23"/>
        </w:rPr>
        <w:t xml:space="preserve"> définis par la loi. </w:t>
      </w:r>
    </w:p>
    <w:p w14:paraId="7CAFD4ED" w14:textId="77777777" w:rsidR="00F86B6E" w:rsidRDefault="00F86B6E">
      <w:pPr>
        <w:jc w:val="left"/>
      </w:pPr>
    </w:p>
    <w:p w14:paraId="59DCD313" w14:textId="77777777" w:rsidR="00F86B6E" w:rsidRDefault="00F86B6E" w:rsidP="00F86B6E">
      <w:pPr>
        <w:pStyle w:val="Titre3"/>
      </w:pPr>
      <w:r>
        <w:t xml:space="preserve">Environnement juridique </w:t>
      </w:r>
    </w:p>
    <w:p w14:paraId="6059F352" w14:textId="1B9991F5" w:rsidR="00A71C6E" w:rsidRDefault="00A71C6E" w:rsidP="00A71C6E"/>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Default="00A71C6E" w:rsidP="00A71C6E">
      <w:pPr>
        <w:pStyle w:val="Paragraphedeliste"/>
        <w:numPr>
          <w:ilvl w:val="0"/>
          <w:numId w:val="33"/>
        </w:numPr>
        <w:ind w:left="643"/>
      </w:pPr>
      <w:r>
        <w:t xml:space="preserve">Loi Evin (31 décembre 1989) : </w:t>
      </w:r>
    </w:p>
    <w:p w14:paraId="56F929F3" w14:textId="1865F81C" w:rsidR="00A71C6E" w:rsidRDefault="00A71C6E" w:rsidP="00A71C6E">
      <w:pPr>
        <w:spacing w:after="0"/>
      </w:pPr>
      <w:r>
        <w:rPr>
          <w:rFonts w:ascii="Candara" w:hAnsi="Candara" w:cs="Candara"/>
          <w:sz w:val="23"/>
          <w:szCs w:val="23"/>
        </w:rPr>
        <w:t xml:space="preserve">Son titre exact est : </w:t>
      </w:r>
      <w:r>
        <w:t>« Loi 89-1009 du 31 décembre 1989 renforçant les garanties aux personnes assurées contre certains risques »</w:t>
      </w:r>
    </w:p>
    <w:p w14:paraId="1AEC02AC" w14:textId="77777777" w:rsidR="00A71C6E" w:rsidRDefault="00A71C6E" w:rsidP="00A71C6E">
      <w:pPr>
        <w:spacing w:after="0"/>
        <w:rPr>
          <w:rFonts w:ascii="Candara" w:hAnsi="Candara" w:cs="Candara"/>
          <w:sz w:val="23"/>
          <w:szCs w:val="23"/>
        </w:rPr>
      </w:pPr>
    </w:p>
    <w:p w14:paraId="39D5FC68" w14:textId="643B063C" w:rsidR="00A71C6E" w:rsidRPr="00A71C6E" w:rsidRDefault="00A71C6E" w:rsidP="00A71C6E">
      <w:r>
        <w:rPr>
          <w:rFonts w:ascii="Candara" w:hAnsi="Candara" w:cs="Candara"/>
          <w:sz w:val="23"/>
          <w:szCs w:val="23"/>
        </w:rPr>
        <w:t xml:space="preserve">C’est la première loi spécifique de Prévoyance, elle crée le premier ensemble de règles applicables à toutes les familles d’assureurs </w:t>
      </w:r>
      <w:r>
        <w:rPr>
          <w:rFonts w:ascii="Candara" w:hAnsi="Candara" w:cs="Candara"/>
          <w:sz w:val="23"/>
          <w:szCs w:val="23"/>
        </w:rPr>
        <w:t>(</w:t>
      </w:r>
      <w:r w:rsidRPr="00A71C6E">
        <w:rPr>
          <w:rFonts w:ascii="Candara" w:hAnsi="Candara" w:cs="Candara"/>
          <w:sz w:val="23"/>
          <w:szCs w:val="23"/>
        </w:rPr>
        <w:t xml:space="preserve">les institutions de prévoyances, les mutuelles, les </w:t>
      </w:r>
      <w:r>
        <w:rPr>
          <w:rFonts w:ascii="Candara" w:hAnsi="Candara" w:cs="Candara"/>
          <w:sz w:val="23"/>
          <w:szCs w:val="23"/>
        </w:rPr>
        <w:t>assureurs)</w:t>
      </w:r>
      <w:r>
        <w:rPr>
          <w:rFonts w:ascii="Candara" w:hAnsi="Candara" w:cs="Candara"/>
          <w:sz w:val="23"/>
          <w:szCs w:val="23"/>
        </w:rPr>
        <w:t>.</w:t>
      </w:r>
      <w:r w:rsidRPr="00A71C6E">
        <w:rPr>
          <w:rFonts w:ascii="Candara" w:hAnsi="Candara" w:cs="Candara"/>
          <w:sz w:val="23"/>
          <w:szCs w:val="23"/>
        </w:rPr>
        <w:t xml:space="preserve"> Elle</w:t>
      </w:r>
      <w:r w:rsidRPr="00A71C6E">
        <w:rPr>
          <w:rFonts w:ascii="Candara" w:hAnsi="Candara" w:cs="Candara"/>
          <w:sz w:val="23"/>
          <w:szCs w:val="23"/>
        </w:rPr>
        <w:t xml:space="preserve"> impose les trois points suivants : </w:t>
      </w:r>
    </w:p>
    <w:p w14:paraId="6140F613" w14:textId="77777777" w:rsid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Évaluation des provisions techniques au niveau atteint.</w:t>
      </w:r>
    </w:p>
    <w:p w14:paraId="142D1E02" w14:textId="77777777" w:rsid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Reprise des encours (et évaluation des provisions pour revalorisation).</w:t>
      </w:r>
    </w:p>
    <w:p w14:paraId="4C823271" w14:textId="0AF33132" w:rsidR="00A71C6E" w:rsidRP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 xml:space="preserve">Maintien des garanties décès aux invalides et aux incapables (décret du 17 juillet 2001). </w:t>
      </w:r>
    </w:p>
    <w:p w14:paraId="23D6FBC0" w14:textId="1FB9DC41" w:rsidR="00A71C6E" w:rsidRDefault="00A71C6E" w:rsidP="00A71C6E">
      <w:pPr>
        <w:pStyle w:val="Default"/>
        <w:rPr>
          <w:rFonts w:ascii="Candara" w:hAnsi="Candara" w:cs="Candara"/>
          <w:sz w:val="23"/>
          <w:szCs w:val="23"/>
        </w:rPr>
      </w:pPr>
      <w:r w:rsidRPr="00A71C6E">
        <w:rPr>
          <w:rFonts w:ascii="Candara" w:hAnsi="Candara" w:cs="Candara"/>
          <w:sz w:val="23"/>
          <w:szCs w:val="23"/>
        </w:rPr>
        <w:t xml:space="preserve">Cette loi oblige </w:t>
      </w:r>
      <w:r>
        <w:rPr>
          <w:rFonts w:ascii="Candara" w:hAnsi="Candara" w:cs="Candara"/>
          <w:sz w:val="23"/>
          <w:szCs w:val="23"/>
        </w:rPr>
        <w:t xml:space="preserve">l’ensemble des familles d’assureurs </w:t>
      </w:r>
      <w:r w:rsidRPr="00A71C6E">
        <w:rPr>
          <w:rFonts w:ascii="Candara" w:hAnsi="Candara" w:cs="Candara"/>
          <w:sz w:val="23"/>
          <w:szCs w:val="23"/>
        </w:rPr>
        <w:t>à</w:t>
      </w:r>
      <w:r w:rsidRPr="00A71C6E">
        <w:rPr>
          <w:rFonts w:ascii="Candara" w:hAnsi="Candara" w:cs="Candara"/>
          <w:sz w:val="23"/>
          <w:szCs w:val="23"/>
        </w:rPr>
        <w:t xml:space="preserve"> provisionner les sinistres en cours pour les couvertures du risque décès, des risques portant atteinte à l'intégrité physique de la personne ou liés à la maternité, des risques d'incapacité de travail, d'invalidité et du risque chômage.</w:t>
      </w:r>
    </w:p>
    <w:p w14:paraId="265AEEAC" w14:textId="38437AFC" w:rsidR="00A71C6E" w:rsidRDefault="00A71C6E" w:rsidP="00A71C6E">
      <w:pPr>
        <w:pStyle w:val="Default"/>
        <w:rPr>
          <w:rFonts w:ascii="Candara" w:hAnsi="Candara" w:cs="Candara"/>
          <w:sz w:val="23"/>
          <w:szCs w:val="23"/>
        </w:rPr>
      </w:pPr>
    </w:p>
    <w:p w14:paraId="54D73BB4" w14:textId="49D07B65" w:rsidR="00A71C6E" w:rsidRDefault="00A71C6E" w:rsidP="00A71C6E">
      <w:pPr>
        <w:pStyle w:val="Paragraphedeliste"/>
        <w:numPr>
          <w:ilvl w:val="0"/>
          <w:numId w:val="33"/>
        </w:numPr>
        <w:ind w:left="643"/>
      </w:pPr>
      <w:r>
        <w:lastRenderedPageBreak/>
        <w:t>Loi du 8 août 1994</w:t>
      </w:r>
      <w:r>
        <w:t> :</w:t>
      </w:r>
    </w:p>
    <w:p w14:paraId="0FD1F96E" w14:textId="68DBBF98" w:rsidR="00A71C6E" w:rsidRDefault="00A71C6E" w:rsidP="00A71C6E">
      <w:pPr>
        <w:pStyle w:val="Default"/>
        <w:rPr>
          <w:rFonts w:ascii="Candara" w:hAnsi="Candara" w:cs="Candara"/>
          <w:sz w:val="23"/>
          <w:szCs w:val="23"/>
        </w:rPr>
      </w:pPr>
      <w:r>
        <w:rPr>
          <w:rFonts w:ascii="Candara" w:hAnsi="Candara" w:cs="Candara"/>
          <w:sz w:val="23"/>
          <w:szCs w:val="23"/>
        </w:rPr>
        <w:t>Cette loi arriva en complément de la loi Evin</w:t>
      </w:r>
      <w:r w:rsidR="00820C0F">
        <w:rPr>
          <w:rFonts w:ascii="Candara" w:hAnsi="Candara" w:cs="Candara"/>
          <w:sz w:val="23"/>
          <w:szCs w:val="23"/>
        </w:rPr>
        <w:t>,</w:t>
      </w:r>
      <w:r>
        <w:rPr>
          <w:rFonts w:ascii="Candara" w:hAnsi="Candara" w:cs="Candara"/>
          <w:sz w:val="23"/>
          <w:szCs w:val="23"/>
        </w:rPr>
        <w:t xml:space="preserve"> dans le but de transposer dans le droit français </w:t>
      </w:r>
      <w:r w:rsidRPr="00A71C6E">
        <w:rPr>
          <w:rFonts w:ascii="Candara" w:hAnsi="Candara" w:cs="Candara"/>
          <w:sz w:val="23"/>
          <w:szCs w:val="23"/>
        </w:rPr>
        <w:t>une directive européenne en matière</w:t>
      </w:r>
      <w:r>
        <w:rPr>
          <w:rFonts w:ascii="Candara" w:hAnsi="Candara" w:cs="Candara"/>
          <w:sz w:val="23"/>
          <w:szCs w:val="23"/>
        </w:rPr>
        <w:t xml:space="preserve"> </w:t>
      </w:r>
      <w:r w:rsidRPr="00A71C6E">
        <w:rPr>
          <w:rFonts w:ascii="Candara" w:hAnsi="Candara" w:cs="Candara"/>
          <w:sz w:val="23"/>
          <w:szCs w:val="23"/>
        </w:rPr>
        <w:t>d’assurance, cette loi crée le premier corps de règles</w:t>
      </w:r>
      <w:r>
        <w:rPr>
          <w:rFonts w:ascii="Candara" w:hAnsi="Candara" w:cs="Candara"/>
          <w:sz w:val="23"/>
          <w:szCs w:val="23"/>
        </w:rPr>
        <w:t xml:space="preserve"> </w:t>
      </w:r>
      <w:r w:rsidRPr="00A71C6E">
        <w:rPr>
          <w:rFonts w:ascii="Candara" w:hAnsi="Candara" w:cs="Candara"/>
          <w:sz w:val="23"/>
          <w:szCs w:val="23"/>
        </w:rPr>
        <w:t>relatives à la protection sociale</w:t>
      </w:r>
      <w:r>
        <w:rPr>
          <w:rFonts w:ascii="Candara" w:hAnsi="Candara" w:cs="Candara"/>
          <w:sz w:val="23"/>
          <w:szCs w:val="23"/>
        </w:rPr>
        <w:t xml:space="preserve"> </w:t>
      </w:r>
      <w:r w:rsidRPr="00A71C6E">
        <w:rPr>
          <w:rFonts w:ascii="Candara" w:hAnsi="Candara" w:cs="Candara"/>
          <w:sz w:val="23"/>
          <w:szCs w:val="23"/>
        </w:rPr>
        <w:t>des salariés.</w:t>
      </w:r>
    </w:p>
    <w:p w14:paraId="51521D3C" w14:textId="1DD7C518" w:rsidR="00820C0F" w:rsidRDefault="00820C0F" w:rsidP="00A71C6E">
      <w:pPr>
        <w:pStyle w:val="Default"/>
        <w:rPr>
          <w:rFonts w:ascii="Candara" w:hAnsi="Candara" w:cs="Candara"/>
          <w:sz w:val="23"/>
          <w:szCs w:val="23"/>
        </w:rPr>
      </w:pPr>
      <w:r>
        <w:rPr>
          <w:rFonts w:ascii="Candara" w:hAnsi="Candara" w:cs="Candara"/>
          <w:sz w:val="23"/>
          <w:szCs w:val="23"/>
        </w:rPr>
        <w:t xml:space="preserve">Cette loi pose les fondements juridiques de toute couverture collective, elle impose notamment une période de réexamen d’au plus 5 années pour les conventions collectives de branche ou d’entreprise qui désigne un organisme assureur et, en complément à la loi Evin, elle ajoute l’obligation d’organiser la poursuite de la revalorisation des prestations en cours de service en cas de résiliation du contrat ainsi que le </w:t>
      </w:r>
      <w:proofErr w:type="spellStart"/>
      <w:r>
        <w:rPr>
          <w:rFonts w:ascii="Candara" w:hAnsi="Candara" w:cs="Candara"/>
          <w:sz w:val="23"/>
          <w:szCs w:val="23"/>
        </w:rPr>
        <w:t>maintient</w:t>
      </w:r>
      <w:proofErr w:type="spellEnd"/>
      <w:r>
        <w:rPr>
          <w:rFonts w:ascii="Candara" w:hAnsi="Candara" w:cs="Candara"/>
          <w:sz w:val="23"/>
          <w:szCs w:val="23"/>
        </w:rP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Default="00A71C6E" w:rsidP="00A71C6E">
      <w:pPr>
        <w:pStyle w:val="Paragraphedeliste"/>
        <w:numPr>
          <w:ilvl w:val="0"/>
          <w:numId w:val="33"/>
        </w:numPr>
        <w:ind w:left="643"/>
      </w:pPr>
      <w:r>
        <w:t>Arrêté du 28 mars 1996 :</w:t>
      </w:r>
    </w:p>
    <w:p w14:paraId="0CEED28B" w14:textId="40470C07" w:rsidR="00A71C6E" w:rsidRDefault="00A71C6E" w:rsidP="00A71C6E"/>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212F2">
      <w:pPr>
        <w:pStyle w:val="Titre1"/>
      </w:pPr>
      <w:bookmarkStart w:id="9" w:name="_Toc110864820"/>
      <w:r w:rsidRPr="009212F2">
        <w:t>L’absentéisme en entreprise en France</w:t>
      </w:r>
      <w:bookmarkEnd w:id="9"/>
    </w:p>
    <w:p w14:paraId="4E3929C9" w14:textId="3E470EA5" w:rsidR="00A103B7" w:rsidRPr="00F71898" w:rsidRDefault="00A103B7" w:rsidP="00A103B7">
      <w:pPr>
        <w:pStyle w:val="Titre2"/>
      </w:pPr>
      <w:bookmarkStart w:id="10" w:name="_Toc110864821"/>
      <w:r>
        <w:t>Qu’est-ce que l’absentéisme ?</w:t>
      </w:r>
      <w:bookmarkEnd w:id="10"/>
    </w:p>
    <w:p w14:paraId="0204DC5D" w14:textId="5A07299C" w:rsidR="00A103B7" w:rsidRDefault="00A103B7" w:rsidP="00A103B7">
      <w:pPr>
        <w:pStyle w:val="Titre2"/>
      </w:pPr>
      <w:bookmarkStart w:id="11" w:name="_Toc110864822"/>
      <w:r>
        <w:t>Comment mesurer l’absentéisme en entreprise ?</w:t>
      </w:r>
      <w:bookmarkEnd w:id="11"/>
    </w:p>
    <w:p w14:paraId="0F86952F" w14:textId="77777777" w:rsidR="00A103B7" w:rsidRDefault="00A103B7" w:rsidP="00A103B7">
      <w:pPr>
        <w:pStyle w:val="Titre2"/>
      </w:pPr>
      <w:bookmarkStart w:id="12" w:name="_Toc110864823"/>
      <w:r>
        <w:t>Quel est son coût réel sur les entreprises ?</w:t>
      </w:r>
      <w:bookmarkEnd w:id="12"/>
    </w:p>
    <w:p w14:paraId="5EC74AE0" w14:textId="6A14888D" w:rsidR="005F5B85" w:rsidRPr="00163B1C" w:rsidRDefault="005F5B85" w:rsidP="005F5B85">
      <w:pPr>
        <w:rPr>
          <w:b/>
          <w:bCs/>
        </w:rPr>
      </w:pPr>
    </w:p>
    <w:p w14:paraId="30C78993" w14:textId="71F5AC02" w:rsidR="00163B1C" w:rsidRPr="00163B1C" w:rsidRDefault="00163B1C" w:rsidP="00163B1C">
      <w:pPr>
        <w:rPr>
          <w:b/>
          <w:bCs/>
        </w:rPr>
      </w:pPr>
    </w:p>
    <w:p w14:paraId="78D4C03C" w14:textId="14DFB336" w:rsidR="00163B1C" w:rsidRPr="00163B1C" w:rsidRDefault="00163B1C" w:rsidP="00163B1C">
      <w:pPr>
        <w:rPr>
          <w:b/>
          <w:bCs/>
        </w:rPr>
      </w:pPr>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1220FD8" w14:textId="42C6C2E9" w:rsidR="00163B1C" w:rsidRPr="00163B1C" w:rsidRDefault="00163B1C" w:rsidP="00163B1C">
      <w:pPr>
        <w:tabs>
          <w:tab w:val="left" w:pos="1055"/>
        </w:tabs>
        <w:rPr>
          <w:b/>
          <w:bCs/>
        </w:rPr>
      </w:pPr>
      <w:r w:rsidRPr="00163B1C">
        <w:rPr>
          <w:b/>
          <w:bCs/>
        </w:rPr>
        <w:tab/>
      </w:r>
    </w:p>
    <w:sectPr w:rsidR="00163B1C" w:rsidRPr="00163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B7988"/>
    <w:multiLevelType w:val="hybridMultilevel"/>
    <w:tmpl w:val="69FA3AFE"/>
    <w:lvl w:ilvl="0" w:tplc="040C0001">
      <w:start w:val="1"/>
      <w:numFmt w:val="bullet"/>
      <w:lvlText w:val=""/>
      <w:lvlJc w:val="left"/>
      <w:pPr>
        <w:ind w:left="6570" w:hanging="360"/>
      </w:pPr>
      <w:rPr>
        <w:rFonts w:ascii="Symbol" w:hAnsi="Symbol" w:hint="default"/>
      </w:rPr>
    </w:lvl>
    <w:lvl w:ilvl="1" w:tplc="040C0003" w:tentative="1">
      <w:start w:val="1"/>
      <w:numFmt w:val="bullet"/>
      <w:lvlText w:val="o"/>
      <w:lvlJc w:val="left"/>
      <w:pPr>
        <w:ind w:left="7290" w:hanging="360"/>
      </w:pPr>
      <w:rPr>
        <w:rFonts w:ascii="Courier New" w:hAnsi="Courier New" w:cs="Courier New" w:hint="default"/>
      </w:rPr>
    </w:lvl>
    <w:lvl w:ilvl="2" w:tplc="040C0005" w:tentative="1">
      <w:start w:val="1"/>
      <w:numFmt w:val="bullet"/>
      <w:lvlText w:val=""/>
      <w:lvlJc w:val="left"/>
      <w:pPr>
        <w:ind w:left="8010" w:hanging="360"/>
      </w:pPr>
      <w:rPr>
        <w:rFonts w:ascii="Wingdings" w:hAnsi="Wingdings" w:hint="default"/>
      </w:rPr>
    </w:lvl>
    <w:lvl w:ilvl="3" w:tplc="040C0001" w:tentative="1">
      <w:start w:val="1"/>
      <w:numFmt w:val="bullet"/>
      <w:lvlText w:val=""/>
      <w:lvlJc w:val="left"/>
      <w:pPr>
        <w:ind w:left="8730" w:hanging="360"/>
      </w:pPr>
      <w:rPr>
        <w:rFonts w:ascii="Symbol" w:hAnsi="Symbol" w:hint="default"/>
      </w:rPr>
    </w:lvl>
    <w:lvl w:ilvl="4" w:tplc="040C0003" w:tentative="1">
      <w:start w:val="1"/>
      <w:numFmt w:val="bullet"/>
      <w:lvlText w:val="o"/>
      <w:lvlJc w:val="left"/>
      <w:pPr>
        <w:ind w:left="9450" w:hanging="360"/>
      </w:pPr>
      <w:rPr>
        <w:rFonts w:ascii="Courier New" w:hAnsi="Courier New" w:cs="Courier New" w:hint="default"/>
      </w:rPr>
    </w:lvl>
    <w:lvl w:ilvl="5" w:tplc="040C0005" w:tentative="1">
      <w:start w:val="1"/>
      <w:numFmt w:val="bullet"/>
      <w:lvlText w:val=""/>
      <w:lvlJc w:val="left"/>
      <w:pPr>
        <w:ind w:left="10170" w:hanging="360"/>
      </w:pPr>
      <w:rPr>
        <w:rFonts w:ascii="Wingdings" w:hAnsi="Wingdings" w:hint="default"/>
      </w:rPr>
    </w:lvl>
    <w:lvl w:ilvl="6" w:tplc="040C0001" w:tentative="1">
      <w:start w:val="1"/>
      <w:numFmt w:val="bullet"/>
      <w:lvlText w:val=""/>
      <w:lvlJc w:val="left"/>
      <w:pPr>
        <w:ind w:left="10890" w:hanging="360"/>
      </w:pPr>
      <w:rPr>
        <w:rFonts w:ascii="Symbol" w:hAnsi="Symbol" w:hint="default"/>
      </w:rPr>
    </w:lvl>
    <w:lvl w:ilvl="7" w:tplc="040C0003" w:tentative="1">
      <w:start w:val="1"/>
      <w:numFmt w:val="bullet"/>
      <w:lvlText w:val="o"/>
      <w:lvlJc w:val="left"/>
      <w:pPr>
        <w:ind w:left="11610" w:hanging="360"/>
      </w:pPr>
      <w:rPr>
        <w:rFonts w:ascii="Courier New" w:hAnsi="Courier New" w:cs="Courier New" w:hint="default"/>
      </w:rPr>
    </w:lvl>
    <w:lvl w:ilvl="8" w:tplc="040C0005" w:tentative="1">
      <w:start w:val="1"/>
      <w:numFmt w:val="bullet"/>
      <w:lvlText w:val=""/>
      <w:lvlJc w:val="left"/>
      <w:pPr>
        <w:ind w:left="12330" w:hanging="360"/>
      </w:pPr>
      <w:rPr>
        <w:rFonts w:ascii="Wingdings" w:hAnsi="Wingdings" w:hint="default"/>
      </w:rPr>
    </w:lvl>
  </w:abstractNum>
  <w:abstractNum w:abstractNumId="2" w15:restartNumberingAfterBreak="0">
    <w:nsid w:val="10803807"/>
    <w:multiLevelType w:val="hybridMultilevel"/>
    <w:tmpl w:val="B372B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C12138"/>
    <w:multiLevelType w:val="hybridMultilevel"/>
    <w:tmpl w:val="16CC0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1D1A8A"/>
    <w:multiLevelType w:val="hybridMultilevel"/>
    <w:tmpl w:val="90F82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9F7648"/>
    <w:multiLevelType w:val="hybridMultilevel"/>
    <w:tmpl w:val="0C7ADF9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365DC"/>
    <w:multiLevelType w:val="hybridMultilevel"/>
    <w:tmpl w:val="05143BC8"/>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37D47D0F"/>
    <w:multiLevelType w:val="hybridMultilevel"/>
    <w:tmpl w:val="D212B41E"/>
    <w:lvl w:ilvl="0" w:tplc="040C0001">
      <w:start w:val="1"/>
      <w:numFmt w:val="bullet"/>
      <w:lvlText w:val=""/>
      <w:lvlJc w:val="left"/>
      <w:pPr>
        <w:ind w:left="1433" w:hanging="360"/>
      </w:pPr>
      <w:rPr>
        <w:rFonts w:ascii="Symbol" w:hAnsi="Symbol"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15"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40E03"/>
    <w:multiLevelType w:val="hybridMultilevel"/>
    <w:tmpl w:val="6188239A"/>
    <w:lvl w:ilvl="0" w:tplc="040C0001">
      <w:start w:val="1"/>
      <w:numFmt w:val="bullet"/>
      <w:lvlText w:val=""/>
      <w:lvlJc w:val="left"/>
      <w:pPr>
        <w:ind w:left="3690" w:hanging="360"/>
      </w:pPr>
      <w:rPr>
        <w:rFonts w:ascii="Symbol" w:hAnsi="Symbol" w:hint="default"/>
      </w:rPr>
    </w:lvl>
    <w:lvl w:ilvl="1" w:tplc="040C0003" w:tentative="1">
      <w:start w:val="1"/>
      <w:numFmt w:val="bullet"/>
      <w:lvlText w:val="o"/>
      <w:lvlJc w:val="left"/>
      <w:pPr>
        <w:ind w:left="4410" w:hanging="360"/>
      </w:pPr>
      <w:rPr>
        <w:rFonts w:ascii="Courier New" w:hAnsi="Courier New" w:cs="Courier New" w:hint="default"/>
      </w:rPr>
    </w:lvl>
    <w:lvl w:ilvl="2" w:tplc="040C0005" w:tentative="1">
      <w:start w:val="1"/>
      <w:numFmt w:val="bullet"/>
      <w:lvlText w:val=""/>
      <w:lvlJc w:val="left"/>
      <w:pPr>
        <w:ind w:left="5130" w:hanging="360"/>
      </w:pPr>
      <w:rPr>
        <w:rFonts w:ascii="Wingdings" w:hAnsi="Wingdings" w:hint="default"/>
      </w:rPr>
    </w:lvl>
    <w:lvl w:ilvl="3" w:tplc="040C0001" w:tentative="1">
      <w:start w:val="1"/>
      <w:numFmt w:val="bullet"/>
      <w:lvlText w:val=""/>
      <w:lvlJc w:val="left"/>
      <w:pPr>
        <w:ind w:left="5850" w:hanging="360"/>
      </w:pPr>
      <w:rPr>
        <w:rFonts w:ascii="Symbol" w:hAnsi="Symbol" w:hint="default"/>
      </w:rPr>
    </w:lvl>
    <w:lvl w:ilvl="4" w:tplc="040C0003" w:tentative="1">
      <w:start w:val="1"/>
      <w:numFmt w:val="bullet"/>
      <w:lvlText w:val="o"/>
      <w:lvlJc w:val="left"/>
      <w:pPr>
        <w:ind w:left="6570" w:hanging="360"/>
      </w:pPr>
      <w:rPr>
        <w:rFonts w:ascii="Courier New" w:hAnsi="Courier New" w:cs="Courier New" w:hint="default"/>
      </w:rPr>
    </w:lvl>
    <w:lvl w:ilvl="5" w:tplc="040C0005" w:tentative="1">
      <w:start w:val="1"/>
      <w:numFmt w:val="bullet"/>
      <w:lvlText w:val=""/>
      <w:lvlJc w:val="left"/>
      <w:pPr>
        <w:ind w:left="7290" w:hanging="360"/>
      </w:pPr>
      <w:rPr>
        <w:rFonts w:ascii="Wingdings" w:hAnsi="Wingdings" w:hint="default"/>
      </w:rPr>
    </w:lvl>
    <w:lvl w:ilvl="6" w:tplc="040C0001" w:tentative="1">
      <w:start w:val="1"/>
      <w:numFmt w:val="bullet"/>
      <w:lvlText w:val=""/>
      <w:lvlJc w:val="left"/>
      <w:pPr>
        <w:ind w:left="8010" w:hanging="360"/>
      </w:pPr>
      <w:rPr>
        <w:rFonts w:ascii="Symbol" w:hAnsi="Symbol" w:hint="default"/>
      </w:rPr>
    </w:lvl>
    <w:lvl w:ilvl="7" w:tplc="040C0003" w:tentative="1">
      <w:start w:val="1"/>
      <w:numFmt w:val="bullet"/>
      <w:lvlText w:val="o"/>
      <w:lvlJc w:val="left"/>
      <w:pPr>
        <w:ind w:left="8730" w:hanging="360"/>
      </w:pPr>
      <w:rPr>
        <w:rFonts w:ascii="Courier New" w:hAnsi="Courier New" w:cs="Courier New" w:hint="default"/>
      </w:rPr>
    </w:lvl>
    <w:lvl w:ilvl="8" w:tplc="040C0005" w:tentative="1">
      <w:start w:val="1"/>
      <w:numFmt w:val="bullet"/>
      <w:lvlText w:val=""/>
      <w:lvlJc w:val="left"/>
      <w:pPr>
        <w:ind w:left="9450" w:hanging="360"/>
      </w:pPr>
      <w:rPr>
        <w:rFonts w:ascii="Wingdings" w:hAnsi="Wingdings" w:hint="default"/>
      </w:rPr>
    </w:lvl>
  </w:abstractNum>
  <w:abstractNum w:abstractNumId="17"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8"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F9449E"/>
    <w:multiLevelType w:val="hybridMultilevel"/>
    <w:tmpl w:val="4BA0BFE0"/>
    <w:lvl w:ilvl="0" w:tplc="040C000B">
      <w:start w:val="1"/>
      <w:numFmt w:val="bullet"/>
      <w:lvlText w:val=""/>
      <w:lvlJc w:val="left"/>
      <w:pPr>
        <w:ind w:left="5023" w:hanging="360"/>
      </w:pPr>
      <w:rPr>
        <w:rFonts w:ascii="Wingdings" w:hAnsi="Wingdings" w:hint="default"/>
      </w:rPr>
    </w:lvl>
    <w:lvl w:ilvl="1" w:tplc="040C0003" w:tentative="1">
      <w:start w:val="1"/>
      <w:numFmt w:val="bullet"/>
      <w:lvlText w:val="o"/>
      <w:lvlJc w:val="left"/>
      <w:pPr>
        <w:ind w:left="5743" w:hanging="360"/>
      </w:pPr>
      <w:rPr>
        <w:rFonts w:ascii="Courier New" w:hAnsi="Courier New" w:cs="Courier New" w:hint="default"/>
      </w:rPr>
    </w:lvl>
    <w:lvl w:ilvl="2" w:tplc="040C0005" w:tentative="1">
      <w:start w:val="1"/>
      <w:numFmt w:val="bullet"/>
      <w:lvlText w:val=""/>
      <w:lvlJc w:val="left"/>
      <w:pPr>
        <w:ind w:left="6463" w:hanging="360"/>
      </w:pPr>
      <w:rPr>
        <w:rFonts w:ascii="Wingdings" w:hAnsi="Wingdings" w:hint="default"/>
      </w:rPr>
    </w:lvl>
    <w:lvl w:ilvl="3" w:tplc="040C0001" w:tentative="1">
      <w:start w:val="1"/>
      <w:numFmt w:val="bullet"/>
      <w:lvlText w:val=""/>
      <w:lvlJc w:val="left"/>
      <w:pPr>
        <w:ind w:left="7183" w:hanging="360"/>
      </w:pPr>
      <w:rPr>
        <w:rFonts w:ascii="Symbol" w:hAnsi="Symbol" w:hint="default"/>
      </w:rPr>
    </w:lvl>
    <w:lvl w:ilvl="4" w:tplc="040C0003" w:tentative="1">
      <w:start w:val="1"/>
      <w:numFmt w:val="bullet"/>
      <w:lvlText w:val="o"/>
      <w:lvlJc w:val="left"/>
      <w:pPr>
        <w:ind w:left="7903" w:hanging="360"/>
      </w:pPr>
      <w:rPr>
        <w:rFonts w:ascii="Courier New" w:hAnsi="Courier New" w:cs="Courier New" w:hint="default"/>
      </w:rPr>
    </w:lvl>
    <w:lvl w:ilvl="5" w:tplc="040C0005" w:tentative="1">
      <w:start w:val="1"/>
      <w:numFmt w:val="bullet"/>
      <w:lvlText w:val=""/>
      <w:lvlJc w:val="left"/>
      <w:pPr>
        <w:ind w:left="8623" w:hanging="360"/>
      </w:pPr>
      <w:rPr>
        <w:rFonts w:ascii="Wingdings" w:hAnsi="Wingdings" w:hint="default"/>
      </w:rPr>
    </w:lvl>
    <w:lvl w:ilvl="6" w:tplc="040C0001" w:tentative="1">
      <w:start w:val="1"/>
      <w:numFmt w:val="bullet"/>
      <w:lvlText w:val=""/>
      <w:lvlJc w:val="left"/>
      <w:pPr>
        <w:ind w:left="9343" w:hanging="360"/>
      </w:pPr>
      <w:rPr>
        <w:rFonts w:ascii="Symbol" w:hAnsi="Symbol" w:hint="default"/>
      </w:rPr>
    </w:lvl>
    <w:lvl w:ilvl="7" w:tplc="040C0003" w:tentative="1">
      <w:start w:val="1"/>
      <w:numFmt w:val="bullet"/>
      <w:lvlText w:val="o"/>
      <w:lvlJc w:val="left"/>
      <w:pPr>
        <w:ind w:left="10063" w:hanging="360"/>
      </w:pPr>
      <w:rPr>
        <w:rFonts w:ascii="Courier New" w:hAnsi="Courier New" w:cs="Courier New" w:hint="default"/>
      </w:rPr>
    </w:lvl>
    <w:lvl w:ilvl="8" w:tplc="040C0005" w:tentative="1">
      <w:start w:val="1"/>
      <w:numFmt w:val="bullet"/>
      <w:lvlText w:val=""/>
      <w:lvlJc w:val="left"/>
      <w:pPr>
        <w:ind w:left="10783" w:hanging="360"/>
      </w:pPr>
      <w:rPr>
        <w:rFonts w:ascii="Wingdings" w:hAnsi="Wingdings" w:hint="default"/>
      </w:rPr>
    </w:lvl>
  </w:abstractNum>
  <w:abstractNum w:abstractNumId="24" w15:restartNumberingAfterBreak="0">
    <w:nsid w:val="58300352"/>
    <w:multiLevelType w:val="hybridMultilevel"/>
    <w:tmpl w:val="2CC4BDB2"/>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5"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8"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0" w15:restartNumberingAfterBreak="0">
    <w:nsid w:val="6BAD1B25"/>
    <w:multiLevelType w:val="hybridMultilevel"/>
    <w:tmpl w:val="0428C436"/>
    <w:lvl w:ilvl="0" w:tplc="040C000B">
      <w:start w:val="1"/>
      <w:numFmt w:val="bullet"/>
      <w:lvlText w:val=""/>
      <w:lvlJc w:val="left"/>
      <w:pPr>
        <w:ind w:left="6480" w:hanging="360"/>
      </w:pPr>
      <w:rPr>
        <w:rFonts w:ascii="Wingdings" w:hAnsi="Wingdings"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31" w15:restartNumberingAfterBreak="0">
    <w:nsid w:val="6E410B64"/>
    <w:multiLevelType w:val="hybridMultilevel"/>
    <w:tmpl w:val="79E25086"/>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2"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8"/>
  </w:num>
  <w:num w:numId="3">
    <w:abstractNumId w:val="18"/>
  </w:num>
  <w:num w:numId="4">
    <w:abstractNumId w:val="26"/>
  </w:num>
  <w:num w:numId="5">
    <w:abstractNumId w:val="21"/>
  </w:num>
  <w:num w:numId="6">
    <w:abstractNumId w:val="19"/>
  </w:num>
  <w:num w:numId="7">
    <w:abstractNumId w:val="7"/>
  </w:num>
  <w:num w:numId="8">
    <w:abstractNumId w:val="17"/>
  </w:num>
  <w:num w:numId="9">
    <w:abstractNumId w:val="27"/>
  </w:num>
  <w:num w:numId="10">
    <w:abstractNumId w:val="15"/>
  </w:num>
  <w:num w:numId="11">
    <w:abstractNumId w:val="13"/>
  </w:num>
  <w:num w:numId="12">
    <w:abstractNumId w:val="31"/>
  </w:num>
  <w:num w:numId="13">
    <w:abstractNumId w:val="23"/>
  </w:num>
  <w:num w:numId="14">
    <w:abstractNumId w:val="10"/>
  </w:num>
  <w:num w:numId="15">
    <w:abstractNumId w:val="5"/>
  </w:num>
  <w:num w:numId="16">
    <w:abstractNumId w:val="25"/>
  </w:num>
  <w:num w:numId="17">
    <w:abstractNumId w:val="12"/>
  </w:num>
  <w:num w:numId="18">
    <w:abstractNumId w:val="33"/>
  </w:num>
  <w:num w:numId="19">
    <w:abstractNumId w:val="11"/>
  </w:num>
  <w:num w:numId="20">
    <w:abstractNumId w:val="2"/>
  </w:num>
  <w:num w:numId="21">
    <w:abstractNumId w:val="20"/>
  </w:num>
  <w:num w:numId="22">
    <w:abstractNumId w:val="3"/>
  </w:num>
  <w:num w:numId="23">
    <w:abstractNumId w:val="32"/>
  </w:num>
  <w:num w:numId="24">
    <w:abstractNumId w:val="6"/>
  </w:num>
  <w:num w:numId="25">
    <w:abstractNumId w:val="24"/>
  </w:num>
  <w:num w:numId="26">
    <w:abstractNumId w:val="30"/>
  </w:num>
  <w:num w:numId="27">
    <w:abstractNumId w:val="28"/>
  </w:num>
  <w:num w:numId="28">
    <w:abstractNumId w:val="22"/>
  </w:num>
  <w:num w:numId="29">
    <w:abstractNumId w:val="29"/>
  </w:num>
  <w:num w:numId="30">
    <w:abstractNumId w:val="0"/>
  </w:num>
  <w:num w:numId="31">
    <w:abstractNumId w:val="16"/>
  </w:num>
  <w:num w:numId="32">
    <w:abstractNumId w:val="1"/>
  </w:num>
  <w:num w:numId="33">
    <w:abstractNumId w:val="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649C9"/>
    <w:rsid w:val="00070EF6"/>
    <w:rsid w:val="000C235A"/>
    <w:rsid w:val="00163B1C"/>
    <w:rsid w:val="001B3A0A"/>
    <w:rsid w:val="001B7625"/>
    <w:rsid w:val="0020223C"/>
    <w:rsid w:val="00214899"/>
    <w:rsid w:val="00242245"/>
    <w:rsid w:val="00296E07"/>
    <w:rsid w:val="00397EA1"/>
    <w:rsid w:val="003C752A"/>
    <w:rsid w:val="003E0C37"/>
    <w:rsid w:val="003F0B1C"/>
    <w:rsid w:val="004108B0"/>
    <w:rsid w:val="004167E1"/>
    <w:rsid w:val="00456F0C"/>
    <w:rsid w:val="004A5139"/>
    <w:rsid w:val="005303CD"/>
    <w:rsid w:val="005423EC"/>
    <w:rsid w:val="005B2353"/>
    <w:rsid w:val="005E1C3A"/>
    <w:rsid w:val="005F1B32"/>
    <w:rsid w:val="005F5B85"/>
    <w:rsid w:val="0062499A"/>
    <w:rsid w:val="006471B9"/>
    <w:rsid w:val="00661A1B"/>
    <w:rsid w:val="00747135"/>
    <w:rsid w:val="00775045"/>
    <w:rsid w:val="007A2019"/>
    <w:rsid w:val="007E5C00"/>
    <w:rsid w:val="00820C0F"/>
    <w:rsid w:val="00823F3F"/>
    <w:rsid w:val="00850EFE"/>
    <w:rsid w:val="00862C24"/>
    <w:rsid w:val="00913A68"/>
    <w:rsid w:val="009212F2"/>
    <w:rsid w:val="009410B2"/>
    <w:rsid w:val="009D742E"/>
    <w:rsid w:val="00A103B7"/>
    <w:rsid w:val="00A529CB"/>
    <w:rsid w:val="00A71C6E"/>
    <w:rsid w:val="00A74A85"/>
    <w:rsid w:val="00AB44E0"/>
    <w:rsid w:val="00AC1FD6"/>
    <w:rsid w:val="00AC6C46"/>
    <w:rsid w:val="00AC7AE8"/>
    <w:rsid w:val="00B320F2"/>
    <w:rsid w:val="00B610EB"/>
    <w:rsid w:val="00B948DB"/>
    <w:rsid w:val="00BB2BAB"/>
    <w:rsid w:val="00BB5F86"/>
    <w:rsid w:val="00C21A8E"/>
    <w:rsid w:val="00C737EF"/>
    <w:rsid w:val="00C85FED"/>
    <w:rsid w:val="00C95FB0"/>
    <w:rsid w:val="00CC560A"/>
    <w:rsid w:val="00CE0C9B"/>
    <w:rsid w:val="00CF7F66"/>
    <w:rsid w:val="00D2593E"/>
    <w:rsid w:val="00D46B28"/>
    <w:rsid w:val="00D5746E"/>
    <w:rsid w:val="00D71E35"/>
    <w:rsid w:val="00D917AA"/>
    <w:rsid w:val="00DC1238"/>
    <w:rsid w:val="00EB7709"/>
    <w:rsid w:val="00ED15F7"/>
    <w:rsid w:val="00F16702"/>
    <w:rsid w:val="00F22DB5"/>
    <w:rsid w:val="00F271A3"/>
    <w:rsid w:val="00F3594C"/>
    <w:rsid w:val="00F5259B"/>
    <w:rsid w:val="00F71898"/>
    <w:rsid w:val="00F86A40"/>
    <w:rsid w:val="00F86B6E"/>
    <w:rsid w:val="00F9611C"/>
    <w:rsid w:val="00FB0A25"/>
    <w:rsid w:val="00FE2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661A1B"/>
    <w:pPr>
      <w:keepNext/>
      <w:keepLines/>
      <w:spacing w:before="240" w:after="0"/>
      <w:outlineLvl w:val="0"/>
    </w:pPr>
    <w:rPr>
      <w:rFonts w:eastAsiaTheme="majorEastAsia" w:cstheme="majorBidi"/>
      <w:b/>
      <w:color w:val="7030A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9212F2"/>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1A1B"/>
    <w:rPr>
      <w:rFonts w:ascii="Cambria" w:eastAsiaTheme="majorEastAsia" w:hAnsi="Cambria" w:cstheme="majorBidi"/>
      <w:b/>
      <w:color w:val="7030A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9212F2"/>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DD26-5613-4657-B4E4-01FAC9FE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3944</Words>
  <Characters>21694</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21</cp:revision>
  <dcterms:created xsi:type="dcterms:W3CDTF">2022-08-02T14:08:00Z</dcterms:created>
  <dcterms:modified xsi:type="dcterms:W3CDTF">2022-08-15T16:00:00Z</dcterms:modified>
</cp:coreProperties>
</file>