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CE351" w14:textId="77777777" w:rsidR="00F71898" w:rsidRPr="00F71898" w:rsidRDefault="00F71898" w:rsidP="00F71898"/>
    <w:sdt>
      <w:sdtPr>
        <w:rPr>
          <w:rFonts w:eastAsiaTheme="minorHAnsi" w:cstheme="minorBidi"/>
          <w:b w:val="0"/>
          <w:color w:val="auto"/>
          <w:sz w:val="22"/>
          <w:szCs w:val="22"/>
          <w:lang w:eastAsia="en-US"/>
        </w:rPr>
        <w:id w:val="2006010196"/>
        <w:docPartObj>
          <w:docPartGallery w:val="Table of Contents"/>
          <w:docPartUnique/>
        </w:docPartObj>
      </w:sdtPr>
      <w:sdtEndPr>
        <w:rPr>
          <w:bCs/>
        </w:rPr>
      </w:sdtEndPr>
      <w:sdtContent>
        <w:p w14:paraId="72311E71" w14:textId="7F4461DF" w:rsidR="00A103B7" w:rsidRDefault="00A103B7">
          <w:pPr>
            <w:pStyle w:val="En-ttedetabledesmatires"/>
          </w:pPr>
          <w:r>
            <w:t>Table des matières</w:t>
          </w:r>
        </w:p>
        <w:p w14:paraId="6D913F23" w14:textId="39142140" w:rsidR="00D03829" w:rsidRDefault="00A103B7">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12070534" w:history="1">
            <w:r w:rsidR="00D03829" w:rsidRPr="008861D8">
              <w:rPr>
                <w:rStyle w:val="Lienhypertexte"/>
                <w:noProof/>
              </w:rPr>
              <w:t>Le risque arrêt de travail dans le contexte de l’assurance collective</w:t>
            </w:r>
            <w:r w:rsidR="00D03829">
              <w:rPr>
                <w:noProof/>
                <w:webHidden/>
              </w:rPr>
              <w:tab/>
            </w:r>
            <w:r w:rsidR="00D03829">
              <w:rPr>
                <w:noProof/>
                <w:webHidden/>
              </w:rPr>
              <w:fldChar w:fldCharType="begin"/>
            </w:r>
            <w:r w:rsidR="00D03829">
              <w:rPr>
                <w:noProof/>
                <w:webHidden/>
              </w:rPr>
              <w:instrText xml:space="preserve"> PAGEREF _Toc112070534 \h </w:instrText>
            </w:r>
            <w:r w:rsidR="00D03829">
              <w:rPr>
                <w:noProof/>
                <w:webHidden/>
              </w:rPr>
            </w:r>
            <w:r w:rsidR="00D03829">
              <w:rPr>
                <w:noProof/>
                <w:webHidden/>
              </w:rPr>
              <w:fldChar w:fldCharType="separate"/>
            </w:r>
            <w:r w:rsidR="00D03829">
              <w:rPr>
                <w:noProof/>
                <w:webHidden/>
              </w:rPr>
              <w:t>3</w:t>
            </w:r>
            <w:r w:rsidR="00D03829">
              <w:rPr>
                <w:noProof/>
                <w:webHidden/>
              </w:rPr>
              <w:fldChar w:fldCharType="end"/>
            </w:r>
          </w:hyperlink>
        </w:p>
        <w:p w14:paraId="78300238" w14:textId="4CE67FB1" w:rsidR="00D03829" w:rsidRDefault="00D03829">
          <w:pPr>
            <w:pStyle w:val="TM2"/>
            <w:tabs>
              <w:tab w:val="right" w:leader="dot" w:pos="9062"/>
            </w:tabs>
            <w:rPr>
              <w:rFonts w:asciiTheme="minorHAnsi" w:eastAsiaTheme="minorEastAsia" w:hAnsiTheme="minorHAnsi"/>
              <w:noProof/>
              <w:lang w:eastAsia="fr-FR"/>
            </w:rPr>
          </w:pPr>
          <w:hyperlink w:anchor="_Toc112070535" w:history="1">
            <w:r w:rsidRPr="008861D8">
              <w:rPr>
                <w:rStyle w:val="Lienhypertexte"/>
                <w:noProof/>
              </w:rPr>
              <w:t>Présentation de la protection sociale en France : régime de base et régime complémentaire.</w:t>
            </w:r>
            <w:r>
              <w:rPr>
                <w:noProof/>
                <w:webHidden/>
              </w:rPr>
              <w:tab/>
            </w:r>
            <w:r>
              <w:rPr>
                <w:noProof/>
                <w:webHidden/>
              </w:rPr>
              <w:fldChar w:fldCharType="begin"/>
            </w:r>
            <w:r>
              <w:rPr>
                <w:noProof/>
                <w:webHidden/>
              </w:rPr>
              <w:instrText xml:space="preserve"> PAGEREF _Toc112070535 \h </w:instrText>
            </w:r>
            <w:r>
              <w:rPr>
                <w:noProof/>
                <w:webHidden/>
              </w:rPr>
            </w:r>
            <w:r>
              <w:rPr>
                <w:noProof/>
                <w:webHidden/>
              </w:rPr>
              <w:fldChar w:fldCharType="separate"/>
            </w:r>
            <w:r>
              <w:rPr>
                <w:noProof/>
                <w:webHidden/>
              </w:rPr>
              <w:t>3</w:t>
            </w:r>
            <w:r>
              <w:rPr>
                <w:noProof/>
                <w:webHidden/>
              </w:rPr>
              <w:fldChar w:fldCharType="end"/>
            </w:r>
          </w:hyperlink>
        </w:p>
        <w:p w14:paraId="64D21CBF" w14:textId="058413ED" w:rsidR="00D03829" w:rsidRDefault="00D03829">
          <w:pPr>
            <w:pStyle w:val="TM3"/>
            <w:tabs>
              <w:tab w:val="right" w:leader="dot" w:pos="9062"/>
            </w:tabs>
            <w:rPr>
              <w:rFonts w:asciiTheme="minorHAnsi" w:eastAsiaTheme="minorEastAsia" w:hAnsiTheme="minorHAnsi"/>
              <w:noProof/>
              <w:lang w:eastAsia="fr-FR"/>
            </w:rPr>
          </w:pPr>
          <w:hyperlink w:anchor="_Toc112070536" w:history="1">
            <w:r w:rsidRPr="008861D8">
              <w:rPr>
                <w:rStyle w:val="Lienhypertexte"/>
                <w:noProof/>
              </w:rPr>
              <w:t>Histoire de la protection sociale</w:t>
            </w:r>
            <w:r>
              <w:rPr>
                <w:noProof/>
                <w:webHidden/>
              </w:rPr>
              <w:tab/>
            </w:r>
            <w:r>
              <w:rPr>
                <w:noProof/>
                <w:webHidden/>
              </w:rPr>
              <w:fldChar w:fldCharType="begin"/>
            </w:r>
            <w:r>
              <w:rPr>
                <w:noProof/>
                <w:webHidden/>
              </w:rPr>
              <w:instrText xml:space="preserve"> PAGEREF _Toc112070536 \h </w:instrText>
            </w:r>
            <w:r>
              <w:rPr>
                <w:noProof/>
                <w:webHidden/>
              </w:rPr>
            </w:r>
            <w:r>
              <w:rPr>
                <w:noProof/>
                <w:webHidden/>
              </w:rPr>
              <w:fldChar w:fldCharType="separate"/>
            </w:r>
            <w:r>
              <w:rPr>
                <w:noProof/>
                <w:webHidden/>
              </w:rPr>
              <w:t>3</w:t>
            </w:r>
            <w:r>
              <w:rPr>
                <w:noProof/>
                <w:webHidden/>
              </w:rPr>
              <w:fldChar w:fldCharType="end"/>
            </w:r>
          </w:hyperlink>
        </w:p>
        <w:p w14:paraId="6BA5B5B5" w14:textId="590B8EAC" w:rsidR="00D03829" w:rsidRDefault="00D03829">
          <w:pPr>
            <w:pStyle w:val="TM3"/>
            <w:tabs>
              <w:tab w:val="right" w:leader="dot" w:pos="9062"/>
            </w:tabs>
            <w:rPr>
              <w:rFonts w:asciiTheme="minorHAnsi" w:eastAsiaTheme="minorEastAsia" w:hAnsiTheme="minorHAnsi"/>
              <w:noProof/>
              <w:lang w:eastAsia="fr-FR"/>
            </w:rPr>
          </w:pPr>
          <w:hyperlink w:anchor="_Toc112070537" w:history="1">
            <w:r w:rsidRPr="008861D8">
              <w:rPr>
                <w:rStyle w:val="Lienhypertexte"/>
                <w:noProof/>
              </w:rPr>
              <w:t>Organisation fonctionnelle</w:t>
            </w:r>
            <w:r>
              <w:rPr>
                <w:noProof/>
                <w:webHidden/>
              </w:rPr>
              <w:tab/>
            </w:r>
            <w:r>
              <w:rPr>
                <w:noProof/>
                <w:webHidden/>
              </w:rPr>
              <w:fldChar w:fldCharType="begin"/>
            </w:r>
            <w:r>
              <w:rPr>
                <w:noProof/>
                <w:webHidden/>
              </w:rPr>
              <w:instrText xml:space="preserve"> PAGEREF _Toc112070537 \h </w:instrText>
            </w:r>
            <w:r>
              <w:rPr>
                <w:noProof/>
                <w:webHidden/>
              </w:rPr>
            </w:r>
            <w:r>
              <w:rPr>
                <w:noProof/>
                <w:webHidden/>
              </w:rPr>
              <w:fldChar w:fldCharType="separate"/>
            </w:r>
            <w:r>
              <w:rPr>
                <w:noProof/>
                <w:webHidden/>
              </w:rPr>
              <w:t>4</w:t>
            </w:r>
            <w:r>
              <w:rPr>
                <w:noProof/>
                <w:webHidden/>
              </w:rPr>
              <w:fldChar w:fldCharType="end"/>
            </w:r>
          </w:hyperlink>
        </w:p>
        <w:p w14:paraId="4F38D74A" w14:textId="6C607FDE" w:rsidR="00D03829" w:rsidRDefault="00D03829">
          <w:pPr>
            <w:pStyle w:val="TM3"/>
            <w:tabs>
              <w:tab w:val="right" w:leader="dot" w:pos="9062"/>
            </w:tabs>
            <w:rPr>
              <w:rFonts w:asciiTheme="minorHAnsi" w:eastAsiaTheme="minorEastAsia" w:hAnsiTheme="minorHAnsi"/>
              <w:noProof/>
              <w:lang w:eastAsia="fr-FR"/>
            </w:rPr>
          </w:pPr>
          <w:hyperlink w:anchor="_Toc112070538" w:history="1">
            <w:r w:rsidRPr="008861D8">
              <w:rPr>
                <w:rStyle w:val="Lienhypertexte"/>
                <w:noProof/>
              </w:rPr>
              <w:t>Détails de l’offre proposée par le régime de base</w:t>
            </w:r>
            <w:r>
              <w:rPr>
                <w:noProof/>
                <w:webHidden/>
              </w:rPr>
              <w:tab/>
            </w:r>
            <w:r>
              <w:rPr>
                <w:noProof/>
                <w:webHidden/>
              </w:rPr>
              <w:fldChar w:fldCharType="begin"/>
            </w:r>
            <w:r>
              <w:rPr>
                <w:noProof/>
                <w:webHidden/>
              </w:rPr>
              <w:instrText xml:space="preserve"> PAGEREF _Toc112070538 \h </w:instrText>
            </w:r>
            <w:r>
              <w:rPr>
                <w:noProof/>
                <w:webHidden/>
              </w:rPr>
            </w:r>
            <w:r>
              <w:rPr>
                <w:noProof/>
                <w:webHidden/>
              </w:rPr>
              <w:fldChar w:fldCharType="separate"/>
            </w:r>
            <w:r>
              <w:rPr>
                <w:noProof/>
                <w:webHidden/>
              </w:rPr>
              <w:t>4</w:t>
            </w:r>
            <w:r>
              <w:rPr>
                <w:noProof/>
                <w:webHidden/>
              </w:rPr>
              <w:fldChar w:fldCharType="end"/>
            </w:r>
          </w:hyperlink>
        </w:p>
        <w:p w14:paraId="52A81982" w14:textId="5A11CBB0" w:rsidR="00D03829" w:rsidRDefault="00D03829">
          <w:pPr>
            <w:pStyle w:val="TM3"/>
            <w:tabs>
              <w:tab w:val="right" w:leader="dot" w:pos="9062"/>
            </w:tabs>
            <w:rPr>
              <w:rFonts w:asciiTheme="minorHAnsi" w:eastAsiaTheme="minorEastAsia" w:hAnsiTheme="minorHAnsi"/>
              <w:noProof/>
              <w:lang w:eastAsia="fr-FR"/>
            </w:rPr>
          </w:pPr>
          <w:hyperlink w:anchor="_Toc112070539" w:history="1">
            <w:r w:rsidRPr="008861D8">
              <w:rPr>
                <w:rStyle w:val="Lienhypertexte"/>
                <w:noProof/>
              </w:rPr>
              <w:t>Panorama de l’offre de couverture complémentaire</w:t>
            </w:r>
            <w:r>
              <w:rPr>
                <w:noProof/>
                <w:webHidden/>
              </w:rPr>
              <w:tab/>
            </w:r>
            <w:r>
              <w:rPr>
                <w:noProof/>
                <w:webHidden/>
              </w:rPr>
              <w:fldChar w:fldCharType="begin"/>
            </w:r>
            <w:r>
              <w:rPr>
                <w:noProof/>
                <w:webHidden/>
              </w:rPr>
              <w:instrText xml:space="preserve"> PAGEREF _Toc112070539 \h </w:instrText>
            </w:r>
            <w:r>
              <w:rPr>
                <w:noProof/>
                <w:webHidden/>
              </w:rPr>
            </w:r>
            <w:r>
              <w:rPr>
                <w:noProof/>
                <w:webHidden/>
              </w:rPr>
              <w:fldChar w:fldCharType="separate"/>
            </w:r>
            <w:r>
              <w:rPr>
                <w:noProof/>
                <w:webHidden/>
              </w:rPr>
              <w:t>8</w:t>
            </w:r>
            <w:r>
              <w:rPr>
                <w:noProof/>
                <w:webHidden/>
              </w:rPr>
              <w:fldChar w:fldCharType="end"/>
            </w:r>
          </w:hyperlink>
        </w:p>
        <w:p w14:paraId="15E77216" w14:textId="1EA304E8" w:rsidR="00D03829" w:rsidRDefault="00D03829">
          <w:pPr>
            <w:pStyle w:val="TM2"/>
            <w:tabs>
              <w:tab w:val="right" w:leader="dot" w:pos="9062"/>
            </w:tabs>
            <w:rPr>
              <w:rFonts w:asciiTheme="minorHAnsi" w:eastAsiaTheme="minorEastAsia" w:hAnsiTheme="minorHAnsi"/>
              <w:noProof/>
              <w:lang w:eastAsia="fr-FR"/>
            </w:rPr>
          </w:pPr>
          <w:hyperlink w:anchor="_Toc112070540" w:history="1">
            <w:r w:rsidRPr="008861D8">
              <w:rPr>
                <w:rStyle w:val="Lienhypertexte"/>
                <w:noProof/>
              </w:rPr>
              <w:t>Qu’est-ce que la prévoyance collective ?</w:t>
            </w:r>
            <w:r>
              <w:rPr>
                <w:noProof/>
                <w:webHidden/>
              </w:rPr>
              <w:tab/>
            </w:r>
            <w:r>
              <w:rPr>
                <w:noProof/>
                <w:webHidden/>
              </w:rPr>
              <w:fldChar w:fldCharType="begin"/>
            </w:r>
            <w:r>
              <w:rPr>
                <w:noProof/>
                <w:webHidden/>
              </w:rPr>
              <w:instrText xml:space="preserve"> PAGEREF _Toc112070540 \h </w:instrText>
            </w:r>
            <w:r>
              <w:rPr>
                <w:noProof/>
                <w:webHidden/>
              </w:rPr>
            </w:r>
            <w:r>
              <w:rPr>
                <w:noProof/>
                <w:webHidden/>
              </w:rPr>
              <w:fldChar w:fldCharType="separate"/>
            </w:r>
            <w:r>
              <w:rPr>
                <w:noProof/>
                <w:webHidden/>
              </w:rPr>
              <w:t>10</w:t>
            </w:r>
            <w:r>
              <w:rPr>
                <w:noProof/>
                <w:webHidden/>
              </w:rPr>
              <w:fldChar w:fldCharType="end"/>
            </w:r>
          </w:hyperlink>
        </w:p>
        <w:p w14:paraId="6B107202" w14:textId="13CA031B" w:rsidR="00D03829" w:rsidRDefault="00D03829">
          <w:pPr>
            <w:pStyle w:val="TM2"/>
            <w:tabs>
              <w:tab w:val="right" w:leader="dot" w:pos="9062"/>
            </w:tabs>
            <w:rPr>
              <w:rFonts w:asciiTheme="minorHAnsi" w:eastAsiaTheme="minorEastAsia" w:hAnsiTheme="minorHAnsi"/>
              <w:noProof/>
              <w:lang w:eastAsia="fr-FR"/>
            </w:rPr>
          </w:pPr>
          <w:hyperlink w:anchor="_Toc112070541" w:history="1">
            <w:r w:rsidRPr="008861D8">
              <w:rPr>
                <w:rStyle w:val="Lienhypertexte"/>
                <w:noProof/>
              </w:rPr>
              <w:t>Le risque arrêt de travail en France</w:t>
            </w:r>
            <w:r>
              <w:rPr>
                <w:noProof/>
                <w:webHidden/>
              </w:rPr>
              <w:tab/>
            </w:r>
            <w:r>
              <w:rPr>
                <w:noProof/>
                <w:webHidden/>
              </w:rPr>
              <w:fldChar w:fldCharType="begin"/>
            </w:r>
            <w:r>
              <w:rPr>
                <w:noProof/>
                <w:webHidden/>
              </w:rPr>
              <w:instrText xml:space="preserve"> PAGEREF _Toc112070541 \h </w:instrText>
            </w:r>
            <w:r>
              <w:rPr>
                <w:noProof/>
                <w:webHidden/>
              </w:rPr>
            </w:r>
            <w:r>
              <w:rPr>
                <w:noProof/>
                <w:webHidden/>
              </w:rPr>
              <w:fldChar w:fldCharType="separate"/>
            </w:r>
            <w:r>
              <w:rPr>
                <w:noProof/>
                <w:webHidden/>
              </w:rPr>
              <w:t>11</w:t>
            </w:r>
            <w:r>
              <w:rPr>
                <w:noProof/>
                <w:webHidden/>
              </w:rPr>
              <w:fldChar w:fldCharType="end"/>
            </w:r>
          </w:hyperlink>
        </w:p>
        <w:p w14:paraId="70F2A385" w14:textId="75AD093B" w:rsidR="00D03829" w:rsidRDefault="00D03829">
          <w:pPr>
            <w:pStyle w:val="TM3"/>
            <w:tabs>
              <w:tab w:val="right" w:leader="dot" w:pos="9062"/>
            </w:tabs>
            <w:rPr>
              <w:rFonts w:asciiTheme="minorHAnsi" w:eastAsiaTheme="minorEastAsia" w:hAnsiTheme="minorHAnsi"/>
              <w:noProof/>
              <w:lang w:eastAsia="fr-FR"/>
            </w:rPr>
          </w:pPr>
          <w:hyperlink w:anchor="_Toc112070542" w:history="1">
            <w:r w:rsidRPr="008861D8">
              <w:rPr>
                <w:rStyle w:val="Lienhypertexte"/>
                <w:noProof/>
              </w:rPr>
              <w:t>Contexte général</w:t>
            </w:r>
            <w:r>
              <w:rPr>
                <w:noProof/>
                <w:webHidden/>
              </w:rPr>
              <w:tab/>
            </w:r>
            <w:r>
              <w:rPr>
                <w:noProof/>
                <w:webHidden/>
              </w:rPr>
              <w:fldChar w:fldCharType="begin"/>
            </w:r>
            <w:r>
              <w:rPr>
                <w:noProof/>
                <w:webHidden/>
              </w:rPr>
              <w:instrText xml:space="preserve"> PAGEREF _Toc112070542 \h </w:instrText>
            </w:r>
            <w:r>
              <w:rPr>
                <w:noProof/>
                <w:webHidden/>
              </w:rPr>
            </w:r>
            <w:r>
              <w:rPr>
                <w:noProof/>
                <w:webHidden/>
              </w:rPr>
              <w:fldChar w:fldCharType="separate"/>
            </w:r>
            <w:r>
              <w:rPr>
                <w:noProof/>
                <w:webHidden/>
              </w:rPr>
              <w:t>11</w:t>
            </w:r>
            <w:r>
              <w:rPr>
                <w:noProof/>
                <w:webHidden/>
              </w:rPr>
              <w:fldChar w:fldCharType="end"/>
            </w:r>
          </w:hyperlink>
        </w:p>
        <w:p w14:paraId="27781BA1" w14:textId="2A6FED3B" w:rsidR="00D03829" w:rsidRDefault="00D03829">
          <w:pPr>
            <w:pStyle w:val="TM3"/>
            <w:tabs>
              <w:tab w:val="right" w:leader="dot" w:pos="9062"/>
            </w:tabs>
            <w:rPr>
              <w:rFonts w:asciiTheme="minorHAnsi" w:eastAsiaTheme="minorEastAsia" w:hAnsiTheme="minorHAnsi"/>
              <w:noProof/>
              <w:lang w:eastAsia="fr-FR"/>
            </w:rPr>
          </w:pPr>
          <w:hyperlink w:anchor="_Toc112070543" w:history="1">
            <w:r w:rsidRPr="008861D8">
              <w:rPr>
                <w:rStyle w:val="Lienhypertexte"/>
                <w:noProof/>
              </w:rPr>
              <w:t>Environnement juridique</w:t>
            </w:r>
            <w:r>
              <w:rPr>
                <w:noProof/>
                <w:webHidden/>
              </w:rPr>
              <w:tab/>
            </w:r>
            <w:r>
              <w:rPr>
                <w:noProof/>
                <w:webHidden/>
              </w:rPr>
              <w:fldChar w:fldCharType="begin"/>
            </w:r>
            <w:r>
              <w:rPr>
                <w:noProof/>
                <w:webHidden/>
              </w:rPr>
              <w:instrText xml:space="preserve"> PAGEREF _Toc112070543 \h </w:instrText>
            </w:r>
            <w:r>
              <w:rPr>
                <w:noProof/>
                <w:webHidden/>
              </w:rPr>
            </w:r>
            <w:r>
              <w:rPr>
                <w:noProof/>
                <w:webHidden/>
              </w:rPr>
              <w:fldChar w:fldCharType="separate"/>
            </w:r>
            <w:r>
              <w:rPr>
                <w:noProof/>
                <w:webHidden/>
              </w:rPr>
              <w:t>11</w:t>
            </w:r>
            <w:r>
              <w:rPr>
                <w:noProof/>
                <w:webHidden/>
              </w:rPr>
              <w:fldChar w:fldCharType="end"/>
            </w:r>
          </w:hyperlink>
        </w:p>
        <w:p w14:paraId="45C8C222" w14:textId="3640A31D" w:rsidR="00D03829" w:rsidRDefault="00D03829">
          <w:pPr>
            <w:pStyle w:val="TM2"/>
            <w:tabs>
              <w:tab w:val="right" w:leader="dot" w:pos="9062"/>
            </w:tabs>
            <w:rPr>
              <w:rFonts w:asciiTheme="minorHAnsi" w:eastAsiaTheme="minorEastAsia" w:hAnsiTheme="minorHAnsi"/>
              <w:noProof/>
              <w:lang w:eastAsia="fr-FR"/>
            </w:rPr>
          </w:pPr>
          <w:hyperlink w:anchor="_Toc112070544" w:history="1">
            <w:r w:rsidRPr="008861D8">
              <w:rPr>
                <w:rStyle w:val="Lienhypertexte"/>
                <w:noProof/>
              </w:rPr>
              <w:t>Qu’est-ce que l’absentéisme ?</w:t>
            </w:r>
            <w:r>
              <w:rPr>
                <w:noProof/>
                <w:webHidden/>
              </w:rPr>
              <w:tab/>
            </w:r>
            <w:r>
              <w:rPr>
                <w:noProof/>
                <w:webHidden/>
              </w:rPr>
              <w:fldChar w:fldCharType="begin"/>
            </w:r>
            <w:r>
              <w:rPr>
                <w:noProof/>
                <w:webHidden/>
              </w:rPr>
              <w:instrText xml:space="preserve"> PAGEREF _Toc112070544 \h </w:instrText>
            </w:r>
            <w:r>
              <w:rPr>
                <w:noProof/>
                <w:webHidden/>
              </w:rPr>
            </w:r>
            <w:r>
              <w:rPr>
                <w:noProof/>
                <w:webHidden/>
              </w:rPr>
              <w:fldChar w:fldCharType="separate"/>
            </w:r>
            <w:r>
              <w:rPr>
                <w:noProof/>
                <w:webHidden/>
              </w:rPr>
              <w:t>13</w:t>
            </w:r>
            <w:r>
              <w:rPr>
                <w:noProof/>
                <w:webHidden/>
              </w:rPr>
              <w:fldChar w:fldCharType="end"/>
            </w:r>
          </w:hyperlink>
        </w:p>
        <w:p w14:paraId="41CC799A" w14:textId="071FE2A8" w:rsidR="00D03829" w:rsidRDefault="00D03829">
          <w:pPr>
            <w:pStyle w:val="TM2"/>
            <w:tabs>
              <w:tab w:val="right" w:leader="dot" w:pos="9062"/>
            </w:tabs>
            <w:rPr>
              <w:rFonts w:asciiTheme="minorHAnsi" w:eastAsiaTheme="minorEastAsia" w:hAnsiTheme="minorHAnsi"/>
              <w:noProof/>
              <w:lang w:eastAsia="fr-FR"/>
            </w:rPr>
          </w:pPr>
          <w:hyperlink w:anchor="_Toc112070545" w:history="1">
            <w:r w:rsidRPr="008861D8">
              <w:rPr>
                <w:rStyle w:val="Lienhypertexte"/>
                <w:noProof/>
              </w:rPr>
              <w:t>Comment mesurer l’absentéisme en entreprise ?</w:t>
            </w:r>
            <w:r>
              <w:rPr>
                <w:noProof/>
                <w:webHidden/>
              </w:rPr>
              <w:tab/>
            </w:r>
            <w:r>
              <w:rPr>
                <w:noProof/>
                <w:webHidden/>
              </w:rPr>
              <w:fldChar w:fldCharType="begin"/>
            </w:r>
            <w:r>
              <w:rPr>
                <w:noProof/>
                <w:webHidden/>
              </w:rPr>
              <w:instrText xml:space="preserve"> PAGEREF _Toc112070545 \h </w:instrText>
            </w:r>
            <w:r>
              <w:rPr>
                <w:noProof/>
                <w:webHidden/>
              </w:rPr>
            </w:r>
            <w:r>
              <w:rPr>
                <w:noProof/>
                <w:webHidden/>
              </w:rPr>
              <w:fldChar w:fldCharType="separate"/>
            </w:r>
            <w:r>
              <w:rPr>
                <w:noProof/>
                <w:webHidden/>
              </w:rPr>
              <w:t>13</w:t>
            </w:r>
            <w:r>
              <w:rPr>
                <w:noProof/>
                <w:webHidden/>
              </w:rPr>
              <w:fldChar w:fldCharType="end"/>
            </w:r>
          </w:hyperlink>
        </w:p>
        <w:p w14:paraId="5C61EE52" w14:textId="2A5BA7A2" w:rsidR="00D03829" w:rsidRDefault="00D03829">
          <w:pPr>
            <w:pStyle w:val="TM2"/>
            <w:tabs>
              <w:tab w:val="right" w:leader="dot" w:pos="9062"/>
            </w:tabs>
            <w:rPr>
              <w:rFonts w:asciiTheme="minorHAnsi" w:eastAsiaTheme="minorEastAsia" w:hAnsiTheme="minorHAnsi"/>
              <w:noProof/>
              <w:lang w:eastAsia="fr-FR"/>
            </w:rPr>
          </w:pPr>
          <w:hyperlink w:anchor="_Toc112070546" w:history="1">
            <w:r w:rsidRPr="008861D8">
              <w:rPr>
                <w:rStyle w:val="Lienhypertexte"/>
                <w:noProof/>
              </w:rPr>
              <w:t>Quel est son coût réel sur les entreprises ?</w:t>
            </w:r>
            <w:r>
              <w:rPr>
                <w:noProof/>
                <w:webHidden/>
              </w:rPr>
              <w:tab/>
            </w:r>
            <w:r>
              <w:rPr>
                <w:noProof/>
                <w:webHidden/>
              </w:rPr>
              <w:fldChar w:fldCharType="begin"/>
            </w:r>
            <w:r>
              <w:rPr>
                <w:noProof/>
                <w:webHidden/>
              </w:rPr>
              <w:instrText xml:space="preserve"> PAGEREF _Toc112070546 \h </w:instrText>
            </w:r>
            <w:r>
              <w:rPr>
                <w:noProof/>
                <w:webHidden/>
              </w:rPr>
            </w:r>
            <w:r>
              <w:rPr>
                <w:noProof/>
                <w:webHidden/>
              </w:rPr>
              <w:fldChar w:fldCharType="separate"/>
            </w:r>
            <w:r>
              <w:rPr>
                <w:noProof/>
                <w:webHidden/>
              </w:rPr>
              <w:t>13</w:t>
            </w:r>
            <w:r>
              <w:rPr>
                <w:noProof/>
                <w:webHidden/>
              </w:rPr>
              <w:fldChar w:fldCharType="end"/>
            </w:r>
          </w:hyperlink>
        </w:p>
        <w:p w14:paraId="3400B6C7" w14:textId="3BD58FBA" w:rsidR="00D03829" w:rsidRDefault="00D03829">
          <w:pPr>
            <w:pStyle w:val="TM1"/>
            <w:tabs>
              <w:tab w:val="right" w:leader="dot" w:pos="9062"/>
            </w:tabs>
            <w:rPr>
              <w:rFonts w:asciiTheme="minorHAnsi" w:eastAsiaTheme="minorEastAsia" w:hAnsiTheme="minorHAnsi"/>
              <w:noProof/>
              <w:lang w:eastAsia="fr-FR"/>
            </w:rPr>
          </w:pPr>
          <w:hyperlink w:anchor="_Toc112070547" w:history="1">
            <w:r w:rsidRPr="008861D8">
              <w:rPr>
                <w:rStyle w:val="Lienhypertexte"/>
                <w:noProof/>
              </w:rPr>
              <w:t>Présentation de la base données</w:t>
            </w:r>
            <w:r>
              <w:rPr>
                <w:noProof/>
                <w:webHidden/>
              </w:rPr>
              <w:tab/>
            </w:r>
            <w:r>
              <w:rPr>
                <w:noProof/>
                <w:webHidden/>
              </w:rPr>
              <w:fldChar w:fldCharType="begin"/>
            </w:r>
            <w:r>
              <w:rPr>
                <w:noProof/>
                <w:webHidden/>
              </w:rPr>
              <w:instrText xml:space="preserve"> PAGEREF _Toc112070547 \h </w:instrText>
            </w:r>
            <w:r>
              <w:rPr>
                <w:noProof/>
                <w:webHidden/>
              </w:rPr>
            </w:r>
            <w:r>
              <w:rPr>
                <w:noProof/>
                <w:webHidden/>
              </w:rPr>
              <w:fldChar w:fldCharType="separate"/>
            </w:r>
            <w:r>
              <w:rPr>
                <w:noProof/>
                <w:webHidden/>
              </w:rPr>
              <w:t>14</w:t>
            </w:r>
            <w:r>
              <w:rPr>
                <w:noProof/>
                <w:webHidden/>
              </w:rPr>
              <w:fldChar w:fldCharType="end"/>
            </w:r>
          </w:hyperlink>
        </w:p>
        <w:p w14:paraId="1A70B4DB" w14:textId="6EE5B7E0" w:rsidR="00D03829" w:rsidRDefault="00D03829">
          <w:pPr>
            <w:pStyle w:val="TM2"/>
            <w:tabs>
              <w:tab w:val="right" w:leader="dot" w:pos="9062"/>
            </w:tabs>
            <w:rPr>
              <w:rFonts w:asciiTheme="minorHAnsi" w:eastAsiaTheme="minorEastAsia" w:hAnsiTheme="minorHAnsi"/>
              <w:noProof/>
              <w:lang w:eastAsia="fr-FR"/>
            </w:rPr>
          </w:pPr>
          <w:hyperlink w:anchor="_Toc112070548" w:history="1">
            <w:r w:rsidRPr="008861D8">
              <w:rPr>
                <w:rStyle w:val="Lienhypertexte"/>
                <w:noProof/>
              </w:rPr>
              <w:t>Extraction de la base de données</w:t>
            </w:r>
            <w:r>
              <w:rPr>
                <w:noProof/>
                <w:webHidden/>
              </w:rPr>
              <w:tab/>
            </w:r>
            <w:r>
              <w:rPr>
                <w:noProof/>
                <w:webHidden/>
              </w:rPr>
              <w:fldChar w:fldCharType="begin"/>
            </w:r>
            <w:r>
              <w:rPr>
                <w:noProof/>
                <w:webHidden/>
              </w:rPr>
              <w:instrText xml:space="preserve"> PAGEREF _Toc112070548 \h </w:instrText>
            </w:r>
            <w:r>
              <w:rPr>
                <w:noProof/>
                <w:webHidden/>
              </w:rPr>
            </w:r>
            <w:r>
              <w:rPr>
                <w:noProof/>
                <w:webHidden/>
              </w:rPr>
              <w:fldChar w:fldCharType="separate"/>
            </w:r>
            <w:r>
              <w:rPr>
                <w:noProof/>
                <w:webHidden/>
              </w:rPr>
              <w:t>14</w:t>
            </w:r>
            <w:r>
              <w:rPr>
                <w:noProof/>
                <w:webHidden/>
              </w:rPr>
              <w:fldChar w:fldCharType="end"/>
            </w:r>
          </w:hyperlink>
        </w:p>
        <w:p w14:paraId="70D6F0C0" w14:textId="6862F909" w:rsidR="00D03829" w:rsidRDefault="00D03829">
          <w:pPr>
            <w:pStyle w:val="TM2"/>
            <w:tabs>
              <w:tab w:val="right" w:leader="dot" w:pos="9062"/>
            </w:tabs>
            <w:rPr>
              <w:rFonts w:asciiTheme="minorHAnsi" w:eastAsiaTheme="minorEastAsia" w:hAnsiTheme="minorHAnsi"/>
              <w:noProof/>
              <w:lang w:eastAsia="fr-FR"/>
            </w:rPr>
          </w:pPr>
          <w:hyperlink w:anchor="_Toc112070549" w:history="1">
            <w:r w:rsidRPr="008861D8">
              <w:rPr>
                <w:rStyle w:val="Lienhypertexte"/>
                <w:noProof/>
              </w:rPr>
              <w:t>Quelle est la structure de la base de données d’étude ?</w:t>
            </w:r>
            <w:r>
              <w:rPr>
                <w:noProof/>
                <w:webHidden/>
              </w:rPr>
              <w:tab/>
            </w:r>
            <w:r>
              <w:rPr>
                <w:noProof/>
                <w:webHidden/>
              </w:rPr>
              <w:fldChar w:fldCharType="begin"/>
            </w:r>
            <w:r>
              <w:rPr>
                <w:noProof/>
                <w:webHidden/>
              </w:rPr>
              <w:instrText xml:space="preserve"> PAGEREF _Toc112070549 \h </w:instrText>
            </w:r>
            <w:r>
              <w:rPr>
                <w:noProof/>
                <w:webHidden/>
              </w:rPr>
            </w:r>
            <w:r>
              <w:rPr>
                <w:noProof/>
                <w:webHidden/>
              </w:rPr>
              <w:fldChar w:fldCharType="separate"/>
            </w:r>
            <w:r>
              <w:rPr>
                <w:noProof/>
                <w:webHidden/>
              </w:rPr>
              <w:t>15</w:t>
            </w:r>
            <w:r>
              <w:rPr>
                <w:noProof/>
                <w:webHidden/>
              </w:rPr>
              <w:fldChar w:fldCharType="end"/>
            </w:r>
          </w:hyperlink>
        </w:p>
        <w:p w14:paraId="00DEE2A0" w14:textId="2250DF80" w:rsidR="00D03829" w:rsidRDefault="00D03829">
          <w:pPr>
            <w:pStyle w:val="TM1"/>
            <w:tabs>
              <w:tab w:val="right" w:leader="dot" w:pos="9062"/>
            </w:tabs>
            <w:rPr>
              <w:rFonts w:asciiTheme="minorHAnsi" w:eastAsiaTheme="minorEastAsia" w:hAnsiTheme="minorHAnsi"/>
              <w:noProof/>
              <w:lang w:eastAsia="fr-FR"/>
            </w:rPr>
          </w:pPr>
          <w:hyperlink w:anchor="_Toc112070550" w:history="1">
            <w:r w:rsidRPr="008861D8">
              <w:rPr>
                <w:rStyle w:val="Lienhypertexte"/>
                <w:noProof/>
              </w:rPr>
              <w:t>Traitement de la donnée</w:t>
            </w:r>
            <w:r>
              <w:rPr>
                <w:noProof/>
                <w:webHidden/>
              </w:rPr>
              <w:tab/>
            </w:r>
            <w:r>
              <w:rPr>
                <w:noProof/>
                <w:webHidden/>
              </w:rPr>
              <w:fldChar w:fldCharType="begin"/>
            </w:r>
            <w:r>
              <w:rPr>
                <w:noProof/>
                <w:webHidden/>
              </w:rPr>
              <w:instrText xml:space="preserve"> PAGEREF _Toc112070550 \h </w:instrText>
            </w:r>
            <w:r>
              <w:rPr>
                <w:noProof/>
                <w:webHidden/>
              </w:rPr>
            </w:r>
            <w:r>
              <w:rPr>
                <w:noProof/>
                <w:webHidden/>
              </w:rPr>
              <w:fldChar w:fldCharType="separate"/>
            </w:r>
            <w:r>
              <w:rPr>
                <w:noProof/>
                <w:webHidden/>
              </w:rPr>
              <w:t>17</w:t>
            </w:r>
            <w:r>
              <w:rPr>
                <w:noProof/>
                <w:webHidden/>
              </w:rPr>
              <w:fldChar w:fldCharType="end"/>
            </w:r>
          </w:hyperlink>
        </w:p>
        <w:p w14:paraId="01A8C4C2" w14:textId="4D5712DB" w:rsidR="00D03829" w:rsidRDefault="00D03829">
          <w:pPr>
            <w:pStyle w:val="TM2"/>
            <w:tabs>
              <w:tab w:val="right" w:leader="dot" w:pos="9062"/>
            </w:tabs>
            <w:rPr>
              <w:rFonts w:asciiTheme="minorHAnsi" w:eastAsiaTheme="minorEastAsia" w:hAnsiTheme="minorHAnsi"/>
              <w:noProof/>
              <w:lang w:eastAsia="fr-FR"/>
            </w:rPr>
          </w:pPr>
          <w:hyperlink w:anchor="_Toc112070551" w:history="1">
            <w:r w:rsidRPr="008861D8">
              <w:rPr>
                <w:rStyle w:val="Lienhypertexte"/>
                <w:noProof/>
              </w:rPr>
              <w:t>Ciblage sur le risque arrêt de travail</w:t>
            </w:r>
            <w:r>
              <w:rPr>
                <w:noProof/>
                <w:webHidden/>
              </w:rPr>
              <w:tab/>
            </w:r>
            <w:r>
              <w:rPr>
                <w:noProof/>
                <w:webHidden/>
              </w:rPr>
              <w:fldChar w:fldCharType="begin"/>
            </w:r>
            <w:r>
              <w:rPr>
                <w:noProof/>
                <w:webHidden/>
              </w:rPr>
              <w:instrText xml:space="preserve"> PAGEREF _Toc112070551 \h </w:instrText>
            </w:r>
            <w:r>
              <w:rPr>
                <w:noProof/>
                <w:webHidden/>
              </w:rPr>
            </w:r>
            <w:r>
              <w:rPr>
                <w:noProof/>
                <w:webHidden/>
              </w:rPr>
              <w:fldChar w:fldCharType="separate"/>
            </w:r>
            <w:r>
              <w:rPr>
                <w:noProof/>
                <w:webHidden/>
              </w:rPr>
              <w:t>17</w:t>
            </w:r>
            <w:r>
              <w:rPr>
                <w:noProof/>
                <w:webHidden/>
              </w:rPr>
              <w:fldChar w:fldCharType="end"/>
            </w:r>
          </w:hyperlink>
        </w:p>
        <w:p w14:paraId="4290F588" w14:textId="7511D0E2" w:rsidR="00D03829" w:rsidRDefault="00D03829">
          <w:pPr>
            <w:pStyle w:val="TM2"/>
            <w:tabs>
              <w:tab w:val="right" w:leader="dot" w:pos="9062"/>
            </w:tabs>
            <w:rPr>
              <w:rFonts w:asciiTheme="minorHAnsi" w:eastAsiaTheme="minorEastAsia" w:hAnsiTheme="minorHAnsi"/>
              <w:noProof/>
              <w:lang w:eastAsia="fr-FR"/>
            </w:rPr>
          </w:pPr>
          <w:hyperlink w:anchor="_Toc112070552" w:history="1">
            <w:r w:rsidRPr="008861D8">
              <w:rPr>
                <w:rStyle w:val="Lienhypertexte"/>
                <w:noProof/>
              </w:rPr>
              <w:t>Quels choix a-t-on effectué pour le nettoyage de la base de données ?</w:t>
            </w:r>
            <w:r>
              <w:rPr>
                <w:noProof/>
                <w:webHidden/>
              </w:rPr>
              <w:tab/>
            </w:r>
            <w:r>
              <w:rPr>
                <w:noProof/>
                <w:webHidden/>
              </w:rPr>
              <w:fldChar w:fldCharType="begin"/>
            </w:r>
            <w:r>
              <w:rPr>
                <w:noProof/>
                <w:webHidden/>
              </w:rPr>
              <w:instrText xml:space="preserve"> PAGEREF _Toc112070552 \h </w:instrText>
            </w:r>
            <w:r>
              <w:rPr>
                <w:noProof/>
                <w:webHidden/>
              </w:rPr>
            </w:r>
            <w:r>
              <w:rPr>
                <w:noProof/>
                <w:webHidden/>
              </w:rPr>
              <w:fldChar w:fldCharType="separate"/>
            </w:r>
            <w:r>
              <w:rPr>
                <w:noProof/>
                <w:webHidden/>
              </w:rPr>
              <w:t>17</w:t>
            </w:r>
            <w:r>
              <w:rPr>
                <w:noProof/>
                <w:webHidden/>
              </w:rPr>
              <w:fldChar w:fldCharType="end"/>
            </w:r>
          </w:hyperlink>
        </w:p>
        <w:p w14:paraId="4E284A71" w14:textId="7FAE50B2" w:rsidR="00D03829" w:rsidRDefault="00D03829">
          <w:pPr>
            <w:pStyle w:val="TM2"/>
            <w:tabs>
              <w:tab w:val="right" w:leader="dot" w:pos="9062"/>
            </w:tabs>
            <w:rPr>
              <w:rFonts w:asciiTheme="minorHAnsi" w:eastAsiaTheme="minorEastAsia" w:hAnsiTheme="minorHAnsi"/>
              <w:noProof/>
              <w:lang w:eastAsia="fr-FR"/>
            </w:rPr>
          </w:pPr>
          <w:hyperlink w:anchor="_Toc112070553" w:history="1">
            <w:r w:rsidRPr="008861D8">
              <w:rPr>
                <w:rStyle w:val="Lienhypertexte"/>
                <w:noProof/>
              </w:rPr>
              <w:t>Variables d’étude à calculer</w:t>
            </w:r>
            <w:r>
              <w:rPr>
                <w:noProof/>
                <w:webHidden/>
              </w:rPr>
              <w:tab/>
            </w:r>
            <w:r>
              <w:rPr>
                <w:noProof/>
                <w:webHidden/>
              </w:rPr>
              <w:fldChar w:fldCharType="begin"/>
            </w:r>
            <w:r>
              <w:rPr>
                <w:noProof/>
                <w:webHidden/>
              </w:rPr>
              <w:instrText xml:space="preserve"> PAGEREF _Toc112070553 \h </w:instrText>
            </w:r>
            <w:r>
              <w:rPr>
                <w:noProof/>
                <w:webHidden/>
              </w:rPr>
            </w:r>
            <w:r>
              <w:rPr>
                <w:noProof/>
                <w:webHidden/>
              </w:rPr>
              <w:fldChar w:fldCharType="separate"/>
            </w:r>
            <w:r>
              <w:rPr>
                <w:noProof/>
                <w:webHidden/>
              </w:rPr>
              <w:t>18</w:t>
            </w:r>
            <w:r>
              <w:rPr>
                <w:noProof/>
                <w:webHidden/>
              </w:rPr>
              <w:fldChar w:fldCharType="end"/>
            </w:r>
          </w:hyperlink>
        </w:p>
        <w:p w14:paraId="7ABCAF15" w14:textId="20A3C0FD" w:rsidR="00D03829" w:rsidRDefault="00D03829">
          <w:pPr>
            <w:pStyle w:val="TM3"/>
            <w:tabs>
              <w:tab w:val="right" w:leader="dot" w:pos="9062"/>
            </w:tabs>
            <w:rPr>
              <w:rFonts w:asciiTheme="minorHAnsi" w:eastAsiaTheme="minorEastAsia" w:hAnsiTheme="minorHAnsi"/>
              <w:noProof/>
              <w:lang w:eastAsia="fr-FR"/>
            </w:rPr>
          </w:pPr>
          <w:hyperlink w:anchor="_Toc112070554" w:history="1">
            <w:r w:rsidRPr="008861D8">
              <w:rPr>
                <w:rStyle w:val="Lienhypertexte"/>
                <w:noProof/>
              </w:rPr>
              <w:t>Durée de l’arrêt de travail</w:t>
            </w:r>
            <w:r>
              <w:rPr>
                <w:noProof/>
                <w:webHidden/>
              </w:rPr>
              <w:tab/>
            </w:r>
            <w:r>
              <w:rPr>
                <w:noProof/>
                <w:webHidden/>
              </w:rPr>
              <w:fldChar w:fldCharType="begin"/>
            </w:r>
            <w:r>
              <w:rPr>
                <w:noProof/>
                <w:webHidden/>
              </w:rPr>
              <w:instrText xml:space="preserve"> PAGEREF _Toc112070554 \h </w:instrText>
            </w:r>
            <w:r>
              <w:rPr>
                <w:noProof/>
                <w:webHidden/>
              </w:rPr>
            </w:r>
            <w:r>
              <w:rPr>
                <w:noProof/>
                <w:webHidden/>
              </w:rPr>
              <w:fldChar w:fldCharType="separate"/>
            </w:r>
            <w:r>
              <w:rPr>
                <w:noProof/>
                <w:webHidden/>
              </w:rPr>
              <w:t>18</w:t>
            </w:r>
            <w:r>
              <w:rPr>
                <w:noProof/>
                <w:webHidden/>
              </w:rPr>
              <w:fldChar w:fldCharType="end"/>
            </w:r>
          </w:hyperlink>
        </w:p>
        <w:p w14:paraId="3395B742" w14:textId="6244E3A3" w:rsidR="00D03829" w:rsidRDefault="00D03829">
          <w:pPr>
            <w:pStyle w:val="TM3"/>
            <w:tabs>
              <w:tab w:val="right" w:leader="dot" w:pos="9062"/>
            </w:tabs>
            <w:rPr>
              <w:rFonts w:asciiTheme="minorHAnsi" w:eastAsiaTheme="minorEastAsia" w:hAnsiTheme="minorHAnsi"/>
              <w:noProof/>
              <w:lang w:eastAsia="fr-FR"/>
            </w:rPr>
          </w:pPr>
          <w:hyperlink w:anchor="_Toc112070555" w:history="1">
            <w:r w:rsidRPr="008861D8">
              <w:rPr>
                <w:rStyle w:val="Lienhypertexte"/>
                <w:noProof/>
              </w:rPr>
              <w:t>Taux d’absentéisme</w:t>
            </w:r>
            <w:r>
              <w:rPr>
                <w:noProof/>
                <w:webHidden/>
              </w:rPr>
              <w:tab/>
            </w:r>
            <w:r>
              <w:rPr>
                <w:noProof/>
                <w:webHidden/>
              </w:rPr>
              <w:fldChar w:fldCharType="begin"/>
            </w:r>
            <w:r>
              <w:rPr>
                <w:noProof/>
                <w:webHidden/>
              </w:rPr>
              <w:instrText xml:space="preserve"> PAGEREF _Toc112070555 \h </w:instrText>
            </w:r>
            <w:r>
              <w:rPr>
                <w:noProof/>
                <w:webHidden/>
              </w:rPr>
            </w:r>
            <w:r>
              <w:rPr>
                <w:noProof/>
                <w:webHidden/>
              </w:rPr>
              <w:fldChar w:fldCharType="separate"/>
            </w:r>
            <w:r>
              <w:rPr>
                <w:noProof/>
                <w:webHidden/>
              </w:rPr>
              <w:t>18</w:t>
            </w:r>
            <w:r>
              <w:rPr>
                <w:noProof/>
                <w:webHidden/>
              </w:rPr>
              <w:fldChar w:fldCharType="end"/>
            </w:r>
          </w:hyperlink>
        </w:p>
        <w:p w14:paraId="11A437EB" w14:textId="4316487A" w:rsidR="00D03829" w:rsidRDefault="00D03829">
          <w:pPr>
            <w:pStyle w:val="TM1"/>
            <w:tabs>
              <w:tab w:val="right" w:leader="dot" w:pos="9062"/>
            </w:tabs>
            <w:rPr>
              <w:rFonts w:asciiTheme="minorHAnsi" w:eastAsiaTheme="minorEastAsia" w:hAnsiTheme="minorHAnsi"/>
              <w:noProof/>
              <w:lang w:eastAsia="fr-FR"/>
            </w:rPr>
          </w:pPr>
          <w:hyperlink w:anchor="_Toc112070556" w:history="1">
            <w:r w:rsidRPr="008861D8">
              <w:rPr>
                <w:rStyle w:val="Lienhypertexte"/>
                <w:noProof/>
              </w:rPr>
              <w:t>Analyse descriptive</w:t>
            </w:r>
            <w:r>
              <w:rPr>
                <w:noProof/>
                <w:webHidden/>
              </w:rPr>
              <w:tab/>
            </w:r>
            <w:r>
              <w:rPr>
                <w:noProof/>
                <w:webHidden/>
              </w:rPr>
              <w:fldChar w:fldCharType="begin"/>
            </w:r>
            <w:r>
              <w:rPr>
                <w:noProof/>
                <w:webHidden/>
              </w:rPr>
              <w:instrText xml:space="preserve"> PAGEREF _Toc112070556 \h </w:instrText>
            </w:r>
            <w:r>
              <w:rPr>
                <w:noProof/>
                <w:webHidden/>
              </w:rPr>
            </w:r>
            <w:r>
              <w:rPr>
                <w:noProof/>
                <w:webHidden/>
              </w:rPr>
              <w:fldChar w:fldCharType="separate"/>
            </w:r>
            <w:r>
              <w:rPr>
                <w:noProof/>
                <w:webHidden/>
              </w:rPr>
              <w:t>19</w:t>
            </w:r>
            <w:r>
              <w:rPr>
                <w:noProof/>
                <w:webHidden/>
              </w:rPr>
              <w:fldChar w:fldCharType="end"/>
            </w:r>
          </w:hyperlink>
        </w:p>
        <w:p w14:paraId="6401FD26" w14:textId="79CDB5A8" w:rsidR="00D03829" w:rsidRDefault="00D03829">
          <w:pPr>
            <w:pStyle w:val="TM1"/>
            <w:tabs>
              <w:tab w:val="right" w:leader="dot" w:pos="9062"/>
            </w:tabs>
            <w:rPr>
              <w:rFonts w:asciiTheme="minorHAnsi" w:eastAsiaTheme="minorEastAsia" w:hAnsiTheme="minorHAnsi"/>
              <w:noProof/>
              <w:lang w:eastAsia="fr-FR"/>
            </w:rPr>
          </w:pPr>
          <w:hyperlink w:anchor="_Toc112070557" w:history="1">
            <w:r w:rsidRPr="008861D8">
              <w:rPr>
                <w:rStyle w:val="Lienhypertexte"/>
                <w:noProof/>
              </w:rPr>
              <w:t>Construction d’une base de données agrégée en vue du calcul du taux d’absentéisme</w:t>
            </w:r>
            <w:r>
              <w:rPr>
                <w:noProof/>
                <w:webHidden/>
              </w:rPr>
              <w:tab/>
            </w:r>
            <w:r>
              <w:rPr>
                <w:noProof/>
                <w:webHidden/>
              </w:rPr>
              <w:fldChar w:fldCharType="begin"/>
            </w:r>
            <w:r>
              <w:rPr>
                <w:noProof/>
                <w:webHidden/>
              </w:rPr>
              <w:instrText xml:space="preserve"> PAGEREF _Toc112070557 \h </w:instrText>
            </w:r>
            <w:r>
              <w:rPr>
                <w:noProof/>
                <w:webHidden/>
              </w:rPr>
            </w:r>
            <w:r>
              <w:rPr>
                <w:noProof/>
                <w:webHidden/>
              </w:rPr>
              <w:fldChar w:fldCharType="separate"/>
            </w:r>
            <w:r>
              <w:rPr>
                <w:noProof/>
                <w:webHidden/>
              </w:rPr>
              <w:t>20</w:t>
            </w:r>
            <w:r>
              <w:rPr>
                <w:noProof/>
                <w:webHidden/>
              </w:rPr>
              <w:fldChar w:fldCharType="end"/>
            </w:r>
          </w:hyperlink>
        </w:p>
        <w:p w14:paraId="3B597F49" w14:textId="54436D33" w:rsidR="00D03829" w:rsidRDefault="00D03829">
          <w:pPr>
            <w:pStyle w:val="TM1"/>
            <w:tabs>
              <w:tab w:val="right" w:leader="dot" w:pos="9062"/>
            </w:tabs>
            <w:rPr>
              <w:rFonts w:asciiTheme="minorHAnsi" w:eastAsiaTheme="minorEastAsia" w:hAnsiTheme="minorHAnsi"/>
              <w:noProof/>
              <w:lang w:eastAsia="fr-FR"/>
            </w:rPr>
          </w:pPr>
          <w:hyperlink w:anchor="_Toc112070558" w:history="1">
            <w:r w:rsidRPr="008861D8">
              <w:rPr>
                <w:rStyle w:val="Lienhypertexte"/>
                <w:noProof/>
              </w:rPr>
              <w:t>Aspect théorique des modèles linéaires généralisés</w:t>
            </w:r>
            <w:r>
              <w:rPr>
                <w:noProof/>
                <w:webHidden/>
              </w:rPr>
              <w:tab/>
            </w:r>
            <w:r>
              <w:rPr>
                <w:noProof/>
                <w:webHidden/>
              </w:rPr>
              <w:fldChar w:fldCharType="begin"/>
            </w:r>
            <w:r>
              <w:rPr>
                <w:noProof/>
                <w:webHidden/>
              </w:rPr>
              <w:instrText xml:space="preserve"> PAGEREF _Toc112070558 \h </w:instrText>
            </w:r>
            <w:r>
              <w:rPr>
                <w:noProof/>
                <w:webHidden/>
              </w:rPr>
            </w:r>
            <w:r>
              <w:rPr>
                <w:noProof/>
                <w:webHidden/>
              </w:rPr>
              <w:fldChar w:fldCharType="separate"/>
            </w:r>
            <w:r>
              <w:rPr>
                <w:noProof/>
                <w:webHidden/>
              </w:rPr>
              <w:t>21</w:t>
            </w:r>
            <w:r>
              <w:rPr>
                <w:noProof/>
                <w:webHidden/>
              </w:rPr>
              <w:fldChar w:fldCharType="end"/>
            </w:r>
          </w:hyperlink>
        </w:p>
        <w:p w14:paraId="7374DD3F" w14:textId="5D8E610F" w:rsidR="00D03829" w:rsidRDefault="00D03829">
          <w:pPr>
            <w:pStyle w:val="TM2"/>
            <w:tabs>
              <w:tab w:val="right" w:leader="dot" w:pos="9062"/>
            </w:tabs>
            <w:rPr>
              <w:rFonts w:asciiTheme="minorHAnsi" w:eastAsiaTheme="minorEastAsia" w:hAnsiTheme="minorHAnsi"/>
              <w:noProof/>
              <w:lang w:eastAsia="fr-FR"/>
            </w:rPr>
          </w:pPr>
          <w:hyperlink w:anchor="_Toc112070559" w:history="1">
            <w:r w:rsidRPr="008861D8">
              <w:rPr>
                <w:rStyle w:val="Lienhypertexte"/>
                <w:noProof/>
              </w:rPr>
              <w:t>Intérêt des modèles linéaires généralisés</w:t>
            </w:r>
            <w:r>
              <w:rPr>
                <w:noProof/>
                <w:webHidden/>
              </w:rPr>
              <w:tab/>
            </w:r>
            <w:r>
              <w:rPr>
                <w:noProof/>
                <w:webHidden/>
              </w:rPr>
              <w:fldChar w:fldCharType="begin"/>
            </w:r>
            <w:r>
              <w:rPr>
                <w:noProof/>
                <w:webHidden/>
              </w:rPr>
              <w:instrText xml:space="preserve"> PAGEREF _Toc112070559 \h </w:instrText>
            </w:r>
            <w:r>
              <w:rPr>
                <w:noProof/>
                <w:webHidden/>
              </w:rPr>
            </w:r>
            <w:r>
              <w:rPr>
                <w:noProof/>
                <w:webHidden/>
              </w:rPr>
              <w:fldChar w:fldCharType="separate"/>
            </w:r>
            <w:r>
              <w:rPr>
                <w:noProof/>
                <w:webHidden/>
              </w:rPr>
              <w:t>21</w:t>
            </w:r>
            <w:r>
              <w:rPr>
                <w:noProof/>
                <w:webHidden/>
              </w:rPr>
              <w:fldChar w:fldCharType="end"/>
            </w:r>
          </w:hyperlink>
        </w:p>
        <w:p w14:paraId="6558AFE6" w14:textId="2FA49411" w:rsidR="00D03829" w:rsidRDefault="00D03829">
          <w:pPr>
            <w:pStyle w:val="TM2"/>
            <w:tabs>
              <w:tab w:val="right" w:leader="dot" w:pos="9062"/>
            </w:tabs>
            <w:rPr>
              <w:rFonts w:asciiTheme="minorHAnsi" w:eastAsiaTheme="minorEastAsia" w:hAnsiTheme="minorHAnsi"/>
              <w:noProof/>
              <w:lang w:eastAsia="fr-FR"/>
            </w:rPr>
          </w:pPr>
          <w:hyperlink w:anchor="_Toc112070560" w:history="1">
            <w:r w:rsidRPr="008861D8">
              <w:rPr>
                <w:rStyle w:val="Lienhypertexte"/>
                <w:noProof/>
              </w:rPr>
              <w:t>Principe des GLM</w:t>
            </w:r>
            <w:r>
              <w:rPr>
                <w:noProof/>
                <w:webHidden/>
              </w:rPr>
              <w:tab/>
            </w:r>
            <w:r>
              <w:rPr>
                <w:noProof/>
                <w:webHidden/>
              </w:rPr>
              <w:fldChar w:fldCharType="begin"/>
            </w:r>
            <w:r>
              <w:rPr>
                <w:noProof/>
                <w:webHidden/>
              </w:rPr>
              <w:instrText xml:space="preserve"> PAGEREF _Toc112070560 \h </w:instrText>
            </w:r>
            <w:r>
              <w:rPr>
                <w:noProof/>
                <w:webHidden/>
              </w:rPr>
            </w:r>
            <w:r>
              <w:rPr>
                <w:noProof/>
                <w:webHidden/>
              </w:rPr>
              <w:fldChar w:fldCharType="separate"/>
            </w:r>
            <w:r>
              <w:rPr>
                <w:noProof/>
                <w:webHidden/>
              </w:rPr>
              <w:t>22</w:t>
            </w:r>
            <w:r>
              <w:rPr>
                <w:noProof/>
                <w:webHidden/>
              </w:rPr>
              <w:fldChar w:fldCharType="end"/>
            </w:r>
          </w:hyperlink>
        </w:p>
        <w:p w14:paraId="1660E7B2" w14:textId="51152783" w:rsidR="00D03829" w:rsidRDefault="00D03829">
          <w:pPr>
            <w:pStyle w:val="TM3"/>
            <w:tabs>
              <w:tab w:val="right" w:leader="dot" w:pos="9062"/>
            </w:tabs>
            <w:rPr>
              <w:rFonts w:asciiTheme="minorHAnsi" w:eastAsiaTheme="minorEastAsia" w:hAnsiTheme="minorHAnsi"/>
              <w:noProof/>
              <w:lang w:eastAsia="fr-FR"/>
            </w:rPr>
          </w:pPr>
          <w:hyperlink w:anchor="_Toc112070561" w:history="1">
            <w:r w:rsidRPr="008861D8">
              <w:rPr>
                <w:rStyle w:val="Lienhypertexte"/>
                <w:noProof/>
              </w:rPr>
              <w:t>Composant d’un GLM :</w:t>
            </w:r>
            <w:r>
              <w:rPr>
                <w:noProof/>
                <w:webHidden/>
              </w:rPr>
              <w:tab/>
            </w:r>
            <w:r>
              <w:rPr>
                <w:noProof/>
                <w:webHidden/>
              </w:rPr>
              <w:fldChar w:fldCharType="begin"/>
            </w:r>
            <w:r>
              <w:rPr>
                <w:noProof/>
                <w:webHidden/>
              </w:rPr>
              <w:instrText xml:space="preserve"> PAGEREF _Toc112070561 \h </w:instrText>
            </w:r>
            <w:r>
              <w:rPr>
                <w:noProof/>
                <w:webHidden/>
              </w:rPr>
            </w:r>
            <w:r>
              <w:rPr>
                <w:noProof/>
                <w:webHidden/>
              </w:rPr>
              <w:fldChar w:fldCharType="separate"/>
            </w:r>
            <w:r>
              <w:rPr>
                <w:noProof/>
                <w:webHidden/>
              </w:rPr>
              <w:t>22</w:t>
            </w:r>
            <w:r>
              <w:rPr>
                <w:noProof/>
                <w:webHidden/>
              </w:rPr>
              <w:fldChar w:fldCharType="end"/>
            </w:r>
          </w:hyperlink>
        </w:p>
        <w:p w14:paraId="1EA542AD" w14:textId="747048DB" w:rsidR="00D03829" w:rsidRDefault="00D03829">
          <w:pPr>
            <w:pStyle w:val="TM3"/>
            <w:tabs>
              <w:tab w:val="right" w:leader="dot" w:pos="9062"/>
            </w:tabs>
            <w:rPr>
              <w:rFonts w:asciiTheme="minorHAnsi" w:eastAsiaTheme="minorEastAsia" w:hAnsiTheme="minorHAnsi"/>
              <w:noProof/>
              <w:lang w:eastAsia="fr-FR"/>
            </w:rPr>
          </w:pPr>
          <w:hyperlink w:anchor="_Toc112070562" w:history="1">
            <w:r w:rsidRPr="008861D8">
              <w:rPr>
                <w:rStyle w:val="Lienhypertexte"/>
                <w:noProof/>
              </w:rPr>
              <w:t>Modèle gaussien :</w:t>
            </w:r>
            <w:r>
              <w:rPr>
                <w:noProof/>
                <w:webHidden/>
              </w:rPr>
              <w:tab/>
            </w:r>
            <w:r>
              <w:rPr>
                <w:noProof/>
                <w:webHidden/>
              </w:rPr>
              <w:fldChar w:fldCharType="begin"/>
            </w:r>
            <w:r>
              <w:rPr>
                <w:noProof/>
                <w:webHidden/>
              </w:rPr>
              <w:instrText xml:space="preserve"> PAGEREF _Toc112070562 \h </w:instrText>
            </w:r>
            <w:r>
              <w:rPr>
                <w:noProof/>
                <w:webHidden/>
              </w:rPr>
            </w:r>
            <w:r>
              <w:rPr>
                <w:noProof/>
                <w:webHidden/>
              </w:rPr>
              <w:fldChar w:fldCharType="separate"/>
            </w:r>
            <w:r>
              <w:rPr>
                <w:noProof/>
                <w:webHidden/>
              </w:rPr>
              <w:t>23</w:t>
            </w:r>
            <w:r>
              <w:rPr>
                <w:noProof/>
                <w:webHidden/>
              </w:rPr>
              <w:fldChar w:fldCharType="end"/>
            </w:r>
          </w:hyperlink>
        </w:p>
        <w:p w14:paraId="44FBA45D" w14:textId="05B54CDF" w:rsidR="00D03829" w:rsidRDefault="00D03829">
          <w:pPr>
            <w:pStyle w:val="TM3"/>
            <w:tabs>
              <w:tab w:val="right" w:leader="dot" w:pos="9062"/>
            </w:tabs>
            <w:rPr>
              <w:rFonts w:asciiTheme="minorHAnsi" w:eastAsiaTheme="minorEastAsia" w:hAnsiTheme="minorHAnsi"/>
              <w:noProof/>
              <w:lang w:eastAsia="fr-FR"/>
            </w:rPr>
          </w:pPr>
          <w:hyperlink w:anchor="_Toc112070563" w:history="1">
            <w:r w:rsidRPr="008861D8">
              <w:rPr>
                <w:rStyle w:val="Lienhypertexte"/>
                <w:noProof/>
              </w:rPr>
              <w:t>Modèle de Poisson :</w:t>
            </w:r>
            <w:r>
              <w:rPr>
                <w:noProof/>
                <w:webHidden/>
              </w:rPr>
              <w:tab/>
            </w:r>
            <w:r>
              <w:rPr>
                <w:noProof/>
                <w:webHidden/>
              </w:rPr>
              <w:fldChar w:fldCharType="begin"/>
            </w:r>
            <w:r>
              <w:rPr>
                <w:noProof/>
                <w:webHidden/>
              </w:rPr>
              <w:instrText xml:space="preserve"> PAGEREF _Toc112070563 \h </w:instrText>
            </w:r>
            <w:r>
              <w:rPr>
                <w:noProof/>
                <w:webHidden/>
              </w:rPr>
            </w:r>
            <w:r>
              <w:rPr>
                <w:noProof/>
                <w:webHidden/>
              </w:rPr>
              <w:fldChar w:fldCharType="separate"/>
            </w:r>
            <w:r>
              <w:rPr>
                <w:noProof/>
                <w:webHidden/>
              </w:rPr>
              <w:t>24</w:t>
            </w:r>
            <w:r>
              <w:rPr>
                <w:noProof/>
                <w:webHidden/>
              </w:rPr>
              <w:fldChar w:fldCharType="end"/>
            </w:r>
          </w:hyperlink>
        </w:p>
        <w:p w14:paraId="04DD6280" w14:textId="2986B9D6" w:rsidR="00D03829" w:rsidRDefault="00D03829">
          <w:pPr>
            <w:pStyle w:val="TM3"/>
            <w:tabs>
              <w:tab w:val="right" w:leader="dot" w:pos="9062"/>
            </w:tabs>
            <w:rPr>
              <w:rFonts w:asciiTheme="minorHAnsi" w:eastAsiaTheme="minorEastAsia" w:hAnsiTheme="minorHAnsi"/>
              <w:noProof/>
              <w:lang w:eastAsia="fr-FR"/>
            </w:rPr>
          </w:pPr>
          <w:hyperlink w:anchor="_Toc112070564" w:history="1">
            <w:r w:rsidRPr="008861D8">
              <w:rPr>
                <w:rStyle w:val="Lienhypertexte"/>
                <w:noProof/>
              </w:rPr>
              <w:t>Modèle Tweedie :</w:t>
            </w:r>
            <w:r>
              <w:rPr>
                <w:noProof/>
                <w:webHidden/>
              </w:rPr>
              <w:tab/>
            </w:r>
            <w:r>
              <w:rPr>
                <w:noProof/>
                <w:webHidden/>
              </w:rPr>
              <w:fldChar w:fldCharType="begin"/>
            </w:r>
            <w:r>
              <w:rPr>
                <w:noProof/>
                <w:webHidden/>
              </w:rPr>
              <w:instrText xml:space="preserve"> PAGEREF _Toc112070564 \h </w:instrText>
            </w:r>
            <w:r>
              <w:rPr>
                <w:noProof/>
                <w:webHidden/>
              </w:rPr>
            </w:r>
            <w:r>
              <w:rPr>
                <w:noProof/>
                <w:webHidden/>
              </w:rPr>
              <w:fldChar w:fldCharType="separate"/>
            </w:r>
            <w:r>
              <w:rPr>
                <w:noProof/>
                <w:webHidden/>
              </w:rPr>
              <w:t>25</w:t>
            </w:r>
            <w:r>
              <w:rPr>
                <w:noProof/>
                <w:webHidden/>
              </w:rPr>
              <w:fldChar w:fldCharType="end"/>
            </w:r>
          </w:hyperlink>
        </w:p>
        <w:p w14:paraId="3C186C64" w14:textId="377EDB58" w:rsidR="00D03829" w:rsidRDefault="00D03829">
          <w:pPr>
            <w:pStyle w:val="TM2"/>
            <w:tabs>
              <w:tab w:val="right" w:leader="dot" w:pos="9062"/>
            </w:tabs>
            <w:rPr>
              <w:rFonts w:asciiTheme="minorHAnsi" w:eastAsiaTheme="minorEastAsia" w:hAnsiTheme="minorHAnsi"/>
              <w:noProof/>
              <w:lang w:eastAsia="fr-FR"/>
            </w:rPr>
          </w:pPr>
          <w:hyperlink w:anchor="_Toc112070565" w:history="1">
            <w:r w:rsidRPr="008861D8">
              <w:rPr>
                <w:rStyle w:val="Lienhypertexte"/>
                <w:noProof/>
              </w:rPr>
              <w:t>Validation d’un modèle GLM :</w:t>
            </w:r>
            <w:r>
              <w:rPr>
                <w:noProof/>
                <w:webHidden/>
              </w:rPr>
              <w:tab/>
            </w:r>
            <w:r>
              <w:rPr>
                <w:noProof/>
                <w:webHidden/>
              </w:rPr>
              <w:fldChar w:fldCharType="begin"/>
            </w:r>
            <w:r>
              <w:rPr>
                <w:noProof/>
                <w:webHidden/>
              </w:rPr>
              <w:instrText xml:space="preserve"> PAGEREF _Toc112070565 \h </w:instrText>
            </w:r>
            <w:r>
              <w:rPr>
                <w:noProof/>
                <w:webHidden/>
              </w:rPr>
            </w:r>
            <w:r>
              <w:rPr>
                <w:noProof/>
                <w:webHidden/>
              </w:rPr>
              <w:fldChar w:fldCharType="separate"/>
            </w:r>
            <w:r>
              <w:rPr>
                <w:noProof/>
                <w:webHidden/>
              </w:rPr>
              <w:t>26</w:t>
            </w:r>
            <w:r>
              <w:rPr>
                <w:noProof/>
                <w:webHidden/>
              </w:rPr>
              <w:fldChar w:fldCharType="end"/>
            </w:r>
          </w:hyperlink>
        </w:p>
        <w:p w14:paraId="10031265" w14:textId="5CF1B56E" w:rsidR="00D03829" w:rsidRDefault="00D03829">
          <w:pPr>
            <w:pStyle w:val="TM3"/>
            <w:tabs>
              <w:tab w:val="right" w:leader="dot" w:pos="9062"/>
            </w:tabs>
            <w:rPr>
              <w:rFonts w:asciiTheme="minorHAnsi" w:eastAsiaTheme="minorEastAsia" w:hAnsiTheme="minorHAnsi"/>
              <w:noProof/>
              <w:lang w:eastAsia="fr-FR"/>
            </w:rPr>
          </w:pPr>
          <w:hyperlink w:anchor="_Toc112070566" w:history="1">
            <w:r w:rsidRPr="008861D8">
              <w:rPr>
                <w:rStyle w:val="Lienhypertexte"/>
                <w:noProof/>
              </w:rPr>
              <w:t>Validation croisée (k-fold)</w:t>
            </w:r>
            <w:r>
              <w:rPr>
                <w:noProof/>
                <w:webHidden/>
              </w:rPr>
              <w:tab/>
            </w:r>
            <w:r>
              <w:rPr>
                <w:noProof/>
                <w:webHidden/>
              </w:rPr>
              <w:fldChar w:fldCharType="begin"/>
            </w:r>
            <w:r>
              <w:rPr>
                <w:noProof/>
                <w:webHidden/>
              </w:rPr>
              <w:instrText xml:space="preserve"> PAGEREF _Toc112070566 \h </w:instrText>
            </w:r>
            <w:r>
              <w:rPr>
                <w:noProof/>
                <w:webHidden/>
              </w:rPr>
            </w:r>
            <w:r>
              <w:rPr>
                <w:noProof/>
                <w:webHidden/>
              </w:rPr>
              <w:fldChar w:fldCharType="separate"/>
            </w:r>
            <w:r>
              <w:rPr>
                <w:noProof/>
                <w:webHidden/>
              </w:rPr>
              <w:t>26</w:t>
            </w:r>
            <w:r>
              <w:rPr>
                <w:noProof/>
                <w:webHidden/>
              </w:rPr>
              <w:fldChar w:fldCharType="end"/>
            </w:r>
          </w:hyperlink>
        </w:p>
        <w:p w14:paraId="60E56CE7" w14:textId="08DF15F4" w:rsidR="00D03829" w:rsidRDefault="00D03829">
          <w:pPr>
            <w:pStyle w:val="TM3"/>
            <w:tabs>
              <w:tab w:val="right" w:leader="dot" w:pos="9062"/>
            </w:tabs>
            <w:rPr>
              <w:rFonts w:asciiTheme="minorHAnsi" w:eastAsiaTheme="minorEastAsia" w:hAnsiTheme="minorHAnsi"/>
              <w:noProof/>
              <w:lang w:eastAsia="fr-FR"/>
            </w:rPr>
          </w:pPr>
          <w:hyperlink w:anchor="_Toc112070567" w:history="1">
            <w:r w:rsidRPr="008861D8">
              <w:rPr>
                <w:rStyle w:val="Lienhypertexte"/>
                <w:noProof/>
              </w:rPr>
              <w:t>Validation de la significativité globale du modèle</w:t>
            </w:r>
            <w:r>
              <w:rPr>
                <w:noProof/>
                <w:webHidden/>
              </w:rPr>
              <w:tab/>
            </w:r>
            <w:r>
              <w:rPr>
                <w:noProof/>
                <w:webHidden/>
              </w:rPr>
              <w:fldChar w:fldCharType="begin"/>
            </w:r>
            <w:r>
              <w:rPr>
                <w:noProof/>
                <w:webHidden/>
              </w:rPr>
              <w:instrText xml:space="preserve"> PAGEREF _Toc112070567 \h </w:instrText>
            </w:r>
            <w:r>
              <w:rPr>
                <w:noProof/>
                <w:webHidden/>
              </w:rPr>
            </w:r>
            <w:r>
              <w:rPr>
                <w:noProof/>
                <w:webHidden/>
              </w:rPr>
              <w:fldChar w:fldCharType="separate"/>
            </w:r>
            <w:r>
              <w:rPr>
                <w:noProof/>
                <w:webHidden/>
              </w:rPr>
              <w:t>27</w:t>
            </w:r>
            <w:r>
              <w:rPr>
                <w:noProof/>
                <w:webHidden/>
              </w:rPr>
              <w:fldChar w:fldCharType="end"/>
            </w:r>
          </w:hyperlink>
        </w:p>
        <w:p w14:paraId="5C8FCD4E" w14:textId="51AEB76D" w:rsidR="00D03829" w:rsidRDefault="00D03829">
          <w:pPr>
            <w:pStyle w:val="TM3"/>
            <w:tabs>
              <w:tab w:val="right" w:leader="dot" w:pos="9062"/>
            </w:tabs>
            <w:rPr>
              <w:rFonts w:asciiTheme="minorHAnsi" w:eastAsiaTheme="minorEastAsia" w:hAnsiTheme="minorHAnsi"/>
              <w:noProof/>
              <w:lang w:eastAsia="fr-FR"/>
            </w:rPr>
          </w:pPr>
          <w:hyperlink w:anchor="_Toc112070568" w:history="1">
            <w:r w:rsidRPr="008861D8">
              <w:rPr>
                <w:rStyle w:val="Lienhypertexte"/>
                <w:noProof/>
              </w:rPr>
              <w:t>Validation de la significativité individuelle des coefficients de la régression</w:t>
            </w:r>
            <w:r>
              <w:rPr>
                <w:noProof/>
                <w:webHidden/>
              </w:rPr>
              <w:tab/>
            </w:r>
            <w:r>
              <w:rPr>
                <w:noProof/>
                <w:webHidden/>
              </w:rPr>
              <w:fldChar w:fldCharType="begin"/>
            </w:r>
            <w:r>
              <w:rPr>
                <w:noProof/>
                <w:webHidden/>
              </w:rPr>
              <w:instrText xml:space="preserve"> PAGEREF _Toc112070568 \h </w:instrText>
            </w:r>
            <w:r>
              <w:rPr>
                <w:noProof/>
                <w:webHidden/>
              </w:rPr>
            </w:r>
            <w:r>
              <w:rPr>
                <w:noProof/>
                <w:webHidden/>
              </w:rPr>
              <w:fldChar w:fldCharType="separate"/>
            </w:r>
            <w:r>
              <w:rPr>
                <w:noProof/>
                <w:webHidden/>
              </w:rPr>
              <w:t>28</w:t>
            </w:r>
            <w:r>
              <w:rPr>
                <w:noProof/>
                <w:webHidden/>
              </w:rPr>
              <w:fldChar w:fldCharType="end"/>
            </w:r>
          </w:hyperlink>
        </w:p>
        <w:p w14:paraId="13C41F0D" w14:textId="602223A8" w:rsidR="00D03829" w:rsidRDefault="00D03829">
          <w:pPr>
            <w:pStyle w:val="TM3"/>
            <w:tabs>
              <w:tab w:val="right" w:leader="dot" w:pos="9062"/>
            </w:tabs>
            <w:rPr>
              <w:rFonts w:asciiTheme="minorHAnsi" w:eastAsiaTheme="minorEastAsia" w:hAnsiTheme="minorHAnsi"/>
              <w:noProof/>
              <w:lang w:eastAsia="fr-FR"/>
            </w:rPr>
          </w:pPr>
          <w:hyperlink w:anchor="_Toc112070569" w:history="1">
            <w:r w:rsidRPr="008861D8">
              <w:rPr>
                <w:rStyle w:val="Lienhypertexte"/>
                <w:noProof/>
              </w:rPr>
              <w:t>Etude des résidus</w:t>
            </w:r>
            <w:r>
              <w:rPr>
                <w:noProof/>
                <w:webHidden/>
              </w:rPr>
              <w:tab/>
            </w:r>
            <w:r>
              <w:rPr>
                <w:noProof/>
                <w:webHidden/>
              </w:rPr>
              <w:fldChar w:fldCharType="begin"/>
            </w:r>
            <w:r>
              <w:rPr>
                <w:noProof/>
                <w:webHidden/>
              </w:rPr>
              <w:instrText xml:space="preserve"> PAGEREF _Toc112070569 \h </w:instrText>
            </w:r>
            <w:r>
              <w:rPr>
                <w:noProof/>
                <w:webHidden/>
              </w:rPr>
            </w:r>
            <w:r>
              <w:rPr>
                <w:noProof/>
                <w:webHidden/>
              </w:rPr>
              <w:fldChar w:fldCharType="separate"/>
            </w:r>
            <w:r>
              <w:rPr>
                <w:noProof/>
                <w:webHidden/>
              </w:rPr>
              <w:t>29</w:t>
            </w:r>
            <w:r>
              <w:rPr>
                <w:noProof/>
                <w:webHidden/>
              </w:rPr>
              <w:fldChar w:fldCharType="end"/>
            </w:r>
          </w:hyperlink>
        </w:p>
        <w:p w14:paraId="65E7F6E9" w14:textId="33F55073" w:rsidR="00D03829" w:rsidRDefault="00D03829">
          <w:pPr>
            <w:pStyle w:val="TM3"/>
            <w:tabs>
              <w:tab w:val="right" w:leader="dot" w:pos="9062"/>
            </w:tabs>
            <w:rPr>
              <w:rFonts w:asciiTheme="minorHAnsi" w:eastAsiaTheme="minorEastAsia" w:hAnsiTheme="minorHAnsi"/>
              <w:noProof/>
              <w:lang w:eastAsia="fr-FR"/>
            </w:rPr>
          </w:pPr>
          <w:hyperlink w:anchor="_Toc112070570" w:history="1">
            <w:r w:rsidRPr="008861D8">
              <w:rPr>
                <w:rStyle w:val="Lienhypertexte"/>
                <w:noProof/>
              </w:rPr>
              <w:t>Comparaison des résultats du modèle et des résultats observés</w:t>
            </w:r>
            <w:r>
              <w:rPr>
                <w:noProof/>
                <w:webHidden/>
              </w:rPr>
              <w:tab/>
            </w:r>
            <w:r>
              <w:rPr>
                <w:noProof/>
                <w:webHidden/>
              </w:rPr>
              <w:fldChar w:fldCharType="begin"/>
            </w:r>
            <w:r>
              <w:rPr>
                <w:noProof/>
                <w:webHidden/>
              </w:rPr>
              <w:instrText xml:space="preserve"> PAGEREF _Toc112070570 \h </w:instrText>
            </w:r>
            <w:r>
              <w:rPr>
                <w:noProof/>
                <w:webHidden/>
              </w:rPr>
            </w:r>
            <w:r>
              <w:rPr>
                <w:noProof/>
                <w:webHidden/>
              </w:rPr>
              <w:fldChar w:fldCharType="separate"/>
            </w:r>
            <w:r>
              <w:rPr>
                <w:noProof/>
                <w:webHidden/>
              </w:rPr>
              <w:t>30</w:t>
            </w:r>
            <w:r>
              <w:rPr>
                <w:noProof/>
                <w:webHidden/>
              </w:rPr>
              <w:fldChar w:fldCharType="end"/>
            </w:r>
          </w:hyperlink>
        </w:p>
        <w:p w14:paraId="6169CD4F" w14:textId="2263E692" w:rsidR="00A103B7" w:rsidRDefault="00A103B7">
          <w:r>
            <w:rPr>
              <w:b/>
              <w:bCs/>
            </w:rPr>
            <w:fldChar w:fldCharType="end"/>
          </w:r>
        </w:p>
      </w:sdtContent>
    </w:sdt>
    <w:p w14:paraId="16DA07E4" w14:textId="79020D5B" w:rsidR="00A103B7" w:rsidRDefault="00A103B7">
      <w:r>
        <w:br w:type="page"/>
      </w:r>
    </w:p>
    <w:p w14:paraId="1EA448A1" w14:textId="61400B47" w:rsidR="00A103B7" w:rsidRDefault="00A103B7" w:rsidP="00163B1C">
      <w:pPr>
        <w:pStyle w:val="Titre1"/>
      </w:pPr>
      <w:bookmarkStart w:id="0" w:name="_Toc112070534"/>
      <w:r w:rsidRPr="009212F2">
        <w:lastRenderedPageBreak/>
        <w:t>Le risque arrêt de travail dans le contexte de l’assurance collective</w:t>
      </w:r>
      <w:bookmarkEnd w:id="0"/>
    </w:p>
    <w:p w14:paraId="70FD84F2" w14:textId="77777777" w:rsidR="00296E07" w:rsidRPr="00296E07" w:rsidRDefault="00296E07" w:rsidP="00296E07"/>
    <w:p w14:paraId="5B5741F6" w14:textId="759FE010" w:rsidR="00296E07" w:rsidRDefault="00296E07" w:rsidP="00296E07">
      <w:r>
        <w:t xml:space="preserve">Dans le cadre de l’étude, nous avons pour objectif d’étudier et de modéliser l’absentéisme sur le portefeuille collectif de Generali Vie. Pour introduire ce vaste sujet, il est naturel de tout d’abord présenter le système de protection sociale français, présentation qui nous amènera à </w:t>
      </w:r>
      <w:r w:rsidR="00214899">
        <w:t>aborder les</w:t>
      </w:r>
      <w:r>
        <w:t xml:space="preserve"> spécificités de la prévoyance collective, </w:t>
      </w:r>
      <w:r w:rsidR="00214899">
        <w:t>ensuite</w:t>
      </w:r>
      <w:r>
        <w:t xml:space="preserve"> à l’aide d’une définition détaillé du concept d’absentéisme en entreprise et des notions actuarielles </w:t>
      </w:r>
      <w:r w:rsidR="00214899">
        <w:t>autour de l’arrêt de travail, nous expliciterons les enjeux et l’importance de l’établissement d’un baromètre de l’absentéisme sur un portefeuille d’assurance collective.</w:t>
      </w:r>
    </w:p>
    <w:p w14:paraId="5C270D8F" w14:textId="77777777" w:rsidR="00296E07" w:rsidRPr="00296E07" w:rsidRDefault="00296E07" w:rsidP="00296E07"/>
    <w:p w14:paraId="6584A4A4" w14:textId="684B171D" w:rsidR="00A103B7" w:rsidRDefault="00A103B7" w:rsidP="00163B1C">
      <w:pPr>
        <w:pStyle w:val="Titre2"/>
      </w:pPr>
      <w:bookmarkStart w:id="1" w:name="_Toc112070535"/>
      <w:r>
        <w:t>Présentation de la protection sociale en France : régime de base et régime complémentaire.</w:t>
      </w:r>
      <w:bookmarkEnd w:id="1"/>
    </w:p>
    <w:p w14:paraId="670D4801" w14:textId="1A5444FB" w:rsidR="009212F2" w:rsidRDefault="00661A1B" w:rsidP="00163B1C">
      <w:r>
        <w:t>La protection sociale désigne l’ensemble des mécanismes qui permettent aux individus de faire face financièrement à certains risques sociaux, à des situations pouvant provoquer une baisse des ressources ou une hausse des dépenses. Ces risques sont les suivants :</w:t>
      </w:r>
    </w:p>
    <w:p w14:paraId="30ACD82C" w14:textId="77777777" w:rsidR="00661A1B" w:rsidRDefault="00661A1B" w:rsidP="00163B1C">
      <w:pPr>
        <w:pStyle w:val="Paragraphedeliste"/>
        <w:numPr>
          <w:ilvl w:val="0"/>
          <w:numId w:val="3"/>
        </w:numPr>
      </w:pPr>
      <w:r>
        <w:t xml:space="preserve">Santé : actes courants, hospitalisation, optique et dentaire : remboursement des frais médicaux  </w:t>
      </w:r>
    </w:p>
    <w:p w14:paraId="2F159EC9" w14:textId="77777777" w:rsidR="00661A1B" w:rsidRDefault="00661A1B" w:rsidP="00163B1C">
      <w:pPr>
        <w:pStyle w:val="Paragraphedeliste"/>
        <w:numPr>
          <w:ilvl w:val="0"/>
          <w:numId w:val="3"/>
        </w:numPr>
      </w:pPr>
      <w:r>
        <w:t xml:space="preserve">Arrêt de Travail : incapacité, invalidité, maternité : remboursement d’indemnités journalières pour l’incapacité et la maternité et d’une rente pour l’invalidité </w:t>
      </w:r>
    </w:p>
    <w:p w14:paraId="33D074D4" w14:textId="77777777" w:rsidR="00661A1B" w:rsidRDefault="00661A1B" w:rsidP="00163B1C">
      <w:pPr>
        <w:pStyle w:val="Paragraphedeliste"/>
        <w:numPr>
          <w:ilvl w:val="0"/>
          <w:numId w:val="3"/>
        </w:numPr>
      </w:pPr>
      <w:r>
        <w:t xml:space="preserve">Décès : versement d’un capital ou d’une rente aux ayants droits </w:t>
      </w:r>
    </w:p>
    <w:p w14:paraId="2DB8AB93" w14:textId="77777777" w:rsidR="00661A1B" w:rsidRDefault="00661A1B" w:rsidP="00163B1C">
      <w:pPr>
        <w:pStyle w:val="Paragraphedeliste"/>
        <w:numPr>
          <w:ilvl w:val="0"/>
          <w:numId w:val="3"/>
        </w:numPr>
      </w:pPr>
      <w:r>
        <w:t xml:space="preserve">Retraite : constitution d’un capital ou d’une rente </w:t>
      </w:r>
    </w:p>
    <w:p w14:paraId="52BBAACA" w14:textId="77777777" w:rsidR="00661A1B" w:rsidRDefault="00661A1B" w:rsidP="00163B1C">
      <w:pPr>
        <w:pStyle w:val="Paragraphedeliste"/>
        <w:numPr>
          <w:ilvl w:val="0"/>
          <w:numId w:val="3"/>
        </w:numPr>
      </w:pPr>
      <w:r>
        <w:t xml:space="preserve">Dépendance : versement d’un capital ou d’une rente </w:t>
      </w:r>
    </w:p>
    <w:p w14:paraId="5A20FBA5" w14:textId="45E11E10" w:rsidR="00B320F2" w:rsidRDefault="00661A1B" w:rsidP="00163B1C">
      <w:pPr>
        <w:pStyle w:val="Paragraphedeliste"/>
        <w:numPr>
          <w:ilvl w:val="0"/>
          <w:numId w:val="3"/>
        </w:numPr>
      </w:pPr>
      <w:r>
        <w:t>Chômage : versement d’indemnités de chômage</w:t>
      </w:r>
    </w:p>
    <w:p w14:paraId="1AE4DBAE" w14:textId="56A922CD" w:rsidR="009212F2" w:rsidRDefault="009212F2" w:rsidP="00163B1C">
      <w:pPr>
        <w:pStyle w:val="Titre3"/>
      </w:pPr>
      <w:bookmarkStart w:id="2" w:name="_Toc112070536"/>
      <w:r w:rsidRPr="009212F2">
        <w:t>Histoire de la protection sociale</w:t>
      </w:r>
      <w:bookmarkEnd w:id="2"/>
    </w:p>
    <w:p w14:paraId="6EBA5A1C" w14:textId="2489A6CC" w:rsidR="00B320F2" w:rsidRDefault="00850EFE" w:rsidP="00163B1C">
      <w:r>
        <w:t>La Sécurité Sociale a été créé e</w:t>
      </w:r>
      <w:r w:rsidR="00B320F2">
        <w:t>n 1945</w:t>
      </w:r>
      <w:r>
        <w:t xml:space="preserve"> via les ordonnances du 4 et 19 octobre en fusionnant toutes les anciennes assurances et avec comme</w:t>
      </w:r>
      <w:r w:rsidR="00B320F2">
        <w:t xml:space="preserve"> triple objectif :</w:t>
      </w:r>
    </w:p>
    <w:p w14:paraId="4956A267" w14:textId="0C84B2AB" w:rsidR="00B320F2" w:rsidRDefault="00850EFE" w:rsidP="00163B1C">
      <w:pPr>
        <w:pStyle w:val="Paragraphedeliste"/>
        <w:numPr>
          <w:ilvl w:val="0"/>
          <w:numId w:val="4"/>
        </w:numPr>
      </w:pPr>
      <w:r>
        <w:t>Unité de la Sécurité Sociale</w:t>
      </w:r>
    </w:p>
    <w:p w14:paraId="59C6F4AE" w14:textId="28D4C694" w:rsidR="00850EFE" w:rsidRDefault="00850EFE" w:rsidP="00163B1C">
      <w:pPr>
        <w:pStyle w:val="Paragraphedeliste"/>
        <w:numPr>
          <w:ilvl w:val="0"/>
          <w:numId w:val="4"/>
        </w:numPr>
      </w:pPr>
      <w:r>
        <w:t>Généralisation quant aux personnes</w:t>
      </w:r>
    </w:p>
    <w:p w14:paraId="05D2E161" w14:textId="73D31645" w:rsidR="00850EFE" w:rsidRDefault="00850EFE" w:rsidP="00163B1C">
      <w:pPr>
        <w:pStyle w:val="Paragraphedeliste"/>
        <w:numPr>
          <w:ilvl w:val="0"/>
          <w:numId w:val="4"/>
        </w:numPr>
      </w:pPr>
      <w:r>
        <w:t>Extension des risques couverts</w:t>
      </w:r>
    </w:p>
    <w:p w14:paraId="040A41CB" w14:textId="7CDF973A" w:rsidR="00850EFE" w:rsidRDefault="00850EFE" w:rsidP="00163B1C">
      <w:r>
        <w:t>L’ordonnance du 4 octobre 1945 prévoit un système coordonné de caisses se s</w:t>
      </w:r>
      <w:r w:rsidR="00823F3F">
        <w:t>ubstituant à de multiples organismes existants. Les salariés des régimes spéciaux comme les fonctionnaires, les marins, les cheminots, etc vont refuser de s’intégrer dans le nouveau régime général et conserver dans un cadre « transitoire » qui dure encore, leurs régimes spécifiques.</w:t>
      </w:r>
    </w:p>
    <w:p w14:paraId="28B98D06" w14:textId="45367DC2" w:rsidR="00823F3F" w:rsidRPr="005303CD" w:rsidRDefault="00823F3F" w:rsidP="00163B1C">
      <w:pPr>
        <w:ind w:left="705"/>
      </w:pPr>
      <w:r w:rsidRPr="005303CD">
        <w:rPr>
          <w:color w:val="00B0F0"/>
          <w:u w:val="single"/>
        </w:rPr>
        <w:t>Régime :</w:t>
      </w:r>
      <w:r w:rsidR="005303CD" w:rsidRPr="005303CD">
        <w:t xml:space="preserve"> </w:t>
      </w:r>
      <w:r w:rsidR="005303CD">
        <w:t>Ensemble de droits et obligations réciproques des Employés (et leurs « ayant-droit »), des Patrons, et d'une Caisse de Sécurité Sociale.</w:t>
      </w:r>
    </w:p>
    <w:p w14:paraId="4C4A4984" w14:textId="2ED622C8" w:rsidR="001B3A0A" w:rsidRDefault="00775045" w:rsidP="00163B1C">
      <w:r>
        <w:t>Les trois grands régimes introduits par les ordonnances des 4 et 19 octobre 1945 sont les suivants :</w:t>
      </w:r>
    </w:p>
    <w:p w14:paraId="68012620" w14:textId="4A96B724" w:rsidR="00775045" w:rsidRDefault="00775045" w:rsidP="00163B1C">
      <w:pPr>
        <w:pStyle w:val="Paragraphedeliste"/>
        <w:numPr>
          <w:ilvl w:val="0"/>
          <w:numId w:val="5"/>
        </w:numPr>
      </w:pPr>
      <w:r>
        <w:t>Régime général : salariés et travailleurs assimilés à des salariés soit environ 80 % de la population.</w:t>
      </w:r>
    </w:p>
    <w:p w14:paraId="12FCC3D0" w14:textId="74678CDE" w:rsidR="00775045" w:rsidRDefault="00775045" w:rsidP="00163B1C">
      <w:pPr>
        <w:pStyle w:val="Paragraphedeliste"/>
        <w:numPr>
          <w:ilvl w:val="0"/>
          <w:numId w:val="5"/>
        </w:numPr>
      </w:pPr>
      <w:r>
        <w:t xml:space="preserve">Régime des travailleurs non-salariés non agricoles ou Régime social des indépendants ou </w:t>
      </w:r>
      <w:proofErr w:type="gramStart"/>
      <w:r>
        <w:t>RSI  :</w:t>
      </w:r>
      <w:proofErr w:type="gramEnd"/>
      <w:r>
        <w:t xml:space="preserve"> artisans, commerçants et professions libérales.</w:t>
      </w:r>
    </w:p>
    <w:p w14:paraId="462FB395" w14:textId="24F0E7BB" w:rsidR="00775045" w:rsidRDefault="00775045" w:rsidP="00163B1C">
      <w:pPr>
        <w:pStyle w:val="Paragraphedeliste"/>
        <w:numPr>
          <w:ilvl w:val="0"/>
          <w:numId w:val="5"/>
        </w:numPr>
      </w:pPr>
      <w:r>
        <w:lastRenderedPageBreak/>
        <w:t>Régime agricole : exploitants et salariés agricoles, ainsi que certains secteurs rattachés à l’agriculture (ex l’industrie agro alimentaire). Il est géré par la caisse centrale de la Mutualité Sociale Agricole, MSA.</w:t>
      </w:r>
    </w:p>
    <w:p w14:paraId="0C47EF5F" w14:textId="6D61A94F" w:rsidR="00C21A8E" w:rsidRDefault="00775045" w:rsidP="00163B1C">
      <w:r>
        <w:t>La protection sociale était à l'origine financée exclusivement par des cotisations. Le financement s'est diversifié dans les années 1990 avec la CSG et d'autres impôts.</w:t>
      </w:r>
    </w:p>
    <w:p w14:paraId="284868E7" w14:textId="0B9850D5" w:rsidR="00FE2857" w:rsidRDefault="00C21A8E" w:rsidP="00163B1C">
      <w:pPr>
        <w:pStyle w:val="Titre3"/>
      </w:pPr>
      <w:bookmarkStart w:id="3" w:name="_Toc112070537"/>
      <w:r>
        <w:t>Organisation fonctionnelle</w:t>
      </w:r>
      <w:bookmarkEnd w:id="3"/>
    </w:p>
    <w:p w14:paraId="171B5F0B" w14:textId="62D53468" w:rsidR="00C21A8E" w:rsidRDefault="00C21A8E" w:rsidP="00163B1C">
      <w:r>
        <w:t xml:space="preserve">D'un point de vue fonctionnel, l'organisation actuelle de la Sécurité Sociale résulte de l'ordonnance de 1967 qui instaure la séparation de la Sécurité Sociale en 4 branches autonomes. Chaque branche est alors responsable de ses ressources et de ses dépenses. </w:t>
      </w:r>
    </w:p>
    <w:p w14:paraId="20605C60" w14:textId="6203939A" w:rsidR="00C21A8E" w:rsidRDefault="00C21A8E" w:rsidP="00163B1C">
      <w:pPr>
        <w:pStyle w:val="Paragraphedeliste"/>
        <w:numPr>
          <w:ilvl w:val="0"/>
          <w:numId w:val="6"/>
        </w:numPr>
      </w:pPr>
      <w:r>
        <w:t>Branche Maladie</w:t>
      </w:r>
      <w:r w:rsidR="004167E1">
        <w:t xml:space="preserve"> : </w:t>
      </w:r>
      <w:r>
        <w:t xml:space="preserve">maladie, maternité, paternité, invalidité, décès </w:t>
      </w:r>
    </w:p>
    <w:p w14:paraId="7C16B146" w14:textId="4863A50E" w:rsidR="00C21A8E" w:rsidRDefault="00C21A8E" w:rsidP="00163B1C">
      <w:pPr>
        <w:pStyle w:val="Paragraphedeliste"/>
        <w:numPr>
          <w:ilvl w:val="0"/>
          <w:numId w:val="6"/>
        </w:numPr>
      </w:pPr>
      <w:r>
        <w:t xml:space="preserve">Branche Accidents du travail et Maladies professionnelles </w:t>
      </w:r>
    </w:p>
    <w:p w14:paraId="4EB8CAFC" w14:textId="5FCB6D84" w:rsidR="00C21A8E" w:rsidRDefault="00C21A8E" w:rsidP="00163B1C">
      <w:pPr>
        <w:pStyle w:val="Paragraphedeliste"/>
        <w:numPr>
          <w:ilvl w:val="0"/>
          <w:numId w:val="6"/>
        </w:numPr>
      </w:pPr>
      <w:r>
        <w:t>Branche Vieillesse et veuvage</w:t>
      </w:r>
    </w:p>
    <w:p w14:paraId="0A3CE01D" w14:textId="7A5C8123" w:rsidR="004167E1" w:rsidRPr="00070EF6" w:rsidRDefault="00C21A8E" w:rsidP="00163B1C">
      <w:pPr>
        <w:pStyle w:val="Paragraphedeliste"/>
        <w:numPr>
          <w:ilvl w:val="0"/>
          <w:numId w:val="6"/>
        </w:numPr>
      </w:pPr>
      <w:r>
        <w:t>Branche Famille</w:t>
      </w:r>
      <w:r w:rsidR="004167E1">
        <w:t> :</w:t>
      </w:r>
      <w:r>
        <w:t xml:space="preserve"> handicap, logement, RSA</w:t>
      </w:r>
      <w:r w:rsidR="004167E1">
        <w:t xml:space="preserve"> </w:t>
      </w:r>
      <w:r>
        <w:t>...</w:t>
      </w:r>
    </w:p>
    <w:p w14:paraId="0687836B" w14:textId="054A39CE" w:rsidR="00FE2857" w:rsidRDefault="000273B5" w:rsidP="00163B1C">
      <w:pPr>
        <w:pStyle w:val="Titre3"/>
      </w:pPr>
      <w:bookmarkStart w:id="4" w:name="_Toc112070538"/>
      <w:r>
        <w:t>Détails de l’offre proposée par le régime de base</w:t>
      </w:r>
      <w:bookmarkEnd w:id="4"/>
    </w:p>
    <w:p w14:paraId="2B295F94" w14:textId="2C7450BD" w:rsidR="00D917AA" w:rsidRPr="00D917AA" w:rsidRDefault="00D917AA" w:rsidP="00163B1C">
      <w:pPr>
        <w:pStyle w:val="Titre4"/>
      </w:pPr>
      <w:r>
        <w:t>L’assurance Maladie :</w:t>
      </w:r>
    </w:p>
    <w:p w14:paraId="76ECCF8E" w14:textId="3037C2D0" w:rsidR="001B7625" w:rsidRDefault="004167E1" w:rsidP="00163B1C">
      <w:pPr>
        <w:rPr>
          <w:u w:val="single"/>
        </w:rPr>
      </w:pPr>
      <w:r w:rsidRPr="004167E1">
        <w:rPr>
          <w:u w:val="single"/>
        </w:rPr>
        <w:t>Définition</w:t>
      </w:r>
      <w:r w:rsidR="00C85FED">
        <w:rPr>
          <w:u w:val="single"/>
        </w:rPr>
        <w:t xml:space="preserve"> de</w:t>
      </w:r>
      <w:r w:rsidRPr="004167E1">
        <w:rPr>
          <w:u w:val="single"/>
        </w:rPr>
        <w:t> </w:t>
      </w:r>
      <w:r w:rsidR="00D917AA">
        <w:rPr>
          <w:u w:val="single"/>
        </w:rPr>
        <w:t xml:space="preserve">l’assurance maladie </w:t>
      </w:r>
      <w:r w:rsidRPr="004167E1">
        <w:rPr>
          <w:u w:val="single"/>
        </w:rPr>
        <w:t>:</w:t>
      </w:r>
    </w:p>
    <w:p w14:paraId="55EA3E28" w14:textId="16B1F88E" w:rsidR="00A529CB" w:rsidRPr="00A529CB" w:rsidRDefault="00A529CB" w:rsidP="00163B1C">
      <w:r>
        <w:t>L’assurance maladie est définie dans le cadre de l’a</w:t>
      </w:r>
      <w:r w:rsidRPr="00A529CB">
        <w:t>rticle L321-1 du CSS :</w:t>
      </w:r>
    </w:p>
    <w:p w14:paraId="2EB5393E" w14:textId="6F9B1B54" w:rsidR="00A529CB" w:rsidRDefault="001B7625" w:rsidP="00163B1C">
      <w:r w:rsidRPr="001B7625">
        <w:t xml:space="preserve"> </w:t>
      </w:r>
      <w:r>
        <w:t>« L'assurance maladie comporte (…) l'octroi d'indemnités journalières à l'assuré qui se trouve dans l'incapacité physique constatée par le médecin traitant, (…) de continuer ou de reprendre le travail ; l'incapacité peut être également constatée, dans les mêmes conditions, par la sage-femme dans la limite de sa compétence professionnelle et pour une durée fixée par décret (…) ».</w:t>
      </w:r>
    </w:p>
    <w:p w14:paraId="7282C4BC" w14:textId="01DC2191" w:rsidR="00025912" w:rsidRPr="00025912" w:rsidRDefault="00025912" w:rsidP="00163B1C">
      <w:pPr>
        <w:rPr>
          <w:u w:val="single"/>
        </w:rPr>
      </w:pPr>
      <w:r w:rsidRPr="00025912">
        <w:rPr>
          <w:u w:val="single"/>
        </w:rPr>
        <w:t xml:space="preserve">Conditions d’ouverture </w:t>
      </w:r>
      <w:r w:rsidR="00D917AA" w:rsidRPr="00025912">
        <w:rPr>
          <w:u w:val="single"/>
        </w:rPr>
        <w:t xml:space="preserve">des droits </w:t>
      </w:r>
      <w:r w:rsidR="00D917AA">
        <w:rPr>
          <w:u w:val="single"/>
        </w:rPr>
        <w:t xml:space="preserve">de l’assurance </w:t>
      </w:r>
      <w:r w:rsidR="00D917AA" w:rsidRPr="00025912">
        <w:rPr>
          <w:u w:val="single"/>
        </w:rPr>
        <w:t>maladie</w:t>
      </w:r>
      <w:r w:rsidRPr="00025912">
        <w:rPr>
          <w:u w:val="single"/>
        </w:rPr>
        <w:t> :</w:t>
      </w:r>
    </w:p>
    <w:p w14:paraId="2BD91364" w14:textId="69941F54" w:rsidR="00025912" w:rsidRDefault="00025912" w:rsidP="00163B1C">
      <w:r>
        <w:t>Des conditions d’ouverture des droits s’appliquent en fonction de la durée de l’arrêt de travail et de la situation de l’assuré :</w:t>
      </w:r>
    </w:p>
    <w:p w14:paraId="294E28C2" w14:textId="080E60BC" w:rsidR="00025912" w:rsidRDefault="00025912" w:rsidP="00163B1C">
      <w:pPr>
        <w:pStyle w:val="Paragraphedeliste"/>
        <w:numPr>
          <w:ilvl w:val="0"/>
          <w:numId w:val="8"/>
        </w:numPr>
      </w:pPr>
      <w:r>
        <w:t>Si l’arrêt de travail est inférieur à 6 mois :</w:t>
      </w:r>
    </w:p>
    <w:p w14:paraId="226EBC5A" w14:textId="76F5A906" w:rsidR="00025912" w:rsidRDefault="00025912" w:rsidP="00163B1C">
      <w:pPr>
        <w:pStyle w:val="Paragraphedeliste"/>
        <w:numPr>
          <w:ilvl w:val="1"/>
          <w:numId w:val="8"/>
        </w:numPr>
        <w:ind w:left="1210"/>
      </w:pPr>
      <w:r>
        <w:t>Avoir travaillé au moins 150 heures au cours des trois mois précédant l'arrêt de travail</w:t>
      </w:r>
    </w:p>
    <w:p w14:paraId="49624F94" w14:textId="192F83CF" w:rsidR="00025912" w:rsidRDefault="00025912" w:rsidP="00163B1C">
      <w:pPr>
        <w:pStyle w:val="Paragraphedeliste"/>
        <w:numPr>
          <w:ilvl w:val="1"/>
          <w:numId w:val="8"/>
        </w:numPr>
        <w:ind w:left="1210"/>
      </w:pPr>
      <w:r>
        <w:t>Ou avoir cotisé sur un salaire au moins égal à 1 015 fois le montant du SMIC horaire au cours des six mois précédant l'arrêt</w:t>
      </w:r>
    </w:p>
    <w:p w14:paraId="4593C7E1" w14:textId="784FEFFE" w:rsidR="00025912" w:rsidRDefault="00025912" w:rsidP="00163B1C">
      <w:pPr>
        <w:pStyle w:val="Paragraphedeliste"/>
        <w:numPr>
          <w:ilvl w:val="0"/>
          <w:numId w:val="8"/>
        </w:numPr>
      </w:pPr>
      <w:r>
        <w:t>Si l’arrêt de travail est supérieur à 6 mois :</w:t>
      </w:r>
    </w:p>
    <w:p w14:paraId="2DB6EB45" w14:textId="17B9D39B" w:rsidR="00025912" w:rsidRDefault="00025912" w:rsidP="00163B1C">
      <w:pPr>
        <w:pStyle w:val="Paragraphedeliste"/>
        <w:numPr>
          <w:ilvl w:val="1"/>
          <w:numId w:val="8"/>
        </w:numPr>
        <w:ind w:left="1210"/>
      </w:pPr>
      <w:r>
        <w:t>Justifier à la date de l’arrêt, de douze mois d'immatriculation en tant qu'assuré social auprès de l'Assurance Maladie</w:t>
      </w:r>
    </w:p>
    <w:p w14:paraId="4CE1CE7C" w14:textId="4EF79CA7" w:rsidR="00025912" w:rsidRDefault="00025912" w:rsidP="00163B1C">
      <w:pPr>
        <w:pStyle w:val="Paragraphedeliste"/>
        <w:numPr>
          <w:ilvl w:val="1"/>
          <w:numId w:val="8"/>
        </w:numPr>
        <w:ind w:left="1210"/>
      </w:pPr>
      <w:r>
        <w:t>Avoir travaillé au moins 600 heures au cours des douze derniers mois</w:t>
      </w:r>
    </w:p>
    <w:p w14:paraId="0C41871E" w14:textId="6D1980EF" w:rsidR="00025912" w:rsidRDefault="00025912" w:rsidP="00163B1C">
      <w:pPr>
        <w:pStyle w:val="Paragraphedeliste"/>
        <w:numPr>
          <w:ilvl w:val="1"/>
          <w:numId w:val="8"/>
        </w:numPr>
        <w:ind w:left="1210"/>
      </w:pPr>
      <w:r>
        <w:t>Ou avoir cotisé sur un salaire au moins égal à 2 030 fois le montant du SMIC horaire au cours des douze mois précédant l'arrêt de travail, dont au moins 1 015 fois le montant du SMIC horaire au cours des six premiers mois</w:t>
      </w:r>
    </w:p>
    <w:p w14:paraId="06742F50" w14:textId="30A1CD6D" w:rsidR="00025912" w:rsidRDefault="00B610EB" w:rsidP="00163B1C">
      <w:pPr>
        <w:rPr>
          <w:u w:val="single"/>
        </w:rPr>
      </w:pPr>
      <w:r>
        <w:rPr>
          <w:u w:val="single"/>
        </w:rPr>
        <w:t>Les</w:t>
      </w:r>
      <w:r w:rsidRPr="00B610EB">
        <w:rPr>
          <w:u w:val="single"/>
        </w:rPr>
        <w:t xml:space="preserve"> indemnités journalières ;</w:t>
      </w:r>
    </w:p>
    <w:p w14:paraId="60765DF6" w14:textId="78599248" w:rsidR="00B610EB" w:rsidRDefault="00B610EB" w:rsidP="00163B1C">
      <w:pPr>
        <w:pStyle w:val="Paragraphedeliste"/>
        <w:numPr>
          <w:ilvl w:val="0"/>
          <w:numId w:val="9"/>
        </w:numPr>
        <w:ind w:left="1210"/>
      </w:pPr>
      <w:r>
        <w:t>Durée de service des indemnités journalières :</w:t>
      </w:r>
    </w:p>
    <w:p w14:paraId="0A953C44" w14:textId="0492702D" w:rsidR="00B610EB" w:rsidRDefault="00B610EB" w:rsidP="00163B1C">
      <w:r>
        <w:t>L’indemnité journalière est accordée à partir d’un délai de carence de 3 jours (1 jour pour les fonctionnaires), ce délai de carence ne s’applique pas dans les cas suivants :</w:t>
      </w:r>
    </w:p>
    <w:p w14:paraId="775D972A" w14:textId="4639A5A2" w:rsidR="00B610EB" w:rsidRDefault="00B610EB" w:rsidP="00163B1C">
      <w:pPr>
        <w:pStyle w:val="Paragraphedeliste"/>
        <w:numPr>
          <w:ilvl w:val="0"/>
          <w:numId w:val="10"/>
        </w:numPr>
      </w:pPr>
      <w:r>
        <w:t xml:space="preserve">En cas de reprise d’activité entre deux prescriptions d’arrêt de travail qui ne dépasse pas 48 heures </w:t>
      </w:r>
    </w:p>
    <w:p w14:paraId="07F27DEF" w14:textId="09856DB6" w:rsidR="00B610EB" w:rsidRDefault="00B610EB" w:rsidP="00163B1C">
      <w:pPr>
        <w:pStyle w:val="Paragraphedeliste"/>
        <w:numPr>
          <w:ilvl w:val="0"/>
          <w:numId w:val="10"/>
        </w:numPr>
      </w:pPr>
      <w:r>
        <w:lastRenderedPageBreak/>
        <w:t>L’assuré est en affection de longue durée et les arrêts sont en rapport à cette maladie alors le délai de carence ne s’applique que pour le premier arrêt.</w:t>
      </w:r>
    </w:p>
    <w:p w14:paraId="661E9F89" w14:textId="72EDF8C8" w:rsidR="00B610EB" w:rsidRPr="00B610EB" w:rsidRDefault="00B610EB" w:rsidP="00163B1C">
      <w:r>
        <w:t>L’indemnité journalière est due au titre de chaque jour, ouvrable ou non.</w:t>
      </w:r>
    </w:p>
    <w:p w14:paraId="4990150B" w14:textId="77777777" w:rsidR="009410B2" w:rsidRDefault="00B610EB" w:rsidP="00163B1C">
      <w:r>
        <w:t>Les causes de sorties de l’état d’incapacité sont : le rétablissement, le passage en invalidité et le décès.</w:t>
      </w:r>
    </w:p>
    <w:p w14:paraId="695A8A9B" w14:textId="097C52F2" w:rsidR="009410B2" w:rsidRDefault="009410B2" w:rsidP="00163B1C">
      <w:pPr>
        <w:pStyle w:val="Paragraphedeliste"/>
        <w:numPr>
          <w:ilvl w:val="0"/>
          <w:numId w:val="9"/>
        </w:numPr>
        <w:ind w:left="1210"/>
      </w:pPr>
      <w:r>
        <w:t>Montant de l’indemnité journalière :</w:t>
      </w:r>
    </w:p>
    <w:p w14:paraId="20A4D62C" w14:textId="77777777" w:rsidR="009410B2" w:rsidRDefault="009410B2" w:rsidP="00163B1C">
      <w:r>
        <w:t>Le montant de l’indemnité journalière versée par la Sécurité Sociale est calculé via le salaire journalier de base dont le calcul est détaillé ci-dessous et est égale à 50% du salaire journalier de base.</w:t>
      </w:r>
    </w:p>
    <w:p w14:paraId="69DADB8E" w14:textId="77777777" w:rsidR="009410B2" w:rsidRDefault="009410B2" w:rsidP="00163B1C">
      <w:r>
        <w:t>Salaire journalier de base : ce salaire est la moyenne des salaires bruts des 3 derniers mois travaillés précédant l’arrêt, plafonné à 1.8 SMIC (</w:t>
      </w:r>
      <w:r w:rsidRPr="009410B2">
        <w:t>3 022,11 €</w:t>
      </w:r>
      <w:r>
        <w:t xml:space="preserve"> au 1</w:t>
      </w:r>
      <w:r w:rsidRPr="009410B2">
        <w:rPr>
          <w:vertAlign w:val="superscript"/>
        </w:rPr>
        <w:t>er</w:t>
      </w:r>
      <w:r>
        <w:t xml:space="preserve"> aout 2022), c’est-à-dire :</w:t>
      </w:r>
    </w:p>
    <w:p w14:paraId="6F082857" w14:textId="0F1C0819" w:rsidR="00242245" w:rsidRPr="00242245" w:rsidRDefault="00242245" w:rsidP="00163B1C">
      <m:oMath>
        <m:r>
          <w:rPr>
            <w:rFonts w:ascii="Cambria Math" w:hAnsi="Cambria Math"/>
          </w:rPr>
          <m:t xml:space="preserve">Salaire journalier de base= </m:t>
        </m:r>
        <m:r>
          <m:rPr>
            <m:sty m:val="p"/>
          </m:rPr>
          <w:rPr>
            <w:rFonts w:ascii="Cambria Math" w:hAnsi="Cambria Math"/>
          </w:rPr>
          <m:t>min⁡</m:t>
        </m:r>
        <m:r>
          <w:rPr>
            <w:rFonts w:ascii="Cambria Math" w:hAnsi="Cambria Math"/>
          </w:rPr>
          <m:t>(</m:t>
        </m:r>
        <m:f>
          <m:fPr>
            <m:ctrlPr>
              <w:rPr>
                <w:rFonts w:ascii="Cambria Math" w:hAnsi="Cambria Math"/>
                <w:i/>
              </w:rPr>
            </m:ctrlPr>
          </m:fPr>
          <m:num>
            <m:r>
              <w:rPr>
                <w:rFonts w:ascii="Cambria Math" w:hAnsi="Cambria Math"/>
              </w:rPr>
              <m:t>Somme des salaire bruts des 3 derniers mois</m:t>
            </m:r>
          </m:num>
          <m:den>
            <m:r>
              <w:rPr>
                <w:rFonts w:ascii="Cambria Math" w:hAnsi="Cambria Math"/>
              </w:rPr>
              <m:t>91,25</m:t>
            </m:r>
          </m:den>
        </m:f>
        <m:r>
          <w:rPr>
            <w:rFonts w:ascii="Cambria Math" w:hAnsi="Cambria Math"/>
          </w:rPr>
          <m:t xml:space="preserve">;1,8*SMIC) </m:t>
        </m:r>
      </m:oMath>
      <w:r>
        <w:t xml:space="preserve">        </w:t>
      </w:r>
      <w:r w:rsidRPr="00242245">
        <w:rPr>
          <w:sz w:val="16"/>
          <w:szCs w:val="16"/>
        </w:rPr>
        <w:t>(Décret n° 2010-1305 -29/10/10)</w:t>
      </w:r>
    </w:p>
    <w:p w14:paraId="31EBA8D7" w14:textId="276883F5" w:rsidR="00EB7709" w:rsidRDefault="007E5C00" w:rsidP="00163B1C">
      <w:r>
        <w:t>L’indemnité peut notamment être</w:t>
      </w:r>
      <w:r w:rsidR="00D917AA">
        <w:t xml:space="preserve"> revalorisée en cas d’augmentation générale des salaires de l’entreprise durant l’arrêt.</w:t>
      </w:r>
    </w:p>
    <w:p w14:paraId="409929DC" w14:textId="3C731E91" w:rsidR="00D917AA" w:rsidRPr="00D917AA" w:rsidRDefault="00D917AA" w:rsidP="00163B1C">
      <w:pPr>
        <w:pStyle w:val="Titre4"/>
      </w:pPr>
      <w:r>
        <w:t>L’assurance Maternité</w:t>
      </w:r>
      <w:r w:rsidR="00ED15F7">
        <w:t xml:space="preserve"> et congé Paternité</w:t>
      </w:r>
    </w:p>
    <w:p w14:paraId="464D5C8A" w14:textId="351F1445" w:rsidR="00D917AA" w:rsidRPr="00025912" w:rsidRDefault="00D917AA" w:rsidP="00163B1C">
      <w:pPr>
        <w:rPr>
          <w:u w:val="single"/>
        </w:rPr>
      </w:pPr>
      <w:r w:rsidRPr="00025912">
        <w:rPr>
          <w:u w:val="single"/>
        </w:rPr>
        <w:t xml:space="preserve">Conditions d’ouverture des droits </w:t>
      </w:r>
      <w:r>
        <w:rPr>
          <w:u w:val="single"/>
        </w:rPr>
        <w:t>de l’assurance maternité</w:t>
      </w:r>
      <w:r w:rsidR="00ED15F7">
        <w:rPr>
          <w:u w:val="single"/>
        </w:rPr>
        <w:t>/paternité</w:t>
      </w:r>
      <w:r w:rsidRPr="00025912">
        <w:rPr>
          <w:u w:val="single"/>
        </w:rPr>
        <w:t> :</w:t>
      </w:r>
    </w:p>
    <w:p w14:paraId="5D7B908F" w14:textId="4B2C33F4" w:rsidR="00D917AA" w:rsidRDefault="00D917AA" w:rsidP="00163B1C">
      <w:r>
        <w:t xml:space="preserve">Les conditions d’ouverture des droits à l’assurance </w:t>
      </w:r>
      <w:r w:rsidR="00ED15F7">
        <w:t>M</w:t>
      </w:r>
      <w:r>
        <w:t>aternité</w:t>
      </w:r>
      <w:r w:rsidR="00ED15F7">
        <w:t xml:space="preserve"> et le congé Paternité</w:t>
      </w:r>
      <w:r>
        <w:t xml:space="preserve"> sont les suivantes :</w:t>
      </w:r>
    </w:p>
    <w:p w14:paraId="333F0A9F" w14:textId="679F4F7C" w:rsidR="00ED15F7" w:rsidRDefault="00ED15F7" w:rsidP="00163B1C">
      <w:pPr>
        <w:pStyle w:val="Paragraphedeliste"/>
        <w:numPr>
          <w:ilvl w:val="0"/>
          <w:numId w:val="15"/>
        </w:numPr>
      </w:pPr>
      <w:r>
        <w:t>Pour l’assurance maternité :</w:t>
      </w:r>
    </w:p>
    <w:p w14:paraId="1C9D8649" w14:textId="16D373DC" w:rsidR="00ED15F7" w:rsidRDefault="00EB7709" w:rsidP="00163B1C">
      <w:pPr>
        <w:pStyle w:val="Paragraphedeliste"/>
        <w:numPr>
          <w:ilvl w:val="1"/>
          <w:numId w:val="15"/>
        </w:numPr>
        <w:ind w:left="1210"/>
      </w:pPr>
      <w:r>
        <w:t>Être</w:t>
      </w:r>
      <w:r w:rsidR="00D917AA">
        <w:t xml:space="preserve"> immatriculée en tant qu'assurée sociale depuis au moins 10 mois, à la date prévue de l’accouchement </w:t>
      </w:r>
    </w:p>
    <w:p w14:paraId="726219D8" w14:textId="77777777" w:rsidR="00EB7709" w:rsidRDefault="00D917AA" w:rsidP="00163B1C">
      <w:pPr>
        <w:pStyle w:val="Paragraphedeliste"/>
        <w:numPr>
          <w:ilvl w:val="1"/>
          <w:numId w:val="15"/>
        </w:numPr>
        <w:ind w:left="1210"/>
      </w:pPr>
      <w:r>
        <w:t xml:space="preserve">Avoir cotisé sur un salaire au moins égal à 1 015 fois la valeur du SMIC horaire au cours des six mois civils précédant la date du début de la grossesse ou du début </w:t>
      </w:r>
    </w:p>
    <w:p w14:paraId="62D67751" w14:textId="08B40EC3" w:rsidR="00D917AA" w:rsidRDefault="00D917AA" w:rsidP="00163B1C">
      <w:pPr>
        <w:pStyle w:val="Paragraphedeliste"/>
        <w:numPr>
          <w:ilvl w:val="1"/>
          <w:numId w:val="15"/>
        </w:numPr>
        <w:ind w:left="1210"/>
      </w:pPr>
      <w:r>
        <w:t>Ou avoir effectué au moins 150 heures de travail au cours des trois mois précédant l'arrêt de travail, à la date du début de la grossesse ou du début du congé prénatal</w:t>
      </w:r>
    </w:p>
    <w:p w14:paraId="68CB8C46" w14:textId="3AD3198E" w:rsidR="00ED15F7" w:rsidRDefault="00ED15F7" w:rsidP="00163B1C">
      <w:pPr>
        <w:pStyle w:val="Paragraphedeliste"/>
        <w:numPr>
          <w:ilvl w:val="0"/>
          <w:numId w:val="15"/>
        </w:numPr>
      </w:pPr>
      <w:r>
        <w:t>Pour le congé paternité :</w:t>
      </w:r>
    </w:p>
    <w:p w14:paraId="4F88341A" w14:textId="7D8256E1" w:rsidR="00ED15F7" w:rsidRDefault="00ED15F7" w:rsidP="00163B1C">
      <w:pPr>
        <w:pStyle w:val="Paragraphedeliste"/>
        <w:numPr>
          <w:ilvl w:val="1"/>
          <w:numId w:val="15"/>
        </w:numPr>
        <w:ind w:left="1210"/>
      </w:pPr>
      <w:r>
        <w:t>Justifier d'au moins 10 mois d'immatriculation en tant qu'assuré social à la date de début du congé</w:t>
      </w:r>
    </w:p>
    <w:p w14:paraId="1F14F42F" w14:textId="3D2E8362" w:rsidR="00D917AA" w:rsidRDefault="00ED15F7" w:rsidP="00163B1C">
      <w:pPr>
        <w:pStyle w:val="Paragraphedeliste"/>
        <w:numPr>
          <w:ilvl w:val="1"/>
          <w:numId w:val="15"/>
        </w:numPr>
        <w:ind w:left="1210"/>
      </w:pPr>
      <w:r>
        <w:t>Avoir travaillé au moins 150 heures au cours des trois mois précédant la date de début du congé ou avoir cotisé sur un salaire au moins égal à 1 015 fois le montant du SMIC horaire au cours des six mois précédant le début du congé</w:t>
      </w:r>
    </w:p>
    <w:p w14:paraId="5FB82E70" w14:textId="7B6C084A" w:rsidR="00ED15F7" w:rsidRDefault="00ED15F7" w:rsidP="00163B1C">
      <w:pPr>
        <w:rPr>
          <w:u w:val="single"/>
        </w:rPr>
      </w:pPr>
      <w:r>
        <w:rPr>
          <w:u w:val="single"/>
        </w:rPr>
        <w:t>Les</w:t>
      </w:r>
      <w:r w:rsidRPr="00B610EB">
        <w:rPr>
          <w:u w:val="single"/>
        </w:rPr>
        <w:t xml:space="preserve"> indemnités journalières</w:t>
      </w:r>
      <w:r w:rsidR="00C85FED">
        <w:rPr>
          <w:u w:val="single"/>
        </w:rPr>
        <w:t> :</w:t>
      </w:r>
    </w:p>
    <w:p w14:paraId="4066E062" w14:textId="369DB005" w:rsidR="00ED15F7" w:rsidRDefault="00ED15F7" w:rsidP="00163B1C">
      <w:pPr>
        <w:pStyle w:val="Paragraphedeliste"/>
        <w:numPr>
          <w:ilvl w:val="0"/>
          <w:numId w:val="9"/>
        </w:numPr>
        <w:ind w:left="1210"/>
      </w:pPr>
      <w:r>
        <w:t>Durée de service des indemnités journalières :</w:t>
      </w:r>
    </w:p>
    <w:p w14:paraId="2B737843" w14:textId="77777777" w:rsidR="00913A68" w:rsidRDefault="00ED15F7" w:rsidP="00163B1C">
      <w:r>
        <w:t>Le niveau de l’indemnité journalière due au titre du congé maternité</w:t>
      </w:r>
      <w:r w:rsidR="00913A68">
        <w:t>/paternité</w:t>
      </w:r>
      <w:r>
        <w:t xml:space="preserve"> est d’abord limité par la durée légale du congé : </w:t>
      </w:r>
    </w:p>
    <w:p w14:paraId="106C2521" w14:textId="66CEBD95" w:rsidR="00ED15F7" w:rsidRDefault="00913A68" w:rsidP="00163B1C">
      <w:pPr>
        <w:pStyle w:val="Paragraphedeliste"/>
        <w:numPr>
          <w:ilvl w:val="0"/>
          <w:numId w:val="16"/>
        </w:numPr>
      </w:pPr>
      <w:r>
        <w:t xml:space="preserve">Congé Maternité : </w:t>
      </w:r>
      <w:r w:rsidR="00ED15F7">
        <w:t>16 semaines (peut être plus longue selon le nombre d’enfants de l’assuré et le nombre d’enfants attendus)</w:t>
      </w:r>
    </w:p>
    <w:p w14:paraId="0AFBE980" w14:textId="244BD7DE" w:rsidR="00913A68" w:rsidRDefault="00913A68" w:rsidP="00163B1C">
      <w:pPr>
        <w:pStyle w:val="Paragraphedeliste"/>
        <w:numPr>
          <w:ilvl w:val="0"/>
          <w:numId w:val="16"/>
        </w:numPr>
      </w:pPr>
      <w:r>
        <w:t>Congé Paternité : 11 jours consécutifs maximum, 18 en cas de naissance multiple, ce congé est à prendre par le père dans les 4 mois suivants la naissance</w:t>
      </w:r>
    </w:p>
    <w:p w14:paraId="396A6448" w14:textId="7B91F443" w:rsidR="00913A68" w:rsidRDefault="00ED15F7" w:rsidP="00163B1C">
      <w:r>
        <w:t>Il n’y a aucun délai de carence.</w:t>
      </w:r>
    </w:p>
    <w:p w14:paraId="5A4BCA22" w14:textId="7482A02D" w:rsidR="00913A68" w:rsidRDefault="00913A68" w:rsidP="00163B1C">
      <w:pPr>
        <w:pStyle w:val="Paragraphedeliste"/>
        <w:numPr>
          <w:ilvl w:val="0"/>
          <w:numId w:val="9"/>
        </w:numPr>
        <w:ind w:left="1210"/>
      </w:pPr>
      <w:r>
        <w:lastRenderedPageBreak/>
        <w:t>Montant de l’indemnité journalière :</w:t>
      </w:r>
    </w:p>
    <w:p w14:paraId="5247C9B8" w14:textId="77777777" w:rsidR="00F16702" w:rsidRDefault="00F16702" w:rsidP="00163B1C">
      <w:pPr>
        <w:pStyle w:val="Paragraphedeliste"/>
        <w:ind w:left="1423"/>
      </w:pPr>
    </w:p>
    <w:p w14:paraId="743B72D3" w14:textId="184AEA8B" w:rsidR="00913A68" w:rsidRDefault="00913A68" w:rsidP="00163B1C">
      <w:pPr>
        <w:pStyle w:val="Paragraphedeliste"/>
        <w:numPr>
          <w:ilvl w:val="0"/>
          <w:numId w:val="17"/>
        </w:numPr>
      </w:pPr>
      <w:r>
        <w:t>L’indemnité journalière Maternité : moyenne des salaires nets des prélèvements légaux et conventionnels et de la CSG (déduction forfaitaire 21%), limités à la Tranche A (= 1PMSS </w:t>
      </w:r>
      <w:r w:rsidRPr="00913A68">
        <w:t>: 3 428 €</w:t>
      </w:r>
      <w:r>
        <w:t xml:space="preserve"> en 2022</w:t>
      </w:r>
      <w:r w:rsidRPr="00913A68">
        <w:t>)</w:t>
      </w:r>
      <w:r>
        <w:t xml:space="preserve"> des trois mois précédant le congé prénatal.</w:t>
      </w:r>
    </w:p>
    <w:p w14:paraId="25554E07" w14:textId="1A42465C" w:rsidR="00913A68" w:rsidRDefault="00913A68" w:rsidP="00163B1C">
      <w:pPr>
        <w:pStyle w:val="Paragraphedeliste"/>
        <w:numPr>
          <w:ilvl w:val="0"/>
          <w:numId w:val="17"/>
        </w:numPr>
      </w:pPr>
      <w:r>
        <w:t>L’indemnité journalière Paternité : moyenne des salaires nets des prélèvements légaux et conventionnels et de la CSG, limités à la Tranche A des trois mois précédant le congé prénatal.</w:t>
      </w:r>
    </w:p>
    <w:p w14:paraId="6769165A" w14:textId="374F082D" w:rsidR="00913A68" w:rsidRDefault="00913A68" w:rsidP="00163B1C">
      <w:pPr>
        <w:pStyle w:val="Titre4"/>
      </w:pPr>
      <w:r>
        <w:t>L’assurance Invalidité</w:t>
      </w:r>
    </w:p>
    <w:p w14:paraId="21DF6507" w14:textId="6B365D9E" w:rsidR="00A529CB" w:rsidRPr="004167E1" w:rsidRDefault="00A529CB" w:rsidP="00163B1C">
      <w:pPr>
        <w:rPr>
          <w:u w:val="single"/>
        </w:rPr>
      </w:pPr>
      <w:r w:rsidRPr="004167E1">
        <w:rPr>
          <w:u w:val="single"/>
        </w:rPr>
        <w:t>Définition </w:t>
      </w:r>
      <w:r>
        <w:rPr>
          <w:u w:val="single"/>
        </w:rPr>
        <w:t xml:space="preserve">l’assurance invalidité </w:t>
      </w:r>
      <w:r w:rsidRPr="004167E1">
        <w:rPr>
          <w:u w:val="single"/>
        </w:rPr>
        <w:t>:</w:t>
      </w:r>
    </w:p>
    <w:p w14:paraId="4D38F51C" w14:textId="37014CCD" w:rsidR="00A529CB" w:rsidRDefault="00A529CB" w:rsidP="00163B1C">
      <w:r>
        <w:t>L’assurance invalidité est définie dans le cadre de</w:t>
      </w:r>
      <w:r w:rsidR="003E0C37">
        <w:t>s</w:t>
      </w:r>
      <w:r>
        <w:t xml:space="preserve"> </w:t>
      </w:r>
      <w:r w:rsidR="003E0C37">
        <w:t>articles suivants</w:t>
      </w:r>
      <w:r w:rsidR="000046F7">
        <w:t xml:space="preserve"> comme étant le droit d’avoir accès à une pension lorsque l’assuré présente une invalidité réduisant sa capacité de travail ou de gains dans des proportions déterminées</w:t>
      </w:r>
      <w:r w:rsidR="003E0C37">
        <w:t xml:space="preserve"> </w:t>
      </w:r>
      <w:r>
        <w:t>:</w:t>
      </w:r>
    </w:p>
    <w:p w14:paraId="5430EA8E" w14:textId="29DE1FAB" w:rsidR="00A529CB" w:rsidRDefault="003E0C37" w:rsidP="00163B1C">
      <w:r>
        <w:t xml:space="preserve">Article L341-1 du CSS : </w:t>
      </w:r>
      <w:r w:rsidR="00A529CB">
        <w:t>« L'assuré a droit à une pension d'invalidité lorsqu'il présente une invalidité réduisant dans des proportions déterminées sa capacité de travail ou de gain, c'est-à-dire le mettant hors d'état de se procurer un salaire supérieur à une fraction de la rémunération soumise à cotisations et contributions sociales qu'il percevait dans la profession qu'il exerçait avant la date de l'interruption de travail suivie d'invalidité ou la date de la constatation médicale de l'invalidité. »</w:t>
      </w:r>
    </w:p>
    <w:p w14:paraId="3BEF7DC3" w14:textId="6DB2551B" w:rsidR="003E0C37" w:rsidRDefault="003E0C37" w:rsidP="00163B1C">
      <w:r>
        <w:t xml:space="preserve">Article R341-2 du CSS : « Pour l'application des dispositions de l'article L. 341-1 : </w:t>
      </w:r>
    </w:p>
    <w:p w14:paraId="69C701D0" w14:textId="2FC88F9E" w:rsidR="003E0C37" w:rsidRDefault="003E0C37" w:rsidP="00163B1C">
      <w:pPr>
        <w:pStyle w:val="Paragraphedeliste"/>
        <w:numPr>
          <w:ilvl w:val="0"/>
          <w:numId w:val="18"/>
        </w:numPr>
      </w:pPr>
      <w:r>
        <w:t xml:space="preserve">L’invalidité que présente l'assuré doit réduire au moins des 2/3 sa capacité de travail ou de gain  </w:t>
      </w:r>
    </w:p>
    <w:p w14:paraId="7F8495D9" w14:textId="28344192" w:rsidR="00A529CB" w:rsidRDefault="003E0C37" w:rsidP="00163B1C">
      <w:pPr>
        <w:pStyle w:val="Paragraphedeliste"/>
        <w:numPr>
          <w:ilvl w:val="0"/>
          <w:numId w:val="18"/>
        </w:numPr>
      </w:pPr>
      <w:r>
        <w:t>Le salaire de référence ne doit pas être supérieur au tiers de la rémunération normale mentionnée audit article. »</w:t>
      </w:r>
    </w:p>
    <w:p w14:paraId="3CDCEE25" w14:textId="77777777" w:rsidR="003E0C37" w:rsidRDefault="003E0C37" w:rsidP="00163B1C">
      <w:r>
        <w:t xml:space="preserve">Article L341-4 du CSS : « En vue de la détermination du montant de la pension, les invalides sont classés comme suit : </w:t>
      </w:r>
    </w:p>
    <w:p w14:paraId="04C9C288" w14:textId="77777777" w:rsidR="003E0C37" w:rsidRDefault="003E0C37" w:rsidP="00163B1C">
      <w:pPr>
        <w:pStyle w:val="Paragraphedeliste"/>
        <w:numPr>
          <w:ilvl w:val="0"/>
          <w:numId w:val="19"/>
        </w:numPr>
      </w:pPr>
      <w:r>
        <w:t xml:space="preserve">Invalides capables d'exercer une activité rémunérée ; </w:t>
      </w:r>
    </w:p>
    <w:p w14:paraId="63734EB6" w14:textId="77777777" w:rsidR="003E0C37" w:rsidRDefault="003E0C37" w:rsidP="00163B1C">
      <w:pPr>
        <w:pStyle w:val="Paragraphedeliste"/>
        <w:numPr>
          <w:ilvl w:val="0"/>
          <w:numId w:val="19"/>
        </w:numPr>
      </w:pPr>
      <w:r>
        <w:t xml:space="preserve">Invalides absolument incapables d'exercer une profession quelconque ; </w:t>
      </w:r>
    </w:p>
    <w:p w14:paraId="68BD1599" w14:textId="1BE83BE9" w:rsidR="001B7625" w:rsidRPr="00FE2857" w:rsidRDefault="003E0C37" w:rsidP="00163B1C">
      <w:pPr>
        <w:pStyle w:val="Paragraphedeliste"/>
        <w:numPr>
          <w:ilvl w:val="0"/>
          <w:numId w:val="19"/>
        </w:numPr>
      </w:pPr>
      <w:r>
        <w:t>Invalides qui, étant absolument incapables d'exercer une profession, sont, en outre, dans l'obligation d'avoir recours à l'assistance d'une tierce personne pour effectuer les actes ordinaires de la vie. »</w:t>
      </w:r>
    </w:p>
    <w:p w14:paraId="12ACFFD7" w14:textId="5944A37D" w:rsidR="003E0C37" w:rsidRPr="00025912" w:rsidRDefault="003E0C37" w:rsidP="00163B1C">
      <w:pPr>
        <w:rPr>
          <w:u w:val="single"/>
        </w:rPr>
      </w:pPr>
      <w:r w:rsidRPr="00025912">
        <w:rPr>
          <w:u w:val="single"/>
        </w:rPr>
        <w:t xml:space="preserve">Conditions d’ouverture des droits </w:t>
      </w:r>
      <w:r>
        <w:rPr>
          <w:u w:val="single"/>
        </w:rPr>
        <w:t>de l’assurance Invalidité</w:t>
      </w:r>
      <w:r w:rsidRPr="00025912">
        <w:rPr>
          <w:u w:val="single"/>
        </w:rPr>
        <w:t> :</w:t>
      </w:r>
    </w:p>
    <w:p w14:paraId="5D272E0A" w14:textId="0AA36211" w:rsidR="00397EA1" w:rsidRDefault="003E0C37" w:rsidP="00163B1C">
      <w:r>
        <w:t>Les conditions d’ouverture des droits à l’assurance Invalidité sont les suivantes :</w:t>
      </w:r>
    </w:p>
    <w:p w14:paraId="6884B631" w14:textId="7DBD357E" w:rsidR="00397EA1" w:rsidRDefault="00397EA1" w:rsidP="00163B1C">
      <w:pPr>
        <w:pStyle w:val="Paragraphedeliste"/>
        <w:numPr>
          <w:ilvl w:val="0"/>
          <w:numId w:val="15"/>
        </w:numPr>
      </w:pPr>
      <w:r>
        <w:t>Être</w:t>
      </w:r>
      <w:r w:rsidRPr="00397EA1">
        <w:t xml:space="preserve"> </w:t>
      </w:r>
      <w:r>
        <w:t xml:space="preserve">immatriculé depuis au moins 12 mois au moment de l'arrêt de travail </w:t>
      </w:r>
      <w:proofErr w:type="gramStart"/>
      <w:r>
        <w:t>suite à</w:t>
      </w:r>
      <w:proofErr w:type="gramEnd"/>
      <w:r>
        <w:t xml:space="preserve"> l’invalidité ou au moment de la constatation de l’invalidité par le médecin conseil de la caisse d'Assurance Maladie ;</w:t>
      </w:r>
    </w:p>
    <w:p w14:paraId="04B654A8" w14:textId="490878D7" w:rsidR="00397EA1" w:rsidRDefault="00397EA1" w:rsidP="00163B1C">
      <w:pPr>
        <w:pStyle w:val="Paragraphedeliste"/>
        <w:numPr>
          <w:ilvl w:val="0"/>
          <w:numId w:val="15"/>
        </w:numPr>
      </w:pPr>
      <w:r>
        <w:t>Justifier, au cours des 12 mois qui précédent l’arrêt de travail pour invalidité ou constatation médicale de l'invalidité,</w:t>
      </w:r>
    </w:p>
    <w:p w14:paraId="6510B46F" w14:textId="7A92317E" w:rsidR="00397EA1" w:rsidRDefault="00397EA1" w:rsidP="00163B1C">
      <w:pPr>
        <w:pStyle w:val="Paragraphedeliste"/>
        <w:numPr>
          <w:ilvl w:val="1"/>
          <w:numId w:val="15"/>
        </w:numPr>
        <w:ind w:left="1210"/>
      </w:pPr>
      <w:r>
        <w:t>Soit avoir effectué au moins 600 heures de travail salarié ;</w:t>
      </w:r>
    </w:p>
    <w:p w14:paraId="0282C8AC" w14:textId="2F6E1C79" w:rsidR="00397EA1" w:rsidRDefault="00397EA1" w:rsidP="00163B1C">
      <w:pPr>
        <w:pStyle w:val="Paragraphedeliste"/>
        <w:numPr>
          <w:ilvl w:val="1"/>
          <w:numId w:val="15"/>
        </w:numPr>
        <w:ind w:left="1210"/>
      </w:pPr>
      <w:r>
        <w:t>Soit avoir cotisé sur un salaire au moins égal à 2 030 fois le SMIC horaire.</w:t>
      </w:r>
    </w:p>
    <w:p w14:paraId="1BC19310" w14:textId="59E7F587" w:rsidR="000046F7" w:rsidRPr="000046F7" w:rsidRDefault="00C85FED" w:rsidP="00163B1C">
      <w:pPr>
        <w:rPr>
          <w:u w:val="single"/>
        </w:rPr>
      </w:pPr>
      <w:r>
        <w:rPr>
          <w:u w:val="single"/>
        </w:rPr>
        <w:t>La pension d’invalidité :</w:t>
      </w:r>
    </w:p>
    <w:p w14:paraId="680739B8" w14:textId="77777777" w:rsidR="000046F7" w:rsidRDefault="000046F7" w:rsidP="00163B1C">
      <w:pPr>
        <w:pStyle w:val="Paragraphedeliste"/>
        <w:numPr>
          <w:ilvl w:val="0"/>
          <w:numId w:val="9"/>
        </w:numPr>
        <w:ind w:left="1210"/>
      </w:pPr>
      <w:r>
        <w:t>Durée de service des indemnités journalières :</w:t>
      </w:r>
    </w:p>
    <w:p w14:paraId="584E2A6F" w14:textId="34CEABBA" w:rsidR="00F16702" w:rsidRPr="00F16702" w:rsidRDefault="000046F7" w:rsidP="00163B1C">
      <w:r>
        <w:lastRenderedPageBreak/>
        <w:t xml:space="preserve">La pension invalidité </w:t>
      </w:r>
      <w:r w:rsidR="00F16702">
        <w:t>est interrompue en totalité ou en partie en cas de reprise du travail, sinon elle prend fin à l’âge de la retraite prévu par la loi, elle est alors remplacée par la pension de vieillesse allouée en cas d’inaptitude au travail.</w:t>
      </w:r>
    </w:p>
    <w:p w14:paraId="49BEB911" w14:textId="3AE8326C" w:rsidR="00F16702" w:rsidRDefault="00F16702" w:rsidP="00163B1C">
      <w:pPr>
        <w:pStyle w:val="Paragraphedeliste"/>
        <w:numPr>
          <w:ilvl w:val="0"/>
          <w:numId w:val="9"/>
        </w:numPr>
        <w:ind w:left="1210"/>
      </w:pPr>
      <w:r>
        <w:t>Montant de la pension invalidité :</w:t>
      </w:r>
    </w:p>
    <w:p w14:paraId="3C4872D0" w14:textId="2122DB28" w:rsidR="00F16702" w:rsidRDefault="00F16702" w:rsidP="00163B1C">
      <w:r>
        <w:t xml:space="preserve">Le montant de la pension d’invalidité versée par la Sécurité Sociale est calculé via le salaire annuel moyen égal à la moyenne des salaires annuels </w:t>
      </w:r>
      <w:r w:rsidR="00C85FED">
        <w:t>bruts plafonnés à la tranche A des dix meilleures années d’activité</w:t>
      </w:r>
      <w:r>
        <w:t>.</w:t>
      </w:r>
      <w:r w:rsidR="00C85FED">
        <w:t xml:space="preserve"> Le montant de la pension d’invalidité est le suivant :</w:t>
      </w:r>
    </w:p>
    <w:p w14:paraId="0AAA569F" w14:textId="7DA030A7" w:rsidR="00C85FED" w:rsidRDefault="00C85FED" w:rsidP="00163B1C">
      <w:pPr>
        <w:pStyle w:val="Paragraphedeliste"/>
        <w:numPr>
          <w:ilvl w:val="0"/>
          <w:numId w:val="21"/>
        </w:numPr>
      </w:pPr>
      <w:r>
        <w:t xml:space="preserve">1ère catégorie = 30 % du salaire annuel moyen </w:t>
      </w:r>
    </w:p>
    <w:p w14:paraId="33F55EF9" w14:textId="1B19FB56" w:rsidR="00C85FED" w:rsidRDefault="00C85FED" w:rsidP="00163B1C">
      <w:pPr>
        <w:pStyle w:val="Paragraphedeliste"/>
        <w:numPr>
          <w:ilvl w:val="0"/>
          <w:numId w:val="21"/>
        </w:numPr>
      </w:pPr>
      <w:r>
        <w:t xml:space="preserve">2ème catégorie = 50 % du salaire annuel moyen </w:t>
      </w:r>
    </w:p>
    <w:p w14:paraId="06AA7078" w14:textId="4A582D6F" w:rsidR="00C85FED" w:rsidRPr="005F1B32" w:rsidRDefault="00C85FED" w:rsidP="00163B1C">
      <w:pPr>
        <w:pStyle w:val="Paragraphedeliste"/>
        <w:numPr>
          <w:ilvl w:val="0"/>
          <w:numId w:val="21"/>
        </w:numPr>
      </w:pPr>
      <w:r>
        <w:t xml:space="preserve">3ème catégorie = 50 % du salaire annuel moyen majoré de l’allocation tierce personne </w:t>
      </w:r>
    </w:p>
    <w:p w14:paraId="16AC71DC" w14:textId="5145FEBE" w:rsidR="00C85FED" w:rsidRPr="005F1B32" w:rsidRDefault="00C85FED" w:rsidP="00163B1C">
      <w:pPr>
        <w:pStyle w:val="Titre4"/>
      </w:pPr>
      <w:r>
        <w:t>L’assurance Décès</w:t>
      </w:r>
    </w:p>
    <w:p w14:paraId="447536A4" w14:textId="1FEFD17F" w:rsidR="00C85FED" w:rsidRDefault="00C85FED" w:rsidP="00163B1C">
      <w:pPr>
        <w:rPr>
          <w:u w:val="single"/>
        </w:rPr>
      </w:pPr>
      <w:r w:rsidRPr="004167E1">
        <w:rPr>
          <w:u w:val="single"/>
        </w:rPr>
        <w:t>Définition</w:t>
      </w:r>
      <w:r>
        <w:rPr>
          <w:u w:val="single"/>
        </w:rPr>
        <w:t xml:space="preserve"> et condition d’ouverture des droits de</w:t>
      </w:r>
      <w:r w:rsidRPr="004167E1">
        <w:rPr>
          <w:u w:val="single"/>
        </w:rPr>
        <w:t> </w:t>
      </w:r>
      <w:r>
        <w:rPr>
          <w:u w:val="single"/>
        </w:rPr>
        <w:t xml:space="preserve">l’assurance </w:t>
      </w:r>
      <w:r w:rsidR="00D5746E">
        <w:rPr>
          <w:u w:val="single"/>
        </w:rPr>
        <w:t>Décès</w:t>
      </w:r>
      <w:r>
        <w:rPr>
          <w:u w:val="single"/>
        </w:rPr>
        <w:t xml:space="preserve"> </w:t>
      </w:r>
      <w:r w:rsidRPr="004167E1">
        <w:rPr>
          <w:u w:val="single"/>
        </w:rPr>
        <w:t>:</w:t>
      </w:r>
    </w:p>
    <w:p w14:paraId="1A4594AC" w14:textId="66607A75" w:rsidR="00C85FED" w:rsidRPr="00C85FED" w:rsidRDefault="00C85FED" w:rsidP="00163B1C">
      <w:r>
        <w:t>D’après l’article L361-1 du CSS, l’assurance décès garantit aux ayants droit de l’assuré le paiement d’un capital égal à un multiple du gain journalier de base lorsque l’assuré exerçait une activité salariée moins de trois mois avant le décès, s’il était titulaire d’une pension d’invalidité ou d’une rente allouée en vertu de la législation sur les accidents du travail et maladies professionnelles ou lorsqu’il bénéficiait, au moment du décès, du maintien de ses droits à l’assurance décès.</w:t>
      </w:r>
    </w:p>
    <w:p w14:paraId="4659B203" w14:textId="612CBDCF" w:rsidR="00CE0C9B" w:rsidRDefault="00CE0C9B" w:rsidP="00163B1C">
      <w:pPr>
        <w:rPr>
          <w:u w:val="single"/>
        </w:rPr>
      </w:pPr>
      <w:r>
        <w:rPr>
          <w:u w:val="single"/>
        </w:rPr>
        <w:t xml:space="preserve">Montant du capital décès </w:t>
      </w:r>
      <w:r w:rsidRPr="004167E1">
        <w:rPr>
          <w:u w:val="single"/>
        </w:rPr>
        <w:t>:</w:t>
      </w:r>
    </w:p>
    <w:p w14:paraId="0D0801DD" w14:textId="38C74F9D" w:rsidR="00CE0C9B" w:rsidRDefault="00CE0C9B" w:rsidP="00163B1C">
      <w:r>
        <w:t>Depuis la loi de financement de la sécurité social de 2015, il est égal à un montant forfaitaire fixé par décret et revalorisé chaque année (3 539€ en 2022).</w:t>
      </w:r>
    </w:p>
    <w:p w14:paraId="760F5FD2" w14:textId="5CCCD2FE" w:rsidR="00CE0C9B" w:rsidRDefault="00CE0C9B" w:rsidP="00163B1C">
      <w:pPr>
        <w:pStyle w:val="Titre4"/>
      </w:pPr>
      <w:r>
        <w:t>L’assurance Accident du travail et Maladie Professionnelle</w:t>
      </w:r>
    </w:p>
    <w:p w14:paraId="7468B2CE" w14:textId="3EEB6D71" w:rsidR="00D5746E" w:rsidRDefault="00D5746E" w:rsidP="00163B1C">
      <w:pPr>
        <w:rPr>
          <w:u w:val="single"/>
        </w:rPr>
      </w:pPr>
      <w:r w:rsidRPr="004167E1">
        <w:rPr>
          <w:u w:val="single"/>
        </w:rPr>
        <w:t>Définition</w:t>
      </w:r>
      <w:r w:rsidR="00AC7AE8">
        <w:rPr>
          <w:u w:val="single"/>
        </w:rPr>
        <w:t>s</w:t>
      </w:r>
      <w:r>
        <w:rPr>
          <w:u w:val="single"/>
        </w:rPr>
        <w:t xml:space="preserve"> </w:t>
      </w:r>
      <w:r w:rsidRPr="004167E1">
        <w:rPr>
          <w:u w:val="single"/>
        </w:rPr>
        <w:t>:</w:t>
      </w:r>
    </w:p>
    <w:p w14:paraId="7E8896E5" w14:textId="74F46F8A" w:rsidR="00CE0C9B" w:rsidRDefault="00AC7AE8" w:rsidP="00163B1C">
      <w:r>
        <w:t>D’après l’article L411-1 du CSS, est considéré comme accident du travail un accident survenu par le fait ou à l’occasion du travail à toute personne salariée ou travaillant, à quelque titre ou en quelque lieu que ce soit, pour un ou plusieurs employeurs ou chefs d'entreprise. De plus, est aussi considéré comme accident du travail l'accident qui est survenu à un travailleur, pendant le trajet d'aller et de retour, entre :</w:t>
      </w:r>
    </w:p>
    <w:p w14:paraId="6067FF9C" w14:textId="79DF82CB" w:rsidR="00AC7AE8" w:rsidRDefault="00AC7AE8" w:rsidP="00163B1C">
      <w:pPr>
        <w:pStyle w:val="Paragraphedeliste"/>
        <w:numPr>
          <w:ilvl w:val="0"/>
          <w:numId w:val="22"/>
        </w:numPr>
        <w:ind w:left="1210"/>
      </w:pPr>
      <w:r>
        <w:t>Tout lieu où le travailleur se rend de façon habituelle (résidence principale, résidence secondaire, …) et le lieu de travail.</w:t>
      </w:r>
    </w:p>
    <w:p w14:paraId="0EA9A640" w14:textId="24FE71FF" w:rsidR="00AC7AE8" w:rsidRDefault="00456F0C" w:rsidP="00163B1C">
      <w:pPr>
        <w:pStyle w:val="Paragraphedeliste"/>
        <w:numPr>
          <w:ilvl w:val="0"/>
          <w:numId w:val="22"/>
        </w:numPr>
        <w:ind w:left="1210"/>
      </w:pPr>
      <w:r>
        <w:t>Le lieu où le travailleur prend habituellement ses repas dans la mesure où le parcours n'a pas été interrompu ou détourné pour un motif dicté par l'intérêt personnel et étranger aux nécessités essentielles de la vie courante ou indépendant de l'emploi et le lieu de travail.</w:t>
      </w:r>
    </w:p>
    <w:p w14:paraId="5068068C" w14:textId="69CBC8C8" w:rsidR="00456F0C" w:rsidRDefault="00456F0C" w:rsidP="00163B1C">
      <w:r>
        <w:t>Pour ce qui est des maladies professionnelles, d’après l’article L411-1, est présumée d'origine professionnelle toute maladie désignée dans un tableau de maladies professionnelles et contractée dans les conditions mentionnées à ce tableau.</w:t>
      </w:r>
    </w:p>
    <w:p w14:paraId="41456C4F" w14:textId="5B7D16AB" w:rsidR="00D5746E" w:rsidRDefault="00456F0C" w:rsidP="00163B1C">
      <w:pPr>
        <w:tabs>
          <w:tab w:val="left" w:pos="1770"/>
        </w:tabs>
      </w:pPr>
      <w:r>
        <w:t>Aucune condition n’est formulée pour l’ouverture des droits.</w:t>
      </w:r>
    </w:p>
    <w:p w14:paraId="1B628B7D" w14:textId="188882A1" w:rsidR="00456F0C" w:rsidRDefault="00456F0C" w:rsidP="00163B1C">
      <w:pPr>
        <w:rPr>
          <w:u w:val="single"/>
        </w:rPr>
      </w:pPr>
      <w:r>
        <w:rPr>
          <w:u w:val="single"/>
        </w:rPr>
        <w:t>Les</w:t>
      </w:r>
      <w:r w:rsidRPr="00B610EB">
        <w:rPr>
          <w:u w:val="single"/>
        </w:rPr>
        <w:t xml:space="preserve"> indemnités journalières</w:t>
      </w:r>
      <w:r>
        <w:rPr>
          <w:u w:val="single"/>
        </w:rPr>
        <w:t> :</w:t>
      </w:r>
    </w:p>
    <w:p w14:paraId="48080EF0" w14:textId="429AAA93" w:rsidR="00456F0C" w:rsidRPr="00456F0C" w:rsidRDefault="00456F0C" w:rsidP="00163B1C">
      <w:pPr>
        <w:pStyle w:val="Paragraphedeliste"/>
        <w:numPr>
          <w:ilvl w:val="0"/>
          <w:numId w:val="9"/>
        </w:numPr>
        <w:ind w:left="1210"/>
      </w:pPr>
      <w:r>
        <w:t>Délai de carence :</w:t>
      </w:r>
    </w:p>
    <w:p w14:paraId="68DB7F60" w14:textId="773B7A9F" w:rsidR="00456F0C" w:rsidRDefault="00456F0C" w:rsidP="00163B1C">
      <w:pPr>
        <w:tabs>
          <w:tab w:val="left" w:pos="1770"/>
        </w:tabs>
      </w:pPr>
      <w:r>
        <w:lastRenderedPageBreak/>
        <w:t>Aucun délai de carence n’est applicable : l’indemnité est due à partir du 1er jour suivant l'arrêt du travail, pendant toute la période d'incapacité de travail qui précède soit la guérison complète, soit la consolidation de l’état ou le décès.</w:t>
      </w:r>
    </w:p>
    <w:p w14:paraId="1C983E4C" w14:textId="0F36986D" w:rsidR="00456F0C" w:rsidRDefault="00456F0C" w:rsidP="00163B1C">
      <w:pPr>
        <w:pStyle w:val="Paragraphedeliste"/>
        <w:numPr>
          <w:ilvl w:val="0"/>
          <w:numId w:val="9"/>
        </w:numPr>
        <w:ind w:left="1210"/>
      </w:pPr>
      <w:r>
        <w:t>Montant de l’indemnisation :</w:t>
      </w:r>
    </w:p>
    <w:p w14:paraId="3FDC15C8" w14:textId="59546557" w:rsidR="00456F0C" w:rsidRDefault="00456F0C" w:rsidP="00163B1C">
      <w:pPr>
        <w:tabs>
          <w:tab w:val="left" w:pos="1770"/>
        </w:tabs>
      </w:pPr>
      <w:r>
        <w:t>Ce montant est calculé via le salaire journalier de base dont le calcul a été détaillé précédemment, le montant de l’indemnité est le suivant :</w:t>
      </w:r>
    </w:p>
    <w:p w14:paraId="64FCF09F" w14:textId="6C8C20CC" w:rsidR="00456F0C" w:rsidRDefault="00456F0C" w:rsidP="00163B1C">
      <w:pPr>
        <w:pStyle w:val="Paragraphedeliste"/>
        <w:numPr>
          <w:ilvl w:val="0"/>
          <w:numId w:val="23"/>
        </w:numPr>
        <w:tabs>
          <w:tab w:val="left" w:pos="1770"/>
        </w:tabs>
      </w:pPr>
      <w:r>
        <w:t>60 % du salaire journalier de base jusqu’au 28ème jour</w:t>
      </w:r>
    </w:p>
    <w:p w14:paraId="2FE4CDE9" w14:textId="3AA81224" w:rsidR="00D5746E" w:rsidRDefault="00456F0C" w:rsidP="00163B1C">
      <w:pPr>
        <w:pStyle w:val="Paragraphedeliste"/>
        <w:numPr>
          <w:ilvl w:val="0"/>
          <w:numId w:val="23"/>
        </w:numPr>
        <w:tabs>
          <w:tab w:val="left" w:pos="1770"/>
        </w:tabs>
      </w:pPr>
      <w:r>
        <w:t xml:space="preserve">80 % du salaire journalier de base à partir du 29ème jour d’arrêt </w:t>
      </w:r>
    </w:p>
    <w:p w14:paraId="7D755CBD" w14:textId="14C052CC" w:rsidR="000649C9" w:rsidRDefault="000649C9" w:rsidP="00163B1C">
      <w:r>
        <w:t>De plus, une des spécificités de cette assurance est le taux d’incapacité permanente, taux qui est proposé par un médecin conseil lors d’un contrôle médical organisé par la caisse d’Assurance Maladie de l’assuré.</w:t>
      </w:r>
    </w:p>
    <w:p w14:paraId="31352B89" w14:textId="5FEA3CD1" w:rsidR="000649C9" w:rsidRDefault="000649C9" w:rsidP="00163B1C">
      <w:r>
        <w:t>Le montant de la prestation est alors dicté par ce taux :</w:t>
      </w:r>
    </w:p>
    <w:p w14:paraId="382BF751" w14:textId="43A80C93" w:rsidR="000649C9" w:rsidRDefault="000649C9" w:rsidP="00163B1C">
      <w:pPr>
        <w:pStyle w:val="Paragraphedeliste"/>
        <w:numPr>
          <w:ilvl w:val="0"/>
          <w:numId w:val="24"/>
        </w:numPr>
      </w:pPr>
      <w:r>
        <w:t>Si taux &lt; 10% : Un capital est versé en fonction du taux d’incapacité de la victime sur la base d’un barème forfaitaire.</w:t>
      </w:r>
    </w:p>
    <w:p w14:paraId="6FEC317F" w14:textId="5954B0D4" w:rsidR="00A74A85" w:rsidRDefault="00A74A85" w:rsidP="00163B1C">
      <w:pPr>
        <w:pStyle w:val="Paragraphedeliste"/>
        <w:numPr>
          <w:ilvl w:val="0"/>
          <w:numId w:val="24"/>
        </w:numPr>
      </w:pPr>
      <w:r>
        <w:t>Si taux ≥ 10% : Versement d’une rente viagère égale au salaire annuel multiplié par le taux d'incapacité qui peut être réduit ou augmenté en fonction de la gravité de celle-ci</w:t>
      </w:r>
    </w:p>
    <w:p w14:paraId="6D7FC9FC" w14:textId="68E3BE49" w:rsidR="005F1B32" w:rsidRDefault="005F1B32" w:rsidP="00163B1C">
      <w:pPr>
        <w:pStyle w:val="Titre3"/>
      </w:pPr>
    </w:p>
    <w:p w14:paraId="59E3018C" w14:textId="715F7547" w:rsidR="000273B5" w:rsidRPr="000273B5" w:rsidRDefault="000273B5" w:rsidP="00163B1C">
      <w:pPr>
        <w:pStyle w:val="Titre3"/>
      </w:pPr>
      <w:bookmarkStart w:id="5" w:name="_Toc112070539"/>
      <w:r>
        <w:t>Panorama de l’offre de couverture complémentaire</w:t>
      </w:r>
      <w:bookmarkEnd w:id="5"/>
    </w:p>
    <w:p w14:paraId="1F0B726C" w14:textId="63EF6D62" w:rsidR="003C752A" w:rsidRDefault="000273B5" w:rsidP="00163B1C">
      <w:pPr>
        <w:pStyle w:val="Titre4"/>
      </w:pPr>
      <w:r>
        <w:t>Organisation du marché de l’assurance complémentaire</w:t>
      </w:r>
    </w:p>
    <w:p w14:paraId="2B210989" w14:textId="3924649B" w:rsidR="003C752A" w:rsidRDefault="003C752A" w:rsidP="00163B1C">
      <w:r>
        <w:t xml:space="preserve">Le marché de l’assurance complémentaire est </w:t>
      </w:r>
      <w:r w:rsidR="005F1B32">
        <w:t>composé</w:t>
      </w:r>
      <w:r>
        <w:t xml:space="preserve"> </w:t>
      </w:r>
      <w:r w:rsidR="005F1B32">
        <w:t>de</w:t>
      </w:r>
      <w:r>
        <w:t xml:space="preserve"> quatre acteurs principaux :</w:t>
      </w:r>
    </w:p>
    <w:p w14:paraId="37841B24" w14:textId="159ECB85" w:rsidR="003C752A" w:rsidRDefault="003C752A" w:rsidP="00163B1C">
      <w:pPr>
        <w:pStyle w:val="Paragraphedeliste"/>
        <w:numPr>
          <w:ilvl w:val="0"/>
          <w:numId w:val="9"/>
        </w:numPr>
        <w:ind w:left="927"/>
      </w:pPr>
      <w:r w:rsidRPr="005F1B32">
        <w:rPr>
          <w:b/>
          <w:bCs/>
        </w:rPr>
        <w:t>Les organismes assureur :</w:t>
      </w:r>
      <w:r>
        <w:t xml:space="preserve"> mutuelle, institut de prévoyance, société d’assurance. Ces organismes sont régis par des réglementations différentes et ont un mode de fonctionnement qui leur est propre et chaque organisme à son domaine d’intervention privilégié.</w:t>
      </w:r>
    </w:p>
    <w:p w14:paraId="2A7350E5" w14:textId="014799DE" w:rsidR="003C752A" w:rsidRDefault="003C752A" w:rsidP="00163B1C">
      <w:pPr>
        <w:pStyle w:val="Paragraphedeliste"/>
        <w:numPr>
          <w:ilvl w:val="0"/>
          <w:numId w:val="9"/>
        </w:numPr>
        <w:ind w:left="927"/>
      </w:pPr>
      <w:r w:rsidRPr="005F1B32">
        <w:rPr>
          <w:b/>
          <w:bCs/>
        </w:rPr>
        <w:t>Les courtiers :</w:t>
      </w:r>
      <w:r>
        <w:t xml:space="preserve"> c’est un travailleur indépendant qui n’est pas lié à une compagnie d’assurance, il est un intermédiaire au contrat.</w:t>
      </w:r>
    </w:p>
    <w:p w14:paraId="2D5264F8" w14:textId="3135A03F" w:rsidR="003C752A" w:rsidRDefault="003C752A" w:rsidP="00163B1C">
      <w:pPr>
        <w:pStyle w:val="Paragraphedeliste"/>
        <w:numPr>
          <w:ilvl w:val="0"/>
          <w:numId w:val="9"/>
        </w:numPr>
        <w:ind w:left="927"/>
      </w:pPr>
      <w:r w:rsidRPr="005F1B32">
        <w:rPr>
          <w:b/>
          <w:bCs/>
        </w:rPr>
        <w:t>Les gestionnaires :</w:t>
      </w:r>
      <w:r>
        <w:t xml:space="preserve"> soit rattachés de près ou de loin à un cabinet de courtage, soit indépendants, ces entreprises sont dédiées à la gestion administrative des contrats de Prévoyance, Santé, contrats Emprunteurs, …</w:t>
      </w:r>
    </w:p>
    <w:p w14:paraId="5D32F36F" w14:textId="492B2B7F" w:rsidR="000273B5" w:rsidRDefault="003C752A" w:rsidP="00163B1C">
      <w:pPr>
        <w:pStyle w:val="Paragraphedeliste"/>
        <w:numPr>
          <w:ilvl w:val="0"/>
          <w:numId w:val="9"/>
        </w:numPr>
        <w:ind w:left="927"/>
      </w:pPr>
      <w:r w:rsidRPr="005F1B32">
        <w:rPr>
          <w:b/>
          <w:bCs/>
        </w:rPr>
        <w:t>Les entreprises de conseil :</w:t>
      </w:r>
      <w:r w:rsidR="00F22DB5">
        <w:t xml:space="preserve"> elles portent assistance à l’entreprise </w:t>
      </w:r>
      <w:r w:rsidR="00FB0A25">
        <w:t>et possède des domaines de compétences et d’interventions souvent variés (Retraite, Santé, Prévoyance, …)</w:t>
      </w:r>
    </w:p>
    <w:p w14:paraId="3A5E2A8D" w14:textId="2D76D890" w:rsidR="000046F7" w:rsidRDefault="004108B0" w:rsidP="00163B1C">
      <w:pPr>
        <w:pStyle w:val="Titre4"/>
      </w:pPr>
      <w:r>
        <w:t>Les garanties de prévoyance complémentaire</w:t>
      </w:r>
    </w:p>
    <w:p w14:paraId="085D59F0" w14:textId="7BCC6CAC" w:rsidR="004108B0" w:rsidRDefault="004108B0" w:rsidP="00163B1C">
      <w:r>
        <w:t>Dans un premier temps, il faut distinguer les deux secteurs principaux du périmètre de la protection sociale complémentaire en France, ces deux secteurs sont : L’épargne retraite et la Prévoyance.</w:t>
      </w:r>
    </w:p>
    <w:p w14:paraId="5F2BF73B" w14:textId="0767EBE3" w:rsidR="004108B0" w:rsidRDefault="004108B0" w:rsidP="00163B1C">
      <w:r>
        <w:t>Les garanties collectives d’un tel contrat ont objectif de prévoir pour les salariés, les anciens salariés et leurs ayants droit, la couverture du risque décès, des risques portant atteinte à l'intégrité physique de la personne ou liés à la maternité, des risques d'incapacité de travail ou d'invalidité, des risques d'inaptitude et du risque chômage, ainsi que la constitution d'avantages sous forme de pensions de retraite, d'indemnités ou de primes de départ en retraite ou de fin de carrière.</w:t>
      </w:r>
    </w:p>
    <w:p w14:paraId="2D3B3B21" w14:textId="4EB87A0A" w:rsidR="003F0B1C" w:rsidRDefault="003F0B1C" w:rsidP="00163B1C">
      <w:pPr>
        <w:pStyle w:val="Paragraphedeliste"/>
        <w:numPr>
          <w:ilvl w:val="0"/>
          <w:numId w:val="27"/>
        </w:numPr>
        <w:ind w:left="1210"/>
      </w:pPr>
      <w:r>
        <w:t>Les Frais de Santé</w:t>
      </w:r>
    </w:p>
    <w:p w14:paraId="25A387DB" w14:textId="3202258D" w:rsidR="000C235A" w:rsidRPr="00070EF6" w:rsidRDefault="00070EF6" w:rsidP="00397EA1">
      <w:r>
        <w:rPr>
          <w:noProof/>
        </w:rPr>
        <w:lastRenderedPageBreak/>
        <w:drawing>
          <wp:anchor distT="0" distB="0" distL="114300" distR="114300" simplePos="0" relativeHeight="251658240" behindDoc="1" locked="0" layoutInCell="1" allowOverlap="1" wp14:anchorId="4B643CF8" wp14:editId="58D0D692">
            <wp:simplePos x="0" y="0"/>
            <wp:positionH relativeFrom="margin">
              <wp:align>center</wp:align>
            </wp:positionH>
            <wp:positionV relativeFrom="paragraph">
              <wp:posOffset>544</wp:posOffset>
            </wp:positionV>
            <wp:extent cx="5337175" cy="2583180"/>
            <wp:effectExtent l="0" t="0" r="0" b="7620"/>
            <wp:wrapTight wrapText="bothSides">
              <wp:wrapPolygon edited="0">
                <wp:start x="0" y="0"/>
                <wp:lineTo x="0" y="21504"/>
                <wp:lineTo x="21510" y="21504"/>
                <wp:lineTo x="2151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37175" cy="2583180"/>
                    </a:xfrm>
                    <a:prstGeom prst="rect">
                      <a:avLst/>
                    </a:prstGeom>
                  </pic:spPr>
                </pic:pic>
              </a:graphicData>
            </a:graphic>
            <wp14:sizeRelH relativeFrom="page">
              <wp14:pctWidth>0</wp14:pctWidth>
            </wp14:sizeRelH>
            <wp14:sizeRelV relativeFrom="page">
              <wp14:pctHeight>0</wp14:pctHeight>
            </wp14:sizeRelV>
          </wp:anchor>
        </w:drawing>
      </w:r>
      <w:r w:rsidR="003F0B1C">
        <w:t xml:space="preserve">La garantie complémentaire frais de santé intervient en complément de la Sécurité Sociale, voire même dans certains cas lorsque la Sécurité Sociale n’intervient pas. </w:t>
      </w:r>
    </w:p>
    <w:p w14:paraId="2C7A95CE" w14:textId="6A2109AC" w:rsidR="00D46B28" w:rsidRDefault="00D46B28" w:rsidP="00D46B28">
      <w:pPr>
        <w:pStyle w:val="Paragraphedeliste"/>
        <w:numPr>
          <w:ilvl w:val="0"/>
          <w:numId w:val="27"/>
        </w:numPr>
        <w:spacing w:after="0"/>
        <w:ind w:left="1210"/>
      </w:pPr>
      <w:r>
        <w:t>La Prévoyance Lourde</w:t>
      </w:r>
    </w:p>
    <w:p w14:paraId="107CFD9A" w14:textId="77777777" w:rsidR="00D46B28" w:rsidRDefault="00D46B28" w:rsidP="00D46B28">
      <w:pPr>
        <w:spacing w:after="0"/>
        <w:ind w:left="850"/>
      </w:pPr>
    </w:p>
    <w:p w14:paraId="7F93EF26" w14:textId="005BC44A" w:rsidR="00D46B28" w:rsidRDefault="00D46B28" w:rsidP="00D46B28">
      <w:pPr>
        <w:pStyle w:val="Paragraphedeliste"/>
        <w:numPr>
          <w:ilvl w:val="0"/>
          <w:numId w:val="28"/>
        </w:numPr>
        <w:spacing w:after="120"/>
        <w:ind w:left="643"/>
      </w:pPr>
      <w:r>
        <w:t>Capitaux Décès :</w:t>
      </w:r>
    </w:p>
    <w:p w14:paraId="5B860181" w14:textId="51B45A46" w:rsidR="00D46B28" w:rsidRDefault="00D46B28" w:rsidP="00163B1C">
      <w:pPr>
        <w:spacing w:after="0"/>
        <w:ind w:left="283"/>
      </w:pPr>
      <w:r>
        <w:t>Le capital décès est versé par la complémentaire en cas de décès de l’assuré mais peut aussi être versée par anticipation en cas d’IAD (Invalidité Absolue et Définitive). Son montant dépend de la rémunération annuelle brute de l’assuré.</w:t>
      </w:r>
    </w:p>
    <w:p w14:paraId="0EF8182F" w14:textId="5A8BAA73" w:rsidR="00D46B28" w:rsidRDefault="00D46B28" w:rsidP="00163B1C">
      <w:pPr>
        <w:spacing w:after="120"/>
        <w:ind w:left="283"/>
      </w:pPr>
      <w:r>
        <w:t xml:space="preserve">Ce capital est parfois accompagné de garanties annexes </w:t>
      </w:r>
      <w:r w:rsidR="00CC560A">
        <w:t>comme une garantie frais d’obsèques, majoration en cas décès accidentel, garantie « double effet » (en cas de décès du conjoint survivant, versement d’un capital aux enfants à charge), capital « pré-décès », …</w:t>
      </w:r>
    </w:p>
    <w:p w14:paraId="70816D89" w14:textId="2472F06E" w:rsidR="00CC560A" w:rsidRDefault="00CC560A" w:rsidP="00163B1C">
      <w:pPr>
        <w:pStyle w:val="Paragraphedeliste"/>
        <w:numPr>
          <w:ilvl w:val="0"/>
          <w:numId w:val="28"/>
        </w:numPr>
        <w:spacing w:after="120"/>
        <w:ind w:left="643"/>
      </w:pPr>
      <w:r>
        <w:t>Rente de Conjoint :</w:t>
      </w:r>
    </w:p>
    <w:p w14:paraId="0A467463" w14:textId="77777777" w:rsidR="00CF7F66" w:rsidRDefault="00CC560A" w:rsidP="00163B1C">
      <w:pPr>
        <w:spacing w:after="0"/>
        <w:ind w:left="283"/>
      </w:pPr>
      <w:r>
        <w:t>La rente de Conjoint est destinée à compenser la disparition d’un revenu immédiat et/ou différé au sein de la famille</w:t>
      </w:r>
      <w:r w:rsidR="00AC1FD6">
        <w:t>, elle peut être de nature viagère ou temporaire dans l’attente de la pension de réversion des régimes de retraite obligatoire.</w:t>
      </w:r>
    </w:p>
    <w:p w14:paraId="687E7636" w14:textId="4569E36C" w:rsidR="00CC560A" w:rsidRDefault="00AC1FD6" w:rsidP="00163B1C">
      <w:pPr>
        <w:spacing w:after="120"/>
        <w:ind w:left="283"/>
      </w:pPr>
      <w:r>
        <w:t xml:space="preserve"> Elle est généralement calculée soit en fonction des droits de réversion acquis auprès des régimes de retraite complémentaire AGIRC-ARRCO, soit en fonction du dernier salaire de l’assuré décédé.</w:t>
      </w:r>
    </w:p>
    <w:p w14:paraId="2EC22C0F" w14:textId="0FF97DC3" w:rsidR="00D46B28" w:rsidRDefault="00CF7F66" w:rsidP="00163B1C">
      <w:pPr>
        <w:pStyle w:val="Paragraphedeliste"/>
        <w:numPr>
          <w:ilvl w:val="0"/>
          <w:numId w:val="28"/>
        </w:numPr>
        <w:spacing w:after="120"/>
        <w:ind w:left="643"/>
      </w:pPr>
      <w:r>
        <w:t>Rente éducation :</w:t>
      </w:r>
    </w:p>
    <w:p w14:paraId="5026E4A5" w14:textId="77777777" w:rsidR="00CF7F66" w:rsidRDefault="00CF7F66" w:rsidP="00163B1C">
      <w:pPr>
        <w:spacing w:after="0"/>
        <w:ind w:left="283"/>
      </w:pPr>
      <w:r>
        <w:t xml:space="preserve">La rente d’éducation est destinée à assurer le versement d’une rente aux enfants à charge de l’assuré décédé, au-delà d’un certain âge, elle peut être conditionnée à la poursuite des études par le bénéficiaire. </w:t>
      </w:r>
    </w:p>
    <w:p w14:paraId="2E019BDA" w14:textId="1ECFA538" w:rsidR="00CF7F66" w:rsidRDefault="00CF7F66" w:rsidP="00163B1C">
      <w:pPr>
        <w:spacing w:after="120"/>
        <w:ind w:left="283"/>
      </w:pPr>
      <w:r>
        <w:t>Le montant de la rente est généralement calculé au prorata du dernier salaire de l’assuré et est généralement exprimée par palier d’âge croissant du bénéficiaire.</w:t>
      </w:r>
    </w:p>
    <w:p w14:paraId="1F0208D2" w14:textId="592E523A" w:rsidR="00CF7F66" w:rsidRDefault="00F3594C" w:rsidP="00163B1C">
      <w:pPr>
        <w:pStyle w:val="Paragraphedeliste"/>
        <w:numPr>
          <w:ilvl w:val="0"/>
          <w:numId w:val="28"/>
        </w:numPr>
        <w:spacing w:after="120"/>
        <w:ind w:left="643"/>
      </w:pPr>
      <w:r>
        <w:t>Incapacité de travail :</w:t>
      </w:r>
    </w:p>
    <w:p w14:paraId="61155BBA" w14:textId="2CC0F34B" w:rsidR="00F3594C" w:rsidRDefault="00F3594C" w:rsidP="00163B1C">
      <w:pPr>
        <w:spacing w:after="0"/>
        <w:ind w:left="283"/>
      </w:pPr>
      <w:r>
        <w:t>La garantie incapacité de travail permet au salarié en arrêt de travail de percevoir des indemnités journalières afin de compenser sa perte de salaire, ces indemnités viennent en complément de la Sécurité Sociale ainsi que du complément de revenu versé par l’employeur.</w:t>
      </w:r>
    </w:p>
    <w:p w14:paraId="014255B3" w14:textId="4AF3C8DB" w:rsidR="00F3594C" w:rsidRDefault="00F3594C" w:rsidP="00163B1C">
      <w:pPr>
        <w:spacing w:after="0"/>
        <w:ind w:left="283"/>
      </w:pPr>
      <w:r>
        <w:t>Les principaux paramètres définissant une garantie incapacité sont :</w:t>
      </w:r>
    </w:p>
    <w:p w14:paraId="056D54C0" w14:textId="53B9E9E4" w:rsidR="00F3594C" w:rsidRDefault="00B948DB" w:rsidP="00163B1C">
      <w:pPr>
        <w:pStyle w:val="Paragraphedeliste"/>
        <w:numPr>
          <w:ilvl w:val="0"/>
          <w:numId w:val="27"/>
        </w:numPr>
        <w:spacing w:after="0"/>
        <w:ind w:left="1210"/>
      </w:pPr>
      <w:r>
        <w:t>La</w:t>
      </w:r>
      <w:r w:rsidR="00F3594C">
        <w:t xml:space="preserve"> franchise : type et durée (ferme ou continue, rétroactive, discontinue)</w:t>
      </w:r>
    </w:p>
    <w:p w14:paraId="114B958D" w14:textId="0E2CF05F" w:rsidR="00F3594C" w:rsidRDefault="00B948DB" w:rsidP="00163B1C">
      <w:pPr>
        <w:pStyle w:val="Paragraphedeliste"/>
        <w:numPr>
          <w:ilvl w:val="0"/>
          <w:numId w:val="27"/>
        </w:numPr>
        <w:spacing w:after="0"/>
        <w:ind w:left="1210"/>
      </w:pPr>
      <w:r>
        <w:t>Le</w:t>
      </w:r>
      <w:r w:rsidR="00F3594C">
        <w:t xml:space="preserve"> montant : en pourcentage du salaire de l’assuré</w:t>
      </w:r>
    </w:p>
    <w:p w14:paraId="23CF5C39" w14:textId="46813529" w:rsidR="00F3594C" w:rsidRDefault="00B948DB" w:rsidP="00163B1C">
      <w:pPr>
        <w:pStyle w:val="Paragraphedeliste"/>
        <w:numPr>
          <w:ilvl w:val="0"/>
          <w:numId w:val="27"/>
        </w:numPr>
        <w:spacing w:after="120"/>
        <w:ind w:left="1210"/>
      </w:pPr>
      <w:r>
        <w:lastRenderedPageBreak/>
        <w:t>L’assiette</w:t>
      </w:r>
      <w:r w:rsidR="00F3594C">
        <w:t xml:space="preserve"> de calcul</w:t>
      </w:r>
    </w:p>
    <w:p w14:paraId="44E4EBA5" w14:textId="27DADEB4" w:rsidR="00F3594C" w:rsidRDefault="00163B1C" w:rsidP="00163B1C">
      <w:pPr>
        <w:spacing w:after="0"/>
        <w:ind w:left="283"/>
      </w:pPr>
      <w:r>
        <w:t>L’employeur est tenu de verser un complément d’indemnisation appelé « Maintien de salaire » sous certaines conditions à un salarié en arrêt de travail. Cette obligation a été mise en place par la loi de mensualisation de 1978 puis améliorée par l’ANI du 11 janvier 2008. Les conditions pour bénéficier du maintien de salaire pour un assuré sont :</w:t>
      </w:r>
    </w:p>
    <w:p w14:paraId="129E6706" w14:textId="07B53BEF" w:rsidR="00163B1C" w:rsidRDefault="00163B1C" w:rsidP="00163B1C">
      <w:pPr>
        <w:pStyle w:val="Paragraphedeliste"/>
        <w:numPr>
          <w:ilvl w:val="0"/>
          <w:numId w:val="29"/>
        </w:numPr>
        <w:spacing w:after="0"/>
        <w:ind w:left="1210"/>
      </w:pPr>
      <w:r>
        <w:t>Condition d’ancienneté : le salarié doit avoir au moins 1 an d’ancienneté</w:t>
      </w:r>
    </w:p>
    <w:p w14:paraId="4EC8E2D1" w14:textId="653EBC62" w:rsidR="00163B1C" w:rsidRDefault="00163B1C" w:rsidP="00163B1C">
      <w:pPr>
        <w:pStyle w:val="Paragraphedeliste"/>
        <w:numPr>
          <w:ilvl w:val="0"/>
          <w:numId w:val="29"/>
        </w:numPr>
        <w:spacing w:after="0"/>
        <w:ind w:left="1210"/>
      </w:pPr>
      <w:r>
        <w:t>Franchise : 7 jours sauf en cas d’arrêt consécutif à un arrêt de travail ou une maladie professionnelle</w:t>
      </w:r>
    </w:p>
    <w:p w14:paraId="73DBD9CB" w14:textId="575BA1E2" w:rsidR="00163B1C" w:rsidRDefault="00163B1C" w:rsidP="00163B1C">
      <w:pPr>
        <w:pStyle w:val="Paragraphedeliste"/>
        <w:numPr>
          <w:ilvl w:val="0"/>
          <w:numId w:val="29"/>
        </w:numPr>
        <w:spacing w:after="0"/>
        <w:ind w:left="1210"/>
      </w:pPr>
      <w:r>
        <w:t xml:space="preserve">L’Employeur doit </w:t>
      </w:r>
      <w:r w:rsidR="00B948DB">
        <w:t>compléter</w:t>
      </w:r>
      <w:r>
        <w:t xml:space="preserve"> les indemnités versées par la Sécurité Sociale à hauteur de 90 %, puis de 66,66 % de la rémunération brute que le salarié aurait gagnée s’il avait continué à travailler, et ce pour </w:t>
      </w:r>
      <w:r w:rsidR="00B948DB">
        <w:t>les durées définies</w:t>
      </w:r>
      <w:r>
        <w:t xml:space="preserve"> ci-dessous :</w:t>
      </w:r>
    </w:p>
    <w:p w14:paraId="1797B407" w14:textId="31E22CA3" w:rsidR="00163B1C" w:rsidRDefault="00163B1C" w:rsidP="00163B1C">
      <w:pPr>
        <w:spacing w:after="0"/>
      </w:pPr>
    </w:p>
    <w:tbl>
      <w:tblPr>
        <w:tblStyle w:val="Grilledutableau"/>
        <w:tblpPr w:leftFromText="141" w:rightFromText="141" w:vertAnchor="text" w:horzAnchor="margin" w:tblpXSpec="right" w:tblpY="-21"/>
        <w:tblW w:w="0" w:type="auto"/>
        <w:tblLook w:val="04A0" w:firstRow="1" w:lastRow="0" w:firstColumn="1" w:lastColumn="0" w:noHBand="0" w:noVBand="1"/>
      </w:tblPr>
      <w:tblGrid>
        <w:gridCol w:w="2782"/>
        <w:gridCol w:w="2693"/>
        <w:gridCol w:w="2693"/>
      </w:tblGrid>
      <w:tr w:rsidR="00163B1C" w14:paraId="1F25B55C" w14:textId="77777777" w:rsidTr="00D2593E">
        <w:trPr>
          <w:trHeight w:val="557"/>
        </w:trPr>
        <w:tc>
          <w:tcPr>
            <w:tcW w:w="2782" w:type="dxa"/>
            <w:shd w:val="clear" w:color="auto" w:fill="1F3864" w:themeFill="accent1" w:themeFillShade="80"/>
            <w:vAlign w:val="center"/>
          </w:tcPr>
          <w:p w14:paraId="771D9C40" w14:textId="77777777" w:rsidR="00163B1C" w:rsidRDefault="00163B1C" w:rsidP="00D2593E">
            <w:pPr>
              <w:pStyle w:val="Paragraphedeliste"/>
              <w:ind w:left="0"/>
              <w:jc w:val="center"/>
            </w:pPr>
            <w:r>
              <w:t>Ancienneté</w:t>
            </w:r>
          </w:p>
        </w:tc>
        <w:tc>
          <w:tcPr>
            <w:tcW w:w="2693" w:type="dxa"/>
            <w:shd w:val="clear" w:color="auto" w:fill="1F3864" w:themeFill="accent1" w:themeFillShade="80"/>
            <w:vAlign w:val="center"/>
          </w:tcPr>
          <w:p w14:paraId="46004733" w14:textId="77777777" w:rsidR="00163B1C" w:rsidRDefault="00163B1C" w:rsidP="00D2593E">
            <w:pPr>
              <w:pStyle w:val="Paragraphedeliste"/>
              <w:ind w:left="0"/>
              <w:jc w:val="center"/>
            </w:pPr>
            <w:r>
              <w:t>90% du salaire brut</w:t>
            </w:r>
          </w:p>
        </w:tc>
        <w:tc>
          <w:tcPr>
            <w:tcW w:w="2693" w:type="dxa"/>
            <w:shd w:val="clear" w:color="auto" w:fill="1F3864" w:themeFill="accent1" w:themeFillShade="80"/>
            <w:vAlign w:val="center"/>
          </w:tcPr>
          <w:p w14:paraId="13B8446D" w14:textId="77777777" w:rsidR="00163B1C" w:rsidRDefault="00163B1C" w:rsidP="00D2593E">
            <w:pPr>
              <w:pStyle w:val="Paragraphedeliste"/>
              <w:ind w:left="0"/>
              <w:jc w:val="center"/>
            </w:pPr>
            <w:r>
              <w:t>66,6% du salaire brut</w:t>
            </w:r>
          </w:p>
        </w:tc>
      </w:tr>
      <w:tr w:rsidR="00163B1C" w14:paraId="065FA935" w14:textId="77777777" w:rsidTr="00D2593E">
        <w:trPr>
          <w:trHeight w:val="341"/>
        </w:trPr>
        <w:tc>
          <w:tcPr>
            <w:tcW w:w="2782" w:type="dxa"/>
            <w:tcBorders>
              <w:bottom w:val="nil"/>
            </w:tcBorders>
          </w:tcPr>
          <w:p w14:paraId="04AB40E6" w14:textId="7099E359" w:rsidR="00163B1C" w:rsidRDefault="00D2593E" w:rsidP="00163B1C">
            <w:pPr>
              <w:pStyle w:val="Paragraphedeliste"/>
              <w:ind w:left="0"/>
              <w:jc w:val="center"/>
            </w:pPr>
            <w:r>
              <w:t>1 – 6 années</w:t>
            </w:r>
          </w:p>
        </w:tc>
        <w:tc>
          <w:tcPr>
            <w:tcW w:w="2693" w:type="dxa"/>
            <w:tcBorders>
              <w:bottom w:val="nil"/>
            </w:tcBorders>
          </w:tcPr>
          <w:p w14:paraId="38E56D0E" w14:textId="370A55DD" w:rsidR="00163B1C" w:rsidRDefault="00D2593E" w:rsidP="00163B1C">
            <w:pPr>
              <w:pStyle w:val="Paragraphedeliste"/>
              <w:ind w:left="0"/>
              <w:jc w:val="center"/>
            </w:pPr>
            <w:r>
              <w:t>30 jours</w:t>
            </w:r>
          </w:p>
        </w:tc>
        <w:tc>
          <w:tcPr>
            <w:tcW w:w="2693" w:type="dxa"/>
            <w:tcBorders>
              <w:bottom w:val="nil"/>
            </w:tcBorders>
          </w:tcPr>
          <w:p w14:paraId="54958016" w14:textId="6BC30DA6" w:rsidR="00163B1C" w:rsidRDefault="00D2593E" w:rsidP="00163B1C">
            <w:pPr>
              <w:pStyle w:val="Paragraphedeliste"/>
              <w:ind w:left="0"/>
              <w:jc w:val="center"/>
            </w:pPr>
            <w:r>
              <w:t>30 jours</w:t>
            </w:r>
          </w:p>
        </w:tc>
      </w:tr>
      <w:tr w:rsidR="00D2593E" w14:paraId="17894033" w14:textId="77777777" w:rsidTr="00D2593E">
        <w:trPr>
          <w:trHeight w:val="341"/>
        </w:trPr>
        <w:tc>
          <w:tcPr>
            <w:tcW w:w="2782" w:type="dxa"/>
            <w:tcBorders>
              <w:top w:val="nil"/>
              <w:left w:val="single" w:sz="4" w:space="0" w:color="auto"/>
              <w:bottom w:val="nil"/>
              <w:right w:val="single" w:sz="4" w:space="0" w:color="auto"/>
            </w:tcBorders>
          </w:tcPr>
          <w:p w14:paraId="1EEB083C" w14:textId="35047B5A" w:rsidR="00D2593E" w:rsidRDefault="00D2593E" w:rsidP="00D2593E">
            <w:pPr>
              <w:pStyle w:val="Paragraphedeliste"/>
              <w:ind w:left="0"/>
              <w:jc w:val="center"/>
            </w:pPr>
            <w:r>
              <w:t>6 – 11 années</w:t>
            </w:r>
          </w:p>
        </w:tc>
        <w:tc>
          <w:tcPr>
            <w:tcW w:w="2693" w:type="dxa"/>
            <w:tcBorders>
              <w:top w:val="nil"/>
              <w:left w:val="single" w:sz="4" w:space="0" w:color="auto"/>
              <w:bottom w:val="nil"/>
              <w:right w:val="single" w:sz="4" w:space="0" w:color="auto"/>
            </w:tcBorders>
          </w:tcPr>
          <w:p w14:paraId="39A79F31" w14:textId="79517914" w:rsidR="00D2593E" w:rsidRDefault="00D2593E" w:rsidP="00D2593E">
            <w:pPr>
              <w:pStyle w:val="Paragraphedeliste"/>
              <w:ind w:left="0"/>
              <w:jc w:val="center"/>
            </w:pPr>
            <w:r>
              <w:t>40 jours</w:t>
            </w:r>
          </w:p>
        </w:tc>
        <w:tc>
          <w:tcPr>
            <w:tcW w:w="2693" w:type="dxa"/>
            <w:tcBorders>
              <w:top w:val="nil"/>
              <w:left w:val="single" w:sz="4" w:space="0" w:color="auto"/>
              <w:bottom w:val="nil"/>
              <w:right w:val="single" w:sz="4" w:space="0" w:color="auto"/>
            </w:tcBorders>
          </w:tcPr>
          <w:p w14:paraId="6E92F9E2" w14:textId="7DA83640" w:rsidR="00D2593E" w:rsidRDefault="00D2593E" w:rsidP="00D2593E">
            <w:pPr>
              <w:pStyle w:val="Paragraphedeliste"/>
              <w:ind w:left="0"/>
              <w:jc w:val="center"/>
            </w:pPr>
            <w:r>
              <w:t>40 jours</w:t>
            </w:r>
          </w:p>
        </w:tc>
      </w:tr>
      <w:tr w:rsidR="00D2593E" w14:paraId="5E7F2C48" w14:textId="77777777" w:rsidTr="00D2593E">
        <w:trPr>
          <w:trHeight w:val="341"/>
        </w:trPr>
        <w:tc>
          <w:tcPr>
            <w:tcW w:w="2782" w:type="dxa"/>
            <w:tcBorders>
              <w:top w:val="nil"/>
              <w:left w:val="single" w:sz="4" w:space="0" w:color="auto"/>
              <w:bottom w:val="nil"/>
              <w:right w:val="single" w:sz="4" w:space="0" w:color="auto"/>
            </w:tcBorders>
          </w:tcPr>
          <w:p w14:paraId="0770A9FD" w14:textId="0052F596" w:rsidR="00D2593E" w:rsidRDefault="00D2593E" w:rsidP="00D2593E">
            <w:pPr>
              <w:pStyle w:val="Paragraphedeliste"/>
              <w:ind w:left="0"/>
              <w:jc w:val="center"/>
            </w:pPr>
            <w:r>
              <w:t>11 – 16 années</w:t>
            </w:r>
          </w:p>
        </w:tc>
        <w:tc>
          <w:tcPr>
            <w:tcW w:w="2693" w:type="dxa"/>
            <w:tcBorders>
              <w:top w:val="nil"/>
              <w:left w:val="single" w:sz="4" w:space="0" w:color="auto"/>
              <w:bottom w:val="nil"/>
              <w:right w:val="single" w:sz="4" w:space="0" w:color="auto"/>
            </w:tcBorders>
          </w:tcPr>
          <w:p w14:paraId="08361100" w14:textId="71204420" w:rsidR="00D2593E" w:rsidRDefault="00D2593E" w:rsidP="00D2593E">
            <w:pPr>
              <w:pStyle w:val="Paragraphedeliste"/>
              <w:ind w:left="0"/>
              <w:jc w:val="center"/>
            </w:pPr>
            <w:r>
              <w:t>50 jours</w:t>
            </w:r>
          </w:p>
        </w:tc>
        <w:tc>
          <w:tcPr>
            <w:tcW w:w="2693" w:type="dxa"/>
            <w:tcBorders>
              <w:top w:val="nil"/>
              <w:left w:val="single" w:sz="4" w:space="0" w:color="auto"/>
              <w:bottom w:val="nil"/>
              <w:right w:val="single" w:sz="4" w:space="0" w:color="auto"/>
            </w:tcBorders>
          </w:tcPr>
          <w:p w14:paraId="1D36E86C" w14:textId="760F512B" w:rsidR="00D2593E" w:rsidRDefault="00D2593E" w:rsidP="00D2593E">
            <w:pPr>
              <w:pStyle w:val="Paragraphedeliste"/>
              <w:ind w:left="0"/>
              <w:jc w:val="center"/>
            </w:pPr>
            <w:r>
              <w:t>50 jours</w:t>
            </w:r>
          </w:p>
        </w:tc>
      </w:tr>
      <w:tr w:rsidR="00D2593E" w14:paraId="3D471208" w14:textId="77777777" w:rsidTr="00D2593E">
        <w:trPr>
          <w:trHeight w:val="341"/>
        </w:trPr>
        <w:tc>
          <w:tcPr>
            <w:tcW w:w="2782" w:type="dxa"/>
            <w:tcBorders>
              <w:top w:val="nil"/>
              <w:left w:val="single" w:sz="4" w:space="0" w:color="auto"/>
              <w:bottom w:val="nil"/>
              <w:right w:val="single" w:sz="4" w:space="0" w:color="auto"/>
            </w:tcBorders>
          </w:tcPr>
          <w:p w14:paraId="4FD2B713" w14:textId="7B065FBB" w:rsidR="00D2593E" w:rsidRDefault="00D2593E" w:rsidP="00D2593E">
            <w:pPr>
              <w:pStyle w:val="Paragraphedeliste"/>
              <w:ind w:left="0"/>
              <w:jc w:val="center"/>
            </w:pPr>
            <w:r>
              <w:t>16 – 21 années</w:t>
            </w:r>
          </w:p>
        </w:tc>
        <w:tc>
          <w:tcPr>
            <w:tcW w:w="2693" w:type="dxa"/>
            <w:tcBorders>
              <w:top w:val="nil"/>
              <w:left w:val="single" w:sz="4" w:space="0" w:color="auto"/>
              <w:bottom w:val="nil"/>
              <w:right w:val="single" w:sz="4" w:space="0" w:color="auto"/>
            </w:tcBorders>
          </w:tcPr>
          <w:p w14:paraId="61C62379" w14:textId="659BE7D5" w:rsidR="00D2593E" w:rsidRDefault="00D2593E" w:rsidP="00D2593E">
            <w:pPr>
              <w:pStyle w:val="Paragraphedeliste"/>
              <w:ind w:left="0"/>
              <w:jc w:val="center"/>
            </w:pPr>
            <w:r>
              <w:t>60 jours</w:t>
            </w:r>
          </w:p>
        </w:tc>
        <w:tc>
          <w:tcPr>
            <w:tcW w:w="2693" w:type="dxa"/>
            <w:tcBorders>
              <w:top w:val="nil"/>
              <w:left w:val="single" w:sz="4" w:space="0" w:color="auto"/>
              <w:bottom w:val="nil"/>
              <w:right w:val="single" w:sz="4" w:space="0" w:color="auto"/>
            </w:tcBorders>
          </w:tcPr>
          <w:p w14:paraId="094BD56B" w14:textId="44BC0C0E" w:rsidR="00D2593E" w:rsidRDefault="00D2593E" w:rsidP="00D2593E">
            <w:pPr>
              <w:pStyle w:val="Paragraphedeliste"/>
              <w:ind w:left="0"/>
              <w:jc w:val="center"/>
            </w:pPr>
            <w:r>
              <w:t>60 jours</w:t>
            </w:r>
          </w:p>
        </w:tc>
      </w:tr>
      <w:tr w:rsidR="00D2593E" w14:paraId="0AF30AA5" w14:textId="77777777" w:rsidTr="00D2593E">
        <w:trPr>
          <w:trHeight w:val="341"/>
        </w:trPr>
        <w:tc>
          <w:tcPr>
            <w:tcW w:w="2782" w:type="dxa"/>
            <w:tcBorders>
              <w:top w:val="nil"/>
              <w:left w:val="single" w:sz="4" w:space="0" w:color="auto"/>
              <w:bottom w:val="nil"/>
              <w:right w:val="single" w:sz="4" w:space="0" w:color="auto"/>
            </w:tcBorders>
          </w:tcPr>
          <w:p w14:paraId="6A8BA488" w14:textId="44A2C659" w:rsidR="00D2593E" w:rsidRDefault="00D2593E" w:rsidP="00D2593E">
            <w:pPr>
              <w:pStyle w:val="Paragraphedeliste"/>
              <w:ind w:left="0"/>
              <w:jc w:val="center"/>
            </w:pPr>
            <w:r>
              <w:t>21 – 26 années</w:t>
            </w:r>
          </w:p>
        </w:tc>
        <w:tc>
          <w:tcPr>
            <w:tcW w:w="2693" w:type="dxa"/>
            <w:tcBorders>
              <w:top w:val="nil"/>
              <w:left w:val="single" w:sz="4" w:space="0" w:color="auto"/>
              <w:bottom w:val="nil"/>
              <w:right w:val="single" w:sz="4" w:space="0" w:color="auto"/>
            </w:tcBorders>
          </w:tcPr>
          <w:p w14:paraId="0A33D744" w14:textId="5B44D219" w:rsidR="00D2593E" w:rsidRDefault="00D2593E" w:rsidP="00D2593E">
            <w:pPr>
              <w:pStyle w:val="Paragraphedeliste"/>
              <w:ind w:left="0"/>
              <w:jc w:val="center"/>
            </w:pPr>
            <w:r>
              <w:t>70 jours</w:t>
            </w:r>
          </w:p>
        </w:tc>
        <w:tc>
          <w:tcPr>
            <w:tcW w:w="2693" w:type="dxa"/>
            <w:tcBorders>
              <w:top w:val="nil"/>
              <w:left w:val="single" w:sz="4" w:space="0" w:color="auto"/>
              <w:bottom w:val="nil"/>
              <w:right w:val="single" w:sz="4" w:space="0" w:color="auto"/>
            </w:tcBorders>
          </w:tcPr>
          <w:p w14:paraId="01D607BA" w14:textId="0F69ABEC" w:rsidR="00D2593E" w:rsidRDefault="00D2593E" w:rsidP="00D2593E">
            <w:pPr>
              <w:pStyle w:val="Paragraphedeliste"/>
              <w:ind w:left="0"/>
              <w:jc w:val="center"/>
            </w:pPr>
            <w:r>
              <w:t>70 jours</w:t>
            </w:r>
          </w:p>
        </w:tc>
      </w:tr>
      <w:tr w:rsidR="00D2593E" w14:paraId="4555511B" w14:textId="77777777" w:rsidTr="00D2593E">
        <w:trPr>
          <w:trHeight w:val="341"/>
        </w:trPr>
        <w:tc>
          <w:tcPr>
            <w:tcW w:w="2782" w:type="dxa"/>
            <w:tcBorders>
              <w:top w:val="nil"/>
              <w:left w:val="single" w:sz="4" w:space="0" w:color="auto"/>
              <w:bottom w:val="nil"/>
              <w:right w:val="single" w:sz="4" w:space="0" w:color="auto"/>
            </w:tcBorders>
          </w:tcPr>
          <w:p w14:paraId="28EC0588" w14:textId="7C2B11B8" w:rsidR="00D2593E" w:rsidRDefault="00D2593E" w:rsidP="00D2593E">
            <w:pPr>
              <w:pStyle w:val="Paragraphedeliste"/>
              <w:ind w:left="0"/>
              <w:jc w:val="center"/>
            </w:pPr>
            <w:r>
              <w:t>26 – 31 années</w:t>
            </w:r>
          </w:p>
        </w:tc>
        <w:tc>
          <w:tcPr>
            <w:tcW w:w="2693" w:type="dxa"/>
            <w:tcBorders>
              <w:top w:val="nil"/>
              <w:left w:val="single" w:sz="4" w:space="0" w:color="auto"/>
              <w:bottom w:val="nil"/>
              <w:right w:val="single" w:sz="4" w:space="0" w:color="auto"/>
            </w:tcBorders>
          </w:tcPr>
          <w:p w14:paraId="019CF59D" w14:textId="68739090" w:rsidR="00D2593E" w:rsidRDefault="00D2593E" w:rsidP="00D2593E">
            <w:pPr>
              <w:pStyle w:val="Paragraphedeliste"/>
              <w:ind w:left="0"/>
              <w:jc w:val="center"/>
            </w:pPr>
            <w:r>
              <w:t>80 jours</w:t>
            </w:r>
          </w:p>
        </w:tc>
        <w:tc>
          <w:tcPr>
            <w:tcW w:w="2693" w:type="dxa"/>
            <w:tcBorders>
              <w:top w:val="nil"/>
              <w:left w:val="single" w:sz="4" w:space="0" w:color="auto"/>
              <w:bottom w:val="nil"/>
              <w:right w:val="single" w:sz="4" w:space="0" w:color="auto"/>
            </w:tcBorders>
          </w:tcPr>
          <w:p w14:paraId="7D8729A3" w14:textId="5327382E" w:rsidR="00D2593E" w:rsidRDefault="00D2593E" w:rsidP="00D2593E">
            <w:pPr>
              <w:pStyle w:val="Paragraphedeliste"/>
              <w:ind w:left="0"/>
              <w:jc w:val="center"/>
            </w:pPr>
            <w:r>
              <w:t>80 jours</w:t>
            </w:r>
          </w:p>
        </w:tc>
      </w:tr>
      <w:tr w:rsidR="00D2593E" w14:paraId="6395536C" w14:textId="77777777" w:rsidTr="00D2593E">
        <w:trPr>
          <w:trHeight w:val="341"/>
        </w:trPr>
        <w:tc>
          <w:tcPr>
            <w:tcW w:w="2782" w:type="dxa"/>
            <w:tcBorders>
              <w:top w:val="nil"/>
            </w:tcBorders>
          </w:tcPr>
          <w:p w14:paraId="75156261" w14:textId="45AE2816" w:rsidR="00D2593E" w:rsidRDefault="00D2593E" w:rsidP="00D2593E">
            <w:pPr>
              <w:pStyle w:val="Paragraphedeliste"/>
              <w:ind w:left="0"/>
              <w:jc w:val="center"/>
            </w:pPr>
            <w:r>
              <w:t>Plus de 31 années</w:t>
            </w:r>
          </w:p>
        </w:tc>
        <w:tc>
          <w:tcPr>
            <w:tcW w:w="2693" w:type="dxa"/>
            <w:tcBorders>
              <w:top w:val="nil"/>
            </w:tcBorders>
          </w:tcPr>
          <w:p w14:paraId="506C20D1" w14:textId="079AB827" w:rsidR="00D2593E" w:rsidRDefault="00D2593E" w:rsidP="00D2593E">
            <w:pPr>
              <w:pStyle w:val="Paragraphedeliste"/>
              <w:ind w:left="0"/>
              <w:jc w:val="center"/>
            </w:pPr>
            <w:r>
              <w:t>90 jours</w:t>
            </w:r>
          </w:p>
        </w:tc>
        <w:tc>
          <w:tcPr>
            <w:tcW w:w="2693" w:type="dxa"/>
            <w:tcBorders>
              <w:top w:val="nil"/>
            </w:tcBorders>
          </w:tcPr>
          <w:p w14:paraId="5F33DC3F" w14:textId="2E1568C0" w:rsidR="00D2593E" w:rsidRDefault="00D2593E" w:rsidP="00D2593E">
            <w:pPr>
              <w:pStyle w:val="Paragraphedeliste"/>
              <w:ind w:left="0"/>
              <w:jc w:val="center"/>
            </w:pPr>
            <w:r>
              <w:t>90 jours</w:t>
            </w:r>
          </w:p>
        </w:tc>
      </w:tr>
    </w:tbl>
    <w:p w14:paraId="4CD7369E" w14:textId="77571739" w:rsidR="00163B1C" w:rsidRDefault="00163B1C" w:rsidP="00163B1C">
      <w:pPr>
        <w:spacing w:after="0"/>
      </w:pPr>
    </w:p>
    <w:p w14:paraId="6322DF04" w14:textId="77777777" w:rsidR="00163B1C" w:rsidRDefault="00163B1C" w:rsidP="00163B1C">
      <w:pPr>
        <w:spacing w:after="0"/>
      </w:pPr>
    </w:p>
    <w:p w14:paraId="64B38E5E" w14:textId="77777777" w:rsidR="00163B1C" w:rsidRDefault="00163B1C" w:rsidP="00163B1C">
      <w:pPr>
        <w:pStyle w:val="Paragraphedeliste"/>
        <w:spacing w:after="0"/>
        <w:ind w:left="1210"/>
      </w:pPr>
    </w:p>
    <w:p w14:paraId="56CC4D34" w14:textId="0808D096" w:rsidR="00D2593E" w:rsidRDefault="00D2593E" w:rsidP="00D2593E">
      <w:pPr>
        <w:pStyle w:val="Paragraphedeliste"/>
        <w:numPr>
          <w:ilvl w:val="0"/>
          <w:numId w:val="28"/>
        </w:numPr>
        <w:spacing w:after="120"/>
        <w:ind w:left="643"/>
      </w:pPr>
      <w:r>
        <w:t>Invalidité :</w:t>
      </w:r>
    </w:p>
    <w:p w14:paraId="7CCBAD36" w14:textId="1A235BA4" w:rsidR="00F3594C" w:rsidRDefault="007A2019" w:rsidP="00296E07">
      <w:pPr>
        <w:spacing w:after="0"/>
        <w:ind w:left="283"/>
      </w:pPr>
      <w:r>
        <w:t>La rente d'invalidité compense, en totalité ou en partie, la perte de revenu d’un assuré déclaré invalide. Elle vient compléter la pension d’invalidité versée par la Sécurité sociale.</w:t>
      </w:r>
      <w:r w:rsidR="00296E07">
        <w:t xml:space="preserve"> Le montant de cette renta peut-être fixe ou bien correspondre à un pourcentage de son salaire, elle dépend souvent aussi de la catégorie d’invalidité définie par la Sécurité sociale.</w:t>
      </w:r>
    </w:p>
    <w:p w14:paraId="3B1A4313" w14:textId="77777777" w:rsidR="007A2019" w:rsidRDefault="007A2019" w:rsidP="007A2019">
      <w:pPr>
        <w:spacing w:after="0"/>
        <w:ind w:left="283"/>
      </w:pPr>
    </w:p>
    <w:p w14:paraId="0E8A87E7" w14:textId="597F57A0" w:rsidR="00D46B28" w:rsidRDefault="00D46B28" w:rsidP="00D46B28"/>
    <w:p w14:paraId="1F2ABC60" w14:textId="4F684BCE" w:rsidR="00070EF6" w:rsidRDefault="00A103B7" w:rsidP="005423EC">
      <w:pPr>
        <w:pStyle w:val="Titre2"/>
      </w:pPr>
      <w:bookmarkStart w:id="6" w:name="_Toc112070540"/>
      <w:r>
        <w:t>Qu’est-ce que la prévoyance collective ?</w:t>
      </w:r>
      <w:bookmarkEnd w:id="6"/>
    </w:p>
    <w:p w14:paraId="59842157" w14:textId="77777777" w:rsidR="005423EC" w:rsidRDefault="005423EC" w:rsidP="005423EC">
      <w:pPr>
        <w:spacing w:after="100"/>
      </w:pPr>
    </w:p>
    <w:p w14:paraId="128C34FF" w14:textId="6DFB3744" w:rsidR="005423EC" w:rsidRDefault="005423EC" w:rsidP="005423EC">
      <w:pPr>
        <w:spacing w:after="100"/>
      </w:pPr>
      <w:r>
        <w:t>Dans le cadre de cette étude, nous avons la possibilité d’étudier les caractéristiques en matière d’absentéisme d’un portefeuille de prévoyance collective, celui de Generali Vie. La « prévoyance collective » est la couverture d’un groupe de personnes qui ont un lien objectif entre elles, ce groupe étant représenté par une personne qui va signer ce contrat, généralement l’entreprise dans laquelle travail un assuré.</w:t>
      </w:r>
    </w:p>
    <w:p w14:paraId="0BC27F1E" w14:textId="7F6BBAFF" w:rsidR="005423EC" w:rsidRDefault="005423EC" w:rsidP="005423EC">
      <w:pPr>
        <w:spacing w:after="100"/>
      </w:pPr>
      <w:r>
        <w:t>Les différents intervenants dans un contrat de prévoyance collective sont le souscripteur, les affiliés, les assurés et les bénéficiaires.</w:t>
      </w:r>
    </w:p>
    <w:p w14:paraId="62F1B641" w14:textId="58392658" w:rsidR="00AC6C46" w:rsidRDefault="00AC6C46" w:rsidP="00AC6C46">
      <w:pPr>
        <w:pStyle w:val="Paragraphedeliste"/>
        <w:numPr>
          <w:ilvl w:val="0"/>
          <w:numId w:val="30"/>
        </w:numPr>
        <w:spacing w:after="100"/>
        <w:ind w:left="643"/>
      </w:pPr>
      <w:r w:rsidRPr="00820C0F">
        <w:rPr>
          <w:b/>
          <w:bCs/>
        </w:rPr>
        <w:t>Le souscripteur :</w:t>
      </w:r>
      <w:r>
        <w:t xml:space="preserve"> la personne morale qui signe le contrat et paie les cotisations (entreprise, association, établissement de crédit)</w:t>
      </w:r>
    </w:p>
    <w:p w14:paraId="7987CAA1" w14:textId="7BEAA2E5" w:rsidR="00AC6C46" w:rsidRDefault="00AC6C46" w:rsidP="00AC6C46">
      <w:pPr>
        <w:pStyle w:val="Paragraphedeliste"/>
        <w:numPr>
          <w:ilvl w:val="0"/>
          <w:numId w:val="30"/>
        </w:numPr>
        <w:spacing w:after="100"/>
        <w:ind w:left="643"/>
      </w:pPr>
      <w:r w:rsidRPr="00820C0F">
        <w:rPr>
          <w:b/>
          <w:bCs/>
        </w:rPr>
        <w:t>Les affiliés :</w:t>
      </w:r>
      <w:r>
        <w:t xml:space="preserve"> l’ensemble des personnes appartenant au groupe assurable </w:t>
      </w:r>
    </w:p>
    <w:p w14:paraId="5A16CE46" w14:textId="7659F616" w:rsidR="00AC6C46" w:rsidRDefault="00AC6C46" w:rsidP="00AC6C46">
      <w:pPr>
        <w:pStyle w:val="Paragraphedeliste"/>
        <w:numPr>
          <w:ilvl w:val="0"/>
          <w:numId w:val="30"/>
        </w:numPr>
        <w:spacing w:after="100"/>
        <w:ind w:left="643"/>
      </w:pPr>
      <w:r w:rsidRPr="00820C0F">
        <w:rPr>
          <w:b/>
          <w:bCs/>
        </w:rPr>
        <w:t>Les assurés :</w:t>
      </w:r>
      <w:r>
        <w:t xml:space="preserve"> l’ensemble des personnes soumises au risque </w:t>
      </w:r>
    </w:p>
    <w:p w14:paraId="725C5981" w14:textId="2E82F1BE" w:rsidR="00A103B7" w:rsidRDefault="00AC6C46" w:rsidP="00A103B7">
      <w:pPr>
        <w:pStyle w:val="Paragraphedeliste"/>
        <w:numPr>
          <w:ilvl w:val="0"/>
          <w:numId w:val="30"/>
        </w:numPr>
        <w:spacing w:after="100"/>
        <w:ind w:left="643"/>
      </w:pPr>
      <w:r w:rsidRPr="00820C0F">
        <w:rPr>
          <w:b/>
          <w:bCs/>
        </w:rPr>
        <w:t>Les bénéficiaires :</w:t>
      </w:r>
      <w:r w:rsidR="00D71E35">
        <w:t xml:space="preserve"> l’ensemble des personnes susceptibles de recevoir des prestations (exemple : les enfants dans le cadre d’une rente éducation)</w:t>
      </w:r>
    </w:p>
    <w:p w14:paraId="461E4C36" w14:textId="4CBD0A5B" w:rsidR="00A103B7" w:rsidRPr="00AB44E0" w:rsidRDefault="00A71C6E" w:rsidP="00A103B7">
      <w:pPr>
        <w:pStyle w:val="Titre2"/>
      </w:pPr>
      <w:bookmarkStart w:id="7" w:name="_Toc112070541"/>
      <w:r>
        <w:lastRenderedPageBreak/>
        <w:t>Le</w:t>
      </w:r>
      <w:r w:rsidR="00FE2857">
        <w:t xml:space="preserve"> risque </w:t>
      </w:r>
      <w:r w:rsidR="00A103B7">
        <w:t>arrêt de travail</w:t>
      </w:r>
      <w:r>
        <w:t xml:space="preserve"> en France</w:t>
      </w:r>
      <w:bookmarkEnd w:id="7"/>
    </w:p>
    <w:p w14:paraId="135E8F7B" w14:textId="7080C51C" w:rsidR="00A103B7" w:rsidRDefault="00A103B7" w:rsidP="00A103B7"/>
    <w:p w14:paraId="5CCF138C" w14:textId="77777777" w:rsidR="00F5259B" w:rsidRDefault="00F5259B" w:rsidP="00F5259B">
      <w:pPr>
        <w:pStyle w:val="Titre3"/>
      </w:pPr>
      <w:bookmarkStart w:id="8" w:name="_Toc112070542"/>
      <w:r>
        <w:t>Contexte général</w:t>
      </w:r>
      <w:bookmarkEnd w:id="8"/>
    </w:p>
    <w:p w14:paraId="283C8C78" w14:textId="77777777" w:rsidR="00DC1238" w:rsidRDefault="00DC1238" w:rsidP="00DC1238">
      <w:pPr>
        <w:spacing w:after="100"/>
      </w:pPr>
    </w:p>
    <w:p w14:paraId="1716C121" w14:textId="36D04264" w:rsidR="00D71E35" w:rsidRDefault="00DC1238" w:rsidP="00DC1238">
      <w:pPr>
        <w:spacing w:after="0"/>
        <w:rPr>
          <w:sz w:val="23"/>
          <w:szCs w:val="23"/>
        </w:rPr>
      </w:pPr>
      <w:r>
        <w:rPr>
          <w:sz w:val="23"/>
          <w:szCs w:val="23"/>
        </w:rPr>
        <w:t>Pour l’assureur, la définition des prestations</w:t>
      </w:r>
      <w:r w:rsidR="0020223C">
        <w:rPr>
          <w:sz w:val="23"/>
          <w:szCs w:val="23"/>
        </w:rPr>
        <w:t xml:space="preserve"> </w:t>
      </w:r>
      <w:r>
        <w:rPr>
          <w:sz w:val="23"/>
          <w:szCs w:val="23"/>
        </w:rPr>
        <w:t>et de son intervention dans la prise en charge, est alignée sur la reconnaissance par la Sécurité Sociale</w:t>
      </w:r>
      <w:r w:rsidR="0020223C">
        <w:rPr>
          <w:sz w:val="23"/>
          <w:szCs w:val="23"/>
        </w:rPr>
        <w:t xml:space="preserve"> </w:t>
      </w:r>
      <w:r>
        <w:rPr>
          <w:sz w:val="23"/>
          <w:szCs w:val="23"/>
        </w:rPr>
        <w:t>d’un arrêt de travail</w:t>
      </w:r>
      <w:r w:rsidR="0020223C">
        <w:rPr>
          <w:sz w:val="23"/>
          <w:szCs w:val="23"/>
        </w:rPr>
        <w:t xml:space="preserve"> vue précédemment</w:t>
      </w:r>
      <w:r>
        <w:rPr>
          <w:sz w:val="23"/>
          <w:szCs w:val="23"/>
        </w:rPr>
        <w:t>. Les règles de base qui vont donc conduire à définir ce qu’est un arrêt de travail, avec la distinction entre l’incapacité et l’invalidité, sont donc celles de la Sécurité Sociale. On désigne en pratique par « incapacité » l’incapacité temporaire de travail et par « invalidité » l’incapacité permanente de travail.</w:t>
      </w:r>
    </w:p>
    <w:p w14:paraId="44E20C69" w14:textId="2F02E519" w:rsidR="00A71C6E" w:rsidRDefault="00A71C6E" w:rsidP="00DC1238">
      <w:pPr>
        <w:spacing w:after="0"/>
        <w:rPr>
          <w:sz w:val="23"/>
          <w:szCs w:val="23"/>
        </w:rPr>
      </w:pPr>
    </w:p>
    <w:p w14:paraId="644A4192" w14:textId="0FC26153" w:rsidR="00A71C6E" w:rsidRPr="00A71C6E" w:rsidRDefault="00A71C6E" w:rsidP="00A71C6E">
      <w:pPr>
        <w:pStyle w:val="Titre4"/>
        <w:numPr>
          <w:ilvl w:val="0"/>
          <w:numId w:val="34"/>
        </w:numPr>
        <w:spacing w:after="240"/>
      </w:pPr>
      <w:r>
        <w:t>Que désigne t’on par la notion de risque arrêt de travail ?</w:t>
      </w:r>
    </w:p>
    <w:p w14:paraId="64BA778A" w14:textId="36B124EB" w:rsidR="00A71C6E" w:rsidRDefault="00DC1238" w:rsidP="00DC1238">
      <w:pPr>
        <w:spacing w:after="0"/>
        <w:rPr>
          <w:sz w:val="23"/>
          <w:szCs w:val="23"/>
        </w:rPr>
      </w:pPr>
      <w:r>
        <w:rPr>
          <w:sz w:val="23"/>
          <w:szCs w:val="23"/>
        </w:rPr>
        <w:t>Ce que l’on désigne ici par la notion de « risque arrêt de travail » constitue en pratique pour l’</w:t>
      </w:r>
      <w:r w:rsidR="00F271A3">
        <w:rPr>
          <w:sz w:val="23"/>
          <w:szCs w:val="23"/>
        </w:rPr>
        <w:t>assureur l</w:t>
      </w:r>
      <w:r w:rsidR="0020223C">
        <w:rPr>
          <w:sz w:val="23"/>
          <w:szCs w:val="23"/>
        </w:rPr>
        <w:t xml:space="preserve">’association </w:t>
      </w:r>
      <w:r w:rsidR="00F271A3">
        <w:rPr>
          <w:sz w:val="23"/>
          <w:szCs w:val="23"/>
        </w:rPr>
        <w:t xml:space="preserve">du risque incapacité </w:t>
      </w:r>
      <w:r w:rsidR="0020223C">
        <w:rPr>
          <w:sz w:val="23"/>
          <w:szCs w:val="23"/>
        </w:rPr>
        <w:t>et</w:t>
      </w:r>
      <w:r w:rsidR="00F271A3">
        <w:rPr>
          <w:sz w:val="23"/>
          <w:szCs w:val="23"/>
        </w:rPr>
        <w:t xml:space="preserve"> </w:t>
      </w:r>
      <w:r w:rsidR="0020223C">
        <w:rPr>
          <w:sz w:val="23"/>
          <w:szCs w:val="23"/>
        </w:rPr>
        <w:t>du</w:t>
      </w:r>
      <w:r w:rsidR="00F271A3">
        <w:rPr>
          <w:sz w:val="23"/>
          <w:szCs w:val="23"/>
        </w:rPr>
        <w:t xml:space="preserve"> risque invalidité</w:t>
      </w:r>
      <w:r w:rsidR="0020223C">
        <w:rPr>
          <w:sz w:val="23"/>
          <w:szCs w:val="23"/>
        </w:rPr>
        <w:t>. Cette association est nécessaire car l’incapacité temporaire de travail peut devenir permanente, soit par aggravement du facteur incapacitant, soit après la durée maximum légale de l’incapacité (36 mois)</w:t>
      </w:r>
      <w:r w:rsidR="00A71C6E">
        <w:rPr>
          <w:sz w:val="23"/>
          <w:szCs w:val="23"/>
        </w:rPr>
        <w:t>, d’ailleurs cela constitue un réel enjeu pour l’actuaire qui doit prendre en compte la probabilité de passage en invalidité pour le calcul des provisions ITIP via les tables de maintien en incapacité</w:t>
      </w:r>
      <w:r w:rsidR="0020223C">
        <w:rPr>
          <w:sz w:val="23"/>
          <w:szCs w:val="23"/>
        </w:rPr>
        <w:t xml:space="preserve">. </w:t>
      </w:r>
      <w:r w:rsidR="00F86B6E">
        <w:rPr>
          <w:sz w:val="23"/>
          <w:szCs w:val="23"/>
        </w:rPr>
        <w:t xml:space="preserve"> </w:t>
      </w:r>
    </w:p>
    <w:p w14:paraId="2580E96D" w14:textId="5E1F6A69" w:rsidR="00DC1238" w:rsidRDefault="00A71C6E" w:rsidP="00DC1238">
      <w:pPr>
        <w:spacing w:after="0"/>
      </w:pPr>
      <w:r>
        <w:rPr>
          <w:sz w:val="23"/>
          <w:szCs w:val="23"/>
        </w:rPr>
        <w:t>Malgré qu’en pratique il aurait été plus simple de ne considérer qu’un seul type d’arrêt, ces</w:t>
      </w:r>
      <w:r w:rsidR="00F86B6E">
        <w:rPr>
          <w:sz w:val="23"/>
          <w:szCs w:val="23"/>
        </w:rPr>
        <w:t xml:space="preserve"> deux risques sont très différents </w:t>
      </w:r>
      <w:r>
        <w:rPr>
          <w:sz w:val="23"/>
          <w:szCs w:val="23"/>
        </w:rPr>
        <w:t xml:space="preserve">notamment via leur statut clairement et leur durée définis par la loi. </w:t>
      </w:r>
    </w:p>
    <w:p w14:paraId="7CAFD4ED" w14:textId="77777777" w:rsidR="00F86B6E" w:rsidRDefault="00F86B6E">
      <w:pPr>
        <w:jc w:val="left"/>
      </w:pPr>
    </w:p>
    <w:p w14:paraId="59DCD313" w14:textId="77777777" w:rsidR="00F86B6E" w:rsidRDefault="00F86B6E" w:rsidP="00F86B6E">
      <w:pPr>
        <w:pStyle w:val="Titre3"/>
      </w:pPr>
      <w:bookmarkStart w:id="9" w:name="_Toc112070543"/>
      <w:r>
        <w:t>Environnement juridique</w:t>
      </w:r>
      <w:bookmarkEnd w:id="9"/>
      <w:r>
        <w:t xml:space="preserve"> </w:t>
      </w:r>
    </w:p>
    <w:p w14:paraId="6059F352" w14:textId="1B9991F5" w:rsidR="00A71C6E" w:rsidRDefault="00A71C6E" w:rsidP="00A71C6E"/>
    <w:p w14:paraId="44564511" w14:textId="7B425157" w:rsidR="00A71C6E" w:rsidRDefault="00A71C6E" w:rsidP="00A71C6E">
      <w:r>
        <w:t>L’environnement juridique autour de la notion du risque arrêt de travail est défini par les textes juridiques suivants :</w:t>
      </w:r>
    </w:p>
    <w:p w14:paraId="29B59178" w14:textId="77777777" w:rsidR="00A71C6E" w:rsidRDefault="00A71C6E" w:rsidP="00A71C6E">
      <w:pPr>
        <w:pStyle w:val="Paragraphedeliste"/>
        <w:numPr>
          <w:ilvl w:val="0"/>
          <w:numId w:val="33"/>
        </w:numPr>
        <w:ind w:left="643"/>
      </w:pPr>
      <w:r>
        <w:t xml:space="preserve">Loi Evin (31 décembre 1989) : </w:t>
      </w:r>
    </w:p>
    <w:p w14:paraId="56F929F3" w14:textId="1865F81C" w:rsidR="00A71C6E" w:rsidRDefault="00A71C6E" w:rsidP="00A71C6E">
      <w:pPr>
        <w:spacing w:after="0"/>
      </w:pPr>
      <w:r>
        <w:rPr>
          <w:rFonts w:ascii="Candara" w:hAnsi="Candara" w:cs="Candara"/>
          <w:sz w:val="23"/>
          <w:szCs w:val="23"/>
        </w:rPr>
        <w:t xml:space="preserve">Son titre exact est : </w:t>
      </w:r>
      <w:r>
        <w:t>« Loi 89-1009 du 31 décembre 1989 renforçant les garanties aux personnes assurées contre certains risques »</w:t>
      </w:r>
    </w:p>
    <w:p w14:paraId="1AEC02AC" w14:textId="77777777" w:rsidR="00A71C6E" w:rsidRDefault="00A71C6E" w:rsidP="00A71C6E">
      <w:pPr>
        <w:spacing w:after="0"/>
        <w:rPr>
          <w:rFonts w:ascii="Candara" w:hAnsi="Candara" w:cs="Candara"/>
          <w:sz w:val="23"/>
          <w:szCs w:val="23"/>
        </w:rPr>
      </w:pPr>
    </w:p>
    <w:p w14:paraId="39D5FC68" w14:textId="643B063C" w:rsidR="00A71C6E" w:rsidRPr="00A71C6E" w:rsidRDefault="00A71C6E" w:rsidP="00A71C6E">
      <w:r>
        <w:rPr>
          <w:rFonts w:ascii="Candara" w:hAnsi="Candara" w:cs="Candara"/>
          <w:sz w:val="23"/>
          <w:szCs w:val="23"/>
        </w:rPr>
        <w:t>C’est la première loi spécifique de Prévoyance, elle crée le premier ensemble de règles applicables à toutes les familles d’assureurs (</w:t>
      </w:r>
      <w:r w:rsidRPr="00A71C6E">
        <w:rPr>
          <w:rFonts w:ascii="Candara" w:hAnsi="Candara" w:cs="Candara"/>
          <w:sz w:val="23"/>
          <w:szCs w:val="23"/>
        </w:rPr>
        <w:t xml:space="preserve">les institutions de prévoyances, les mutuelles, les </w:t>
      </w:r>
      <w:r>
        <w:rPr>
          <w:rFonts w:ascii="Candara" w:hAnsi="Candara" w:cs="Candara"/>
          <w:sz w:val="23"/>
          <w:szCs w:val="23"/>
        </w:rPr>
        <w:t>assureurs).</w:t>
      </w:r>
      <w:r w:rsidRPr="00A71C6E">
        <w:rPr>
          <w:rFonts w:ascii="Candara" w:hAnsi="Candara" w:cs="Candara"/>
          <w:sz w:val="23"/>
          <w:szCs w:val="23"/>
        </w:rPr>
        <w:t xml:space="preserve"> Elle impose les trois points suivants : </w:t>
      </w:r>
    </w:p>
    <w:p w14:paraId="6140F613" w14:textId="77777777" w:rsidR="00A71C6E" w:rsidRDefault="00A71C6E" w:rsidP="00A71C6E">
      <w:pPr>
        <w:pStyle w:val="Default"/>
        <w:numPr>
          <w:ilvl w:val="1"/>
          <w:numId w:val="33"/>
        </w:numPr>
        <w:ind w:left="1210"/>
        <w:rPr>
          <w:rFonts w:ascii="Candara" w:hAnsi="Candara" w:cs="Candara"/>
          <w:sz w:val="23"/>
          <w:szCs w:val="23"/>
        </w:rPr>
      </w:pPr>
      <w:r w:rsidRPr="00A71C6E">
        <w:rPr>
          <w:rFonts w:ascii="Candara" w:hAnsi="Candara" w:cs="Candara"/>
          <w:sz w:val="23"/>
          <w:szCs w:val="23"/>
        </w:rPr>
        <w:t>Évaluation des provisions techniques au niveau atteint.</w:t>
      </w:r>
    </w:p>
    <w:p w14:paraId="142D1E02" w14:textId="77777777" w:rsidR="00A71C6E" w:rsidRDefault="00A71C6E" w:rsidP="00A71C6E">
      <w:pPr>
        <w:pStyle w:val="Default"/>
        <w:numPr>
          <w:ilvl w:val="1"/>
          <w:numId w:val="33"/>
        </w:numPr>
        <w:ind w:left="1210"/>
        <w:rPr>
          <w:rFonts w:ascii="Candara" w:hAnsi="Candara" w:cs="Candara"/>
          <w:sz w:val="23"/>
          <w:szCs w:val="23"/>
        </w:rPr>
      </w:pPr>
      <w:r w:rsidRPr="00A71C6E">
        <w:rPr>
          <w:rFonts w:ascii="Candara" w:hAnsi="Candara" w:cs="Candara"/>
          <w:sz w:val="23"/>
          <w:szCs w:val="23"/>
        </w:rPr>
        <w:t>Reprise des encours (et évaluation des provisions pour revalorisation).</w:t>
      </w:r>
    </w:p>
    <w:p w14:paraId="4C823271" w14:textId="0AF33132" w:rsidR="00A71C6E" w:rsidRPr="00A71C6E" w:rsidRDefault="00A71C6E" w:rsidP="00A71C6E">
      <w:pPr>
        <w:pStyle w:val="Default"/>
        <w:numPr>
          <w:ilvl w:val="1"/>
          <w:numId w:val="33"/>
        </w:numPr>
        <w:ind w:left="1210"/>
        <w:rPr>
          <w:rFonts w:ascii="Candara" w:hAnsi="Candara" w:cs="Candara"/>
          <w:sz w:val="23"/>
          <w:szCs w:val="23"/>
        </w:rPr>
      </w:pPr>
      <w:r w:rsidRPr="00A71C6E">
        <w:rPr>
          <w:rFonts w:ascii="Candara" w:hAnsi="Candara" w:cs="Candara"/>
          <w:sz w:val="23"/>
          <w:szCs w:val="23"/>
        </w:rPr>
        <w:t xml:space="preserve">Maintien des garanties décès aux invalides et aux incapables (décret du 17 juillet 2001). </w:t>
      </w:r>
    </w:p>
    <w:p w14:paraId="23D6FBC0" w14:textId="1FB9DC41" w:rsidR="00A71C6E" w:rsidRDefault="00A71C6E" w:rsidP="00A71C6E">
      <w:pPr>
        <w:pStyle w:val="Default"/>
        <w:rPr>
          <w:rFonts w:ascii="Candara" w:hAnsi="Candara" w:cs="Candara"/>
          <w:sz w:val="23"/>
          <w:szCs w:val="23"/>
        </w:rPr>
      </w:pPr>
      <w:r w:rsidRPr="00A71C6E">
        <w:rPr>
          <w:rFonts w:ascii="Candara" w:hAnsi="Candara" w:cs="Candara"/>
          <w:sz w:val="23"/>
          <w:szCs w:val="23"/>
        </w:rPr>
        <w:t xml:space="preserve">Cette loi oblige </w:t>
      </w:r>
      <w:r>
        <w:rPr>
          <w:rFonts w:ascii="Candara" w:hAnsi="Candara" w:cs="Candara"/>
          <w:sz w:val="23"/>
          <w:szCs w:val="23"/>
        </w:rPr>
        <w:t xml:space="preserve">l’ensemble des familles d’assureurs </w:t>
      </w:r>
      <w:r w:rsidRPr="00A71C6E">
        <w:rPr>
          <w:rFonts w:ascii="Candara" w:hAnsi="Candara" w:cs="Candara"/>
          <w:sz w:val="23"/>
          <w:szCs w:val="23"/>
        </w:rPr>
        <w:t>à provisionner les sinistres en cours pour les couvertures du risque décès, des risques portant atteinte à l'intégrité physique de la personne ou liés à la maternité, des risques d'incapacité de travail, d'invalidité et du risque chômage.</w:t>
      </w:r>
    </w:p>
    <w:p w14:paraId="265AEEAC" w14:textId="38437AFC" w:rsidR="00A71C6E" w:rsidRDefault="00A71C6E" w:rsidP="00A71C6E">
      <w:pPr>
        <w:pStyle w:val="Default"/>
        <w:rPr>
          <w:rFonts w:ascii="Candara" w:hAnsi="Candara" w:cs="Candara"/>
          <w:sz w:val="23"/>
          <w:szCs w:val="23"/>
        </w:rPr>
      </w:pPr>
    </w:p>
    <w:p w14:paraId="54D73BB4" w14:textId="49D07B65" w:rsidR="00A71C6E" w:rsidRDefault="00A71C6E" w:rsidP="00A71C6E">
      <w:pPr>
        <w:pStyle w:val="Paragraphedeliste"/>
        <w:numPr>
          <w:ilvl w:val="0"/>
          <w:numId w:val="33"/>
        </w:numPr>
        <w:ind w:left="643"/>
      </w:pPr>
      <w:r>
        <w:lastRenderedPageBreak/>
        <w:t>Loi du 8 août 1994 :</w:t>
      </w:r>
    </w:p>
    <w:p w14:paraId="0FD1F96E" w14:textId="68DBBF98" w:rsidR="00A71C6E" w:rsidRDefault="00A71C6E" w:rsidP="00A71C6E">
      <w:pPr>
        <w:pStyle w:val="Default"/>
        <w:rPr>
          <w:rFonts w:ascii="Candara" w:hAnsi="Candara" w:cs="Candara"/>
          <w:sz w:val="23"/>
          <w:szCs w:val="23"/>
        </w:rPr>
      </w:pPr>
      <w:r>
        <w:rPr>
          <w:rFonts w:ascii="Candara" w:hAnsi="Candara" w:cs="Candara"/>
          <w:sz w:val="23"/>
          <w:szCs w:val="23"/>
        </w:rPr>
        <w:t>Cette loi arriva en complément de la loi Evin</w:t>
      </w:r>
      <w:r w:rsidR="00820C0F">
        <w:rPr>
          <w:rFonts w:ascii="Candara" w:hAnsi="Candara" w:cs="Candara"/>
          <w:sz w:val="23"/>
          <w:szCs w:val="23"/>
        </w:rPr>
        <w:t>,</w:t>
      </w:r>
      <w:r>
        <w:rPr>
          <w:rFonts w:ascii="Candara" w:hAnsi="Candara" w:cs="Candara"/>
          <w:sz w:val="23"/>
          <w:szCs w:val="23"/>
        </w:rPr>
        <w:t xml:space="preserve"> dans le but de transposer dans le droit français </w:t>
      </w:r>
      <w:r w:rsidRPr="00A71C6E">
        <w:rPr>
          <w:rFonts w:ascii="Candara" w:hAnsi="Candara" w:cs="Candara"/>
          <w:sz w:val="23"/>
          <w:szCs w:val="23"/>
        </w:rPr>
        <w:t>une directive européenne en matière</w:t>
      </w:r>
      <w:r>
        <w:rPr>
          <w:rFonts w:ascii="Candara" w:hAnsi="Candara" w:cs="Candara"/>
          <w:sz w:val="23"/>
          <w:szCs w:val="23"/>
        </w:rPr>
        <w:t xml:space="preserve"> </w:t>
      </w:r>
      <w:r w:rsidRPr="00A71C6E">
        <w:rPr>
          <w:rFonts w:ascii="Candara" w:hAnsi="Candara" w:cs="Candara"/>
          <w:sz w:val="23"/>
          <w:szCs w:val="23"/>
        </w:rPr>
        <w:t>d’assurance, cette loi crée le premier corps de règles</w:t>
      </w:r>
      <w:r>
        <w:rPr>
          <w:rFonts w:ascii="Candara" w:hAnsi="Candara" w:cs="Candara"/>
          <w:sz w:val="23"/>
          <w:szCs w:val="23"/>
        </w:rPr>
        <w:t xml:space="preserve"> </w:t>
      </w:r>
      <w:r w:rsidRPr="00A71C6E">
        <w:rPr>
          <w:rFonts w:ascii="Candara" w:hAnsi="Candara" w:cs="Candara"/>
          <w:sz w:val="23"/>
          <w:szCs w:val="23"/>
        </w:rPr>
        <w:t>relatives à la protection sociale</w:t>
      </w:r>
      <w:r>
        <w:rPr>
          <w:rFonts w:ascii="Candara" w:hAnsi="Candara" w:cs="Candara"/>
          <w:sz w:val="23"/>
          <w:szCs w:val="23"/>
        </w:rPr>
        <w:t xml:space="preserve"> </w:t>
      </w:r>
      <w:r w:rsidRPr="00A71C6E">
        <w:rPr>
          <w:rFonts w:ascii="Candara" w:hAnsi="Candara" w:cs="Candara"/>
          <w:sz w:val="23"/>
          <w:szCs w:val="23"/>
        </w:rPr>
        <w:t>des salariés.</w:t>
      </w:r>
    </w:p>
    <w:p w14:paraId="51521D3C" w14:textId="1DD7C518" w:rsidR="00820C0F" w:rsidRDefault="00820C0F" w:rsidP="00A71C6E">
      <w:pPr>
        <w:pStyle w:val="Default"/>
        <w:rPr>
          <w:rFonts w:ascii="Candara" w:hAnsi="Candara" w:cs="Candara"/>
          <w:sz w:val="23"/>
          <w:szCs w:val="23"/>
        </w:rPr>
      </w:pPr>
      <w:r>
        <w:rPr>
          <w:rFonts w:ascii="Candara" w:hAnsi="Candara" w:cs="Candara"/>
          <w:sz w:val="23"/>
          <w:szCs w:val="23"/>
        </w:rPr>
        <w:t xml:space="preserve">Cette loi pose les fondements juridiques de toute couverture collective, elle impose notamment une période de réexamen d’au plus 5 années pour les conventions collectives de branche ou d’entreprise qui désigne un organisme assureur et, en complément à la loi Evin, elle ajoute l’obligation d’organiser la poursuite de la revalorisation des prestations en cours de service en cas de résiliation du contrat ainsi que le </w:t>
      </w:r>
      <w:proofErr w:type="spellStart"/>
      <w:r>
        <w:rPr>
          <w:rFonts w:ascii="Candara" w:hAnsi="Candara" w:cs="Candara"/>
          <w:sz w:val="23"/>
          <w:szCs w:val="23"/>
        </w:rPr>
        <w:t>maintient</w:t>
      </w:r>
      <w:proofErr w:type="spellEnd"/>
      <w:r>
        <w:rPr>
          <w:rFonts w:ascii="Candara" w:hAnsi="Candara" w:cs="Candara"/>
          <w:sz w:val="23"/>
          <w:szCs w:val="23"/>
        </w:rPr>
        <w:t xml:space="preserve"> de la garantie décès. </w:t>
      </w:r>
    </w:p>
    <w:p w14:paraId="43412EE7" w14:textId="77777777" w:rsidR="00A71C6E" w:rsidRPr="00A71C6E" w:rsidRDefault="00A71C6E" w:rsidP="00A71C6E">
      <w:pPr>
        <w:pStyle w:val="Default"/>
        <w:rPr>
          <w:rFonts w:ascii="Candara" w:hAnsi="Candara" w:cs="Candara"/>
          <w:sz w:val="23"/>
          <w:szCs w:val="23"/>
        </w:rPr>
      </w:pPr>
    </w:p>
    <w:p w14:paraId="1B1624B7" w14:textId="30A389EB" w:rsidR="00A71C6E" w:rsidRDefault="00A71C6E" w:rsidP="00A71C6E">
      <w:pPr>
        <w:pStyle w:val="Paragraphedeliste"/>
        <w:numPr>
          <w:ilvl w:val="0"/>
          <w:numId w:val="33"/>
        </w:numPr>
        <w:ind w:left="643"/>
      </w:pPr>
      <w:r>
        <w:t>Arrêté du 28 mars 1996 :</w:t>
      </w:r>
    </w:p>
    <w:p w14:paraId="0CEED28B" w14:textId="40470C07" w:rsidR="00A71C6E" w:rsidRDefault="00A71C6E" w:rsidP="00A71C6E"/>
    <w:p w14:paraId="00A5307A" w14:textId="77777777" w:rsidR="00A71C6E" w:rsidRDefault="00A71C6E" w:rsidP="00A71C6E"/>
    <w:p w14:paraId="44769485" w14:textId="23B02DE3" w:rsidR="00DC1238" w:rsidRDefault="00DC1238" w:rsidP="00A71C6E">
      <w:r>
        <w:br w:type="page"/>
      </w:r>
    </w:p>
    <w:p w14:paraId="099CC824" w14:textId="77777777" w:rsidR="00DC1238" w:rsidRDefault="00DC1238" w:rsidP="00DC1238">
      <w:pPr>
        <w:spacing w:after="0"/>
      </w:pPr>
    </w:p>
    <w:p w14:paraId="7AF88347" w14:textId="77777777" w:rsidR="00D71E35" w:rsidRDefault="00D71E35" w:rsidP="00A103B7"/>
    <w:p w14:paraId="2DB32FAF" w14:textId="7C92FFFC" w:rsidR="00A103B7" w:rsidRPr="009212F2" w:rsidRDefault="00A103B7" w:rsidP="00D03829">
      <w:pPr>
        <w:pStyle w:val="Titre"/>
      </w:pPr>
      <w:r w:rsidRPr="009212F2">
        <w:t>L’absentéisme en entreprise en France</w:t>
      </w:r>
    </w:p>
    <w:p w14:paraId="4E3929C9" w14:textId="3E470EA5" w:rsidR="00A103B7" w:rsidRPr="00F71898" w:rsidRDefault="00A103B7" w:rsidP="00A103B7">
      <w:pPr>
        <w:pStyle w:val="Titre2"/>
      </w:pPr>
      <w:bookmarkStart w:id="10" w:name="_Toc112070544"/>
      <w:r>
        <w:t>Qu’est-ce que l’absentéisme ?</w:t>
      </w:r>
      <w:bookmarkEnd w:id="10"/>
    </w:p>
    <w:p w14:paraId="0204DC5D" w14:textId="5A07299C" w:rsidR="00A103B7" w:rsidRDefault="00A103B7" w:rsidP="00A103B7">
      <w:pPr>
        <w:pStyle w:val="Titre2"/>
      </w:pPr>
      <w:bookmarkStart w:id="11" w:name="_Toc112070545"/>
      <w:r>
        <w:t>Comment mesurer l’absentéisme en entreprise ?</w:t>
      </w:r>
      <w:bookmarkEnd w:id="11"/>
    </w:p>
    <w:p w14:paraId="0F86952F" w14:textId="77777777" w:rsidR="00A103B7" w:rsidRDefault="00A103B7" w:rsidP="00A103B7">
      <w:pPr>
        <w:pStyle w:val="Titre2"/>
      </w:pPr>
      <w:bookmarkStart w:id="12" w:name="_Toc112070546"/>
      <w:r>
        <w:t>Quel est son coût réel sur les entreprises ?</w:t>
      </w:r>
      <w:bookmarkStart w:id="13" w:name="_GoBack"/>
      <w:bookmarkEnd w:id="12"/>
      <w:bookmarkEnd w:id="13"/>
    </w:p>
    <w:p w14:paraId="5EC74AE0" w14:textId="6A14888D" w:rsidR="005F5B85" w:rsidRPr="00163B1C" w:rsidRDefault="005F5B85" w:rsidP="005F5B85">
      <w:pPr>
        <w:rPr>
          <w:b/>
          <w:bCs/>
        </w:rPr>
      </w:pPr>
    </w:p>
    <w:p w14:paraId="30C78993" w14:textId="71F5AC02" w:rsidR="00163B1C" w:rsidRPr="00163B1C" w:rsidRDefault="00163B1C" w:rsidP="00163B1C">
      <w:pPr>
        <w:rPr>
          <w:b/>
          <w:bCs/>
        </w:rPr>
      </w:pPr>
    </w:p>
    <w:p w14:paraId="78D4C03C" w14:textId="14DFB336" w:rsidR="00163B1C" w:rsidRPr="00163B1C" w:rsidRDefault="00163B1C" w:rsidP="00163B1C">
      <w:pPr>
        <w:rPr>
          <w:b/>
          <w:bCs/>
        </w:rPr>
      </w:pPr>
    </w:p>
    <w:p w14:paraId="5C5344FF" w14:textId="52D20C57" w:rsidR="00163B1C" w:rsidRPr="00163B1C" w:rsidRDefault="00163B1C" w:rsidP="003A55C9">
      <w:pPr>
        <w:jc w:val="left"/>
        <w:rPr>
          <w:b/>
          <w:bCs/>
        </w:rPr>
      </w:pPr>
    </w:p>
    <w:sectPr w:rsidR="00163B1C" w:rsidRPr="00163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ndara">
    <w:altName w:val="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396"/>
    <w:multiLevelType w:val="hybridMultilevel"/>
    <w:tmpl w:val="2602623E"/>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abstractNum w:abstractNumId="1" w15:restartNumberingAfterBreak="0">
    <w:nsid w:val="08A55A57"/>
    <w:multiLevelType w:val="hybridMultilevel"/>
    <w:tmpl w:val="270E9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E915CB"/>
    <w:multiLevelType w:val="hybridMultilevel"/>
    <w:tmpl w:val="F17E0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B7988"/>
    <w:multiLevelType w:val="hybridMultilevel"/>
    <w:tmpl w:val="69FA3AFE"/>
    <w:lvl w:ilvl="0" w:tplc="040C0001">
      <w:start w:val="1"/>
      <w:numFmt w:val="bullet"/>
      <w:lvlText w:val=""/>
      <w:lvlJc w:val="left"/>
      <w:pPr>
        <w:ind w:left="6570" w:hanging="360"/>
      </w:pPr>
      <w:rPr>
        <w:rFonts w:ascii="Symbol" w:hAnsi="Symbol" w:hint="default"/>
      </w:rPr>
    </w:lvl>
    <w:lvl w:ilvl="1" w:tplc="040C0003" w:tentative="1">
      <w:start w:val="1"/>
      <w:numFmt w:val="bullet"/>
      <w:lvlText w:val="o"/>
      <w:lvlJc w:val="left"/>
      <w:pPr>
        <w:ind w:left="7290" w:hanging="360"/>
      </w:pPr>
      <w:rPr>
        <w:rFonts w:ascii="Courier New" w:hAnsi="Courier New" w:cs="Courier New" w:hint="default"/>
      </w:rPr>
    </w:lvl>
    <w:lvl w:ilvl="2" w:tplc="040C0005" w:tentative="1">
      <w:start w:val="1"/>
      <w:numFmt w:val="bullet"/>
      <w:lvlText w:val=""/>
      <w:lvlJc w:val="left"/>
      <w:pPr>
        <w:ind w:left="8010" w:hanging="360"/>
      </w:pPr>
      <w:rPr>
        <w:rFonts w:ascii="Wingdings" w:hAnsi="Wingdings" w:hint="default"/>
      </w:rPr>
    </w:lvl>
    <w:lvl w:ilvl="3" w:tplc="040C0001" w:tentative="1">
      <w:start w:val="1"/>
      <w:numFmt w:val="bullet"/>
      <w:lvlText w:val=""/>
      <w:lvlJc w:val="left"/>
      <w:pPr>
        <w:ind w:left="8730" w:hanging="360"/>
      </w:pPr>
      <w:rPr>
        <w:rFonts w:ascii="Symbol" w:hAnsi="Symbol" w:hint="default"/>
      </w:rPr>
    </w:lvl>
    <w:lvl w:ilvl="4" w:tplc="040C0003" w:tentative="1">
      <w:start w:val="1"/>
      <w:numFmt w:val="bullet"/>
      <w:lvlText w:val="o"/>
      <w:lvlJc w:val="left"/>
      <w:pPr>
        <w:ind w:left="9450" w:hanging="360"/>
      </w:pPr>
      <w:rPr>
        <w:rFonts w:ascii="Courier New" w:hAnsi="Courier New" w:cs="Courier New" w:hint="default"/>
      </w:rPr>
    </w:lvl>
    <w:lvl w:ilvl="5" w:tplc="040C0005" w:tentative="1">
      <w:start w:val="1"/>
      <w:numFmt w:val="bullet"/>
      <w:lvlText w:val=""/>
      <w:lvlJc w:val="left"/>
      <w:pPr>
        <w:ind w:left="10170" w:hanging="360"/>
      </w:pPr>
      <w:rPr>
        <w:rFonts w:ascii="Wingdings" w:hAnsi="Wingdings" w:hint="default"/>
      </w:rPr>
    </w:lvl>
    <w:lvl w:ilvl="6" w:tplc="040C0001" w:tentative="1">
      <w:start w:val="1"/>
      <w:numFmt w:val="bullet"/>
      <w:lvlText w:val=""/>
      <w:lvlJc w:val="left"/>
      <w:pPr>
        <w:ind w:left="10890" w:hanging="360"/>
      </w:pPr>
      <w:rPr>
        <w:rFonts w:ascii="Symbol" w:hAnsi="Symbol" w:hint="default"/>
      </w:rPr>
    </w:lvl>
    <w:lvl w:ilvl="7" w:tplc="040C0003" w:tentative="1">
      <w:start w:val="1"/>
      <w:numFmt w:val="bullet"/>
      <w:lvlText w:val="o"/>
      <w:lvlJc w:val="left"/>
      <w:pPr>
        <w:ind w:left="11610" w:hanging="360"/>
      </w:pPr>
      <w:rPr>
        <w:rFonts w:ascii="Courier New" w:hAnsi="Courier New" w:cs="Courier New" w:hint="default"/>
      </w:rPr>
    </w:lvl>
    <w:lvl w:ilvl="8" w:tplc="040C0005" w:tentative="1">
      <w:start w:val="1"/>
      <w:numFmt w:val="bullet"/>
      <w:lvlText w:val=""/>
      <w:lvlJc w:val="left"/>
      <w:pPr>
        <w:ind w:left="12330" w:hanging="360"/>
      </w:pPr>
      <w:rPr>
        <w:rFonts w:ascii="Wingdings" w:hAnsi="Wingdings" w:hint="default"/>
      </w:rPr>
    </w:lvl>
  </w:abstractNum>
  <w:abstractNum w:abstractNumId="4" w15:restartNumberingAfterBreak="0">
    <w:nsid w:val="10803807"/>
    <w:multiLevelType w:val="hybridMultilevel"/>
    <w:tmpl w:val="B372BA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5504F46"/>
    <w:multiLevelType w:val="hybridMultilevel"/>
    <w:tmpl w:val="F62477C6"/>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6" w15:restartNumberingAfterBreak="0">
    <w:nsid w:val="15580193"/>
    <w:multiLevelType w:val="hybridMultilevel"/>
    <w:tmpl w:val="070EEE50"/>
    <w:lvl w:ilvl="0" w:tplc="040C0005">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7" w15:restartNumberingAfterBreak="0">
    <w:nsid w:val="16E456E9"/>
    <w:multiLevelType w:val="hybridMultilevel"/>
    <w:tmpl w:val="EE0CEBDC"/>
    <w:lvl w:ilvl="0" w:tplc="7AF6C3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3B7EB5"/>
    <w:multiLevelType w:val="hybridMultilevel"/>
    <w:tmpl w:val="AB02D7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5C3FA3"/>
    <w:multiLevelType w:val="hybridMultilevel"/>
    <w:tmpl w:val="41B88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C12138"/>
    <w:multiLevelType w:val="hybridMultilevel"/>
    <w:tmpl w:val="16CC0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9E441B"/>
    <w:multiLevelType w:val="hybridMultilevel"/>
    <w:tmpl w:val="0A581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F1D1A8A"/>
    <w:multiLevelType w:val="hybridMultilevel"/>
    <w:tmpl w:val="90F82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39319D"/>
    <w:multiLevelType w:val="hybridMultilevel"/>
    <w:tmpl w:val="63AE60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9F7648"/>
    <w:multiLevelType w:val="hybridMultilevel"/>
    <w:tmpl w:val="0C7ADF9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345147F9"/>
    <w:multiLevelType w:val="hybridMultilevel"/>
    <w:tmpl w:val="E14473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9C4D59"/>
    <w:multiLevelType w:val="hybridMultilevel"/>
    <w:tmpl w:val="09185B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78365DC"/>
    <w:multiLevelType w:val="hybridMultilevel"/>
    <w:tmpl w:val="05143BC8"/>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8" w15:restartNumberingAfterBreak="0">
    <w:nsid w:val="37D47D0F"/>
    <w:multiLevelType w:val="hybridMultilevel"/>
    <w:tmpl w:val="D212B41E"/>
    <w:lvl w:ilvl="0" w:tplc="040C0001">
      <w:start w:val="1"/>
      <w:numFmt w:val="bullet"/>
      <w:lvlText w:val=""/>
      <w:lvlJc w:val="left"/>
      <w:pPr>
        <w:ind w:left="1433" w:hanging="360"/>
      </w:pPr>
      <w:rPr>
        <w:rFonts w:ascii="Symbol" w:hAnsi="Symbol" w:hint="default"/>
      </w:rPr>
    </w:lvl>
    <w:lvl w:ilvl="1" w:tplc="040C0003" w:tentative="1">
      <w:start w:val="1"/>
      <w:numFmt w:val="bullet"/>
      <w:lvlText w:val="o"/>
      <w:lvlJc w:val="left"/>
      <w:pPr>
        <w:ind w:left="2153" w:hanging="360"/>
      </w:pPr>
      <w:rPr>
        <w:rFonts w:ascii="Courier New" w:hAnsi="Courier New" w:cs="Courier New" w:hint="default"/>
      </w:rPr>
    </w:lvl>
    <w:lvl w:ilvl="2" w:tplc="040C0005" w:tentative="1">
      <w:start w:val="1"/>
      <w:numFmt w:val="bullet"/>
      <w:lvlText w:val=""/>
      <w:lvlJc w:val="left"/>
      <w:pPr>
        <w:ind w:left="2873" w:hanging="360"/>
      </w:pPr>
      <w:rPr>
        <w:rFonts w:ascii="Wingdings" w:hAnsi="Wingdings" w:hint="default"/>
      </w:rPr>
    </w:lvl>
    <w:lvl w:ilvl="3" w:tplc="040C0001" w:tentative="1">
      <w:start w:val="1"/>
      <w:numFmt w:val="bullet"/>
      <w:lvlText w:val=""/>
      <w:lvlJc w:val="left"/>
      <w:pPr>
        <w:ind w:left="3593" w:hanging="360"/>
      </w:pPr>
      <w:rPr>
        <w:rFonts w:ascii="Symbol" w:hAnsi="Symbol" w:hint="default"/>
      </w:rPr>
    </w:lvl>
    <w:lvl w:ilvl="4" w:tplc="040C0003" w:tentative="1">
      <w:start w:val="1"/>
      <w:numFmt w:val="bullet"/>
      <w:lvlText w:val="o"/>
      <w:lvlJc w:val="left"/>
      <w:pPr>
        <w:ind w:left="4313" w:hanging="360"/>
      </w:pPr>
      <w:rPr>
        <w:rFonts w:ascii="Courier New" w:hAnsi="Courier New" w:cs="Courier New" w:hint="default"/>
      </w:rPr>
    </w:lvl>
    <w:lvl w:ilvl="5" w:tplc="040C0005" w:tentative="1">
      <w:start w:val="1"/>
      <w:numFmt w:val="bullet"/>
      <w:lvlText w:val=""/>
      <w:lvlJc w:val="left"/>
      <w:pPr>
        <w:ind w:left="5033" w:hanging="360"/>
      </w:pPr>
      <w:rPr>
        <w:rFonts w:ascii="Wingdings" w:hAnsi="Wingdings" w:hint="default"/>
      </w:rPr>
    </w:lvl>
    <w:lvl w:ilvl="6" w:tplc="040C0001" w:tentative="1">
      <w:start w:val="1"/>
      <w:numFmt w:val="bullet"/>
      <w:lvlText w:val=""/>
      <w:lvlJc w:val="left"/>
      <w:pPr>
        <w:ind w:left="5753" w:hanging="360"/>
      </w:pPr>
      <w:rPr>
        <w:rFonts w:ascii="Symbol" w:hAnsi="Symbol" w:hint="default"/>
      </w:rPr>
    </w:lvl>
    <w:lvl w:ilvl="7" w:tplc="040C0003" w:tentative="1">
      <w:start w:val="1"/>
      <w:numFmt w:val="bullet"/>
      <w:lvlText w:val="o"/>
      <w:lvlJc w:val="left"/>
      <w:pPr>
        <w:ind w:left="6473" w:hanging="360"/>
      </w:pPr>
      <w:rPr>
        <w:rFonts w:ascii="Courier New" w:hAnsi="Courier New" w:cs="Courier New" w:hint="default"/>
      </w:rPr>
    </w:lvl>
    <w:lvl w:ilvl="8" w:tplc="040C0005" w:tentative="1">
      <w:start w:val="1"/>
      <w:numFmt w:val="bullet"/>
      <w:lvlText w:val=""/>
      <w:lvlJc w:val="left"/>
      <w:pPr>
        <w:ind w:left="7193" w:hanging="360"/>
      </w:pPr>
      <w:rPr>
        <w:rFonts w:ascii="Wingdings" w:hAnsi="Wingdings" w:hint="default"/>
      </w:rPr>
    </w:lvl>
  </w:abstractNum>
  <w:abstractNum w:abstractNumId="19" w15:restartNumberingAfterBreak="0">
    <w:nsid w:val="3AAF1223"/>
    <w:multiLevelType w:val="hybridMultilevel"/>
    <w:tmpl w:val="E3665F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A40E03"/>
    <w:multiLevelType w:val="hybridMultilevel"/>
    <w:tmpl w:val="6188239A"/>
    <w:lvl w:ilvl="0" w:tplc="040C0001">
      <w:start w:val="1"/>
      <w:numFmt w:val="bullet"/>
      <w:lvlText w:val=""/>
      <w:lvlJc w:val="left"/>
      <w:pPr>
        <w:ind w:left="3690" w:hanging="360"/>
      </w:pPr>
      <w:rPr>
        <w:rFonts w:ascii="Symbol" w:hAnsi="Symbol" w:hint="default"/>
      </w:rPr>
    </w:lvl>
    <w:lvl w:ilvl="1" w:tplc="040C0003" w:tentative="1">
      <w:start w:val="1"/>
      <w:numFmt w:val="bullet"/>
      <w:lvlText w:val="o"/>
      <w:lvlJc w:val="left"/>
      <w:pPr>
        <w:ind w:left="4410" w:hanging="360"/>
      </w:pPr>
      <w:rPr>
        <w:rFonts w:ascii="Courier New" w:hAnsi="Courier New" w:cs="Courier New" w:hint="default"/>
      </w:rPr>
    </w:lvl>
    <w:lvl w:ilvl="2" w:tplc="040C0005" w:tentative="1">
      <w:start w:val="1"/>
      <w:numFmt w:val="bullet"/>
      <w:lvlText w:val=""/>
      <w:lvlJc w:val="left"/>
      <w:pPr>
        <w:ind w:left="5130" w:hanging="360"/>
      </w:pPr>
      <w:rPr>
        <w:rFonts w:ascii="Wingdings" w:hAnsi="Wingdings" w:hint="default"/>
      </w:rPr>
    </w:lvl>
    <w:lvl w:ilvl="3" w:tplc="040C0001" w:tentative="1">
      <w:start w:val="1"/>
      <w:numFmt w:val="bullet"/>
      <w:lvlText w:val=""/>
      <w:lvlJc w:val="left"/>
      <w:pPr>
        <w:ind w:left="5850" w:hanging="360"/>
      </w:pPr>
      <w:rPr>
        <w:rFonts w:ascii="Symbol" w:hAnsi="Symbol" w:hint="default"/>
      </w:rPr>
    </w:lvl>
    <w:lvl w:ilvl="4" w:tplc="040C0003" w:tentative="1">
      <w:start w:val="1"/>
      <w:numFmt w:val="bullet"/>
      <w:lvlText w:val="o"/>
      <w:lvlJc w:val="left"/>
      <w:pPr>
        <w:ind w:left="6570" w:hanging="360"/>
      </w:pPr>
      <w:rPr>
        <w:rFonts w:ascii="Courier New" w:hAnsi="Courier New" w:cs="Courier New" w:hint="default"/>
      </w:rPr>
    </w:lvl>
    <w:lvl w:ilvl="5" w:tplc="040C0005" w:tentative="1">
      <w:start w:val="1"/>
      <w:numFmt w:val="bullet"/>
      <w:lvlText w:val=""/>
      <w:lvlJc w:val="left"/>
      <w:pPr>
        <w:ind w:left="7290" w:hanging="360"/>
      </w:pPr>
      <w:rPr>
        <w:rFonts w:ascii="Wingdings" w:hAnsi="Wingdings" w:hint="default"/>
      </w:rPr>
    </w:lvl>
    <w:lvl w:ilvl="6" w:tplc="040C0001" w:tentative="1">
      <w:start w:val="1"/>
      <w:numFmt w:val="bullet"/>
      <w:lvlText w:val=""/>
      <w:lvlJc w:val="left"/>
      <w:pPr>
        <w:ind w:left="8010" w:hanging="360"/>
      </w:pPr>
      <w:rPr>
        <w:rFonts w:ascii="Symbol" w:hAnsi="Symbol" w:hint="default"/>
      </w:rPr>
    </w:lvl>
    <w:lvl w:ilvl="7" w:tplc="040C0003" w:tentative="1">
      <w:start w:val="1"/>
      <w:numFmt w:val="bullet"/>
      <w:lvlText w:val="o"/>
      <w:lvlJc w:val="left"/>
      <w:pPr>
        <w:ind w:left="8730" w:hanging="360"/>
      </w:pPr>
      <w:rPr>
        <w:rFonts w:ascii="Courier New" w:hAnsi="Courier New" w:cs="Courier New" w:hint="default"/>
      </w:rPr>
    </w:lvl>
    <w:lvl w:ilvl="8" w:tplc="040C0005" w:tentative="1">
      <w:start w:val="1"/>
      <w:numFmt w:val="bullet"/>
      <w:lvlText w:val=""/>
      <w:lvlJc w:val="left"/>
      <w:pPr>
        <w:ind w:left="9450" w:hanging="360"/>
      </w:pPr>
      <w:rPr>
        <w:rFonts w:ascii="Wingdings" w:hAnsi="Wingdings" w:hint="default"/>
      </w:rPr>
    </w:lvl>
  </w:abstractNum>
  <w:abstractNum w:abstractNumId="21" w15:restartNumberingAfterBreak="0">
    <w:nsid w:val="41C96E7C"/>
    <w:multiLevelType w:val="hybridMultilevel"/>
    <w:tmpl w:val="9A6E02F4"/>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22" w15:restartNumberingAfterBreak="0">
    <w:nsid w:val="4B2053C2"/>
    <w:multiLevelType w:val="hybridMultilevel"/>
    <w:tmpl w:val="F356F0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BE73A0"/>
    <w:multiLevelType w:val="hybridMultilevel"/>
    <w:tmpl w:val="4132A3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CA58E2"/>
    <w:multiLevelType w:val="hybridMultilevel"/>
    <w:tmpl w:val="4C945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F97CA9"/>
    <w:multiLevelType w:val="hybridMultilevel"/>
    <w:tmpl w:val="495CB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14C0629"/>
    <w:multiLevelType w:val="hybridMultilevel"/>
    <w:tmpl w:val="ECFE5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CE1629"/>
    <w:multiLevelType w:val="hybridMultilevel"/>
    <w:tmpl w:val="9CB08E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7F9449E"/>
    <w:multiLevelType w:val="hybridMultilevel"/>
    <w:tmpl w:val="4BA0BFE0"/>
    <w:lvl w:ilvl="0" w:tplc="040C000B">
      <w:start w:val="1"/>
      <w:numFmt w:val="bullet"/>
      <w:lvlText w:val=""/>
      <w:lvlJc w:val="left"/>
      <w:pPr>
        <w:ind w:left="5023" w:hanging="360"/>
      </w:pPr>
      <w:rPr>
        <w:rFonts w:ascii="Wingdings" w:hAnsi="Wingdings" w:hint="default"/>
      </w:rPr>
    </w:lvl>
    <w:lvl w:ilvl="1" w:tplc="040C0003" w:tentative="1">
      <w:start w:val="1"/>
      <w:numFmt w:val="bullet"/>
      <w:lvlText w:val="o"/>
      <w:lvlJc w:val="left"/>
      <w:pPr>
        <w:ind w:left="5743" w:hanging="360"/>
      </w:pPr>
      <w:rPr>
        <w:rFonts w:ascii="Courier New" w:hAnsi="Courier New" w:cs="Courier New" w:hint="default"/>
      </w:rPr>
    </w:lvl>
    <w:lvl w:ilvl="2" w:tplc="040C0005" w:tentative="1">
      <w:start w:val="1"/>
      <w:numFmt w:val="bullet"/>
      <w:lvlText w:val=""/>
      <w:lvlJc w:val="left"/>
      <w:pPr>
        <w:ind w:left="6463" w:hanging="360"/>
      </w:pPr>
      <w:rPr>
        <w:rFonts w:ascii="Wingdings" w:hAnsi="Wingdings" w:hint="default"/>
      </w:rPr>
    </w:lvl>
    <w:lvl w:ilvl="3" w:tplc="040C0001" w:tentative="1">
      <w:start w:val="1"/>
      <w:numFmt w:val="bullet"/>
      <w:lvlText w:val=""/>
      <w:lvlJc w:val="left"/>
      <w:pPr>
        <w:ind w:left="7183" w:hanging="360"/>
      </w:pPr>
      <w:rPr>
        <w:rFonts w:ascii="Symbol" w:hAnsi="Symbol" w:hint="default"/>
      </w:rPr>
    </w:lvl>
    <w:lvl w:ilvl="4" w:tplc="040C0003" w:tentative="1">
      <w:start w:val="1"/>
      <w:numFmt w:val="bullet"/>
      <w:lvlText w:val="o"/>
      <w:lvlJc w:val="left"/>
      <w:pPr>
        <w:ind w:left="7903" w:hanging="360"/>
      </w:pPr>
      <w:rPr>
        <w:rFonts w:ascii="Courier New" w:hAnsi="Courier New" w:cs="Courier New" w:hint="default"/>
      </w:rPr>
    </w:lvl>
    <w:lvl w:ilvl="5" w:tplc="040C0005" w:tentative="1">
      <w:start w:val="1"/>
      <w:numFmt w:val="bullet"/>
      <w:lvlText w:val=""/>
      <w:lvlJc w:val="left"/>
      <w:pPr>
        <w:ind w:left="8623" w:hanging="360"/>
      </w:pPr>
      <w:rPr>
        <w:rFonts w:ascii="Wingdings" w:hAnsi="Wingdings" w:hint="default"/>
      </w:rPr>
    </w:lvl>
    <w:lvl w:ilvl="6" w:tplc="040C0001" w:tentative="1">
      <w:start w:val="1"/>
      <w:numFmt w:val="bullet"/>
      <w:lvlText w:val=""/>
      <w:lvlJc w:val="left"/>
      <w:pPr>
        <w:ind w:left="9343" w:hanging="360"/>
      </w:pPr>
      <w:rPr>
        <w:rFonts w:ascii="Symbol" w:hAnsi="Symbol" w:hint="default"/>
      </w:rPr>
    </w:lvl>
    <w:lvl w:ilvl="7" w:tplc="040C0003" w:tentative="1">
      <w:start w:val="1"/>
      <w:numFmt w:val="bullet"/>
      <w:lvlText w:val="o"/>
      <w:lvlJc w:val="left"/>
      <w:pPr>
        <w:ind w:left="10063" w:hanging="360"/>
      </w:pPr>
      <w:rPr>
        <w:rFonts w:ascii="Courier New" w:hAnsi="Courier New" w:cs="Courier New" w:hint="default"/>
      </w:rPr>
    </w:lvl>
    <w:lvl w:ilvl="8" w:tplc="040C0005" w:tentative="1">
      <w:start w:val="1"/>
      <w:numFmt w:val="bullet"/>
      <w:lvlText w:val=""/>
      <w:lvlJc w:val="left"/>
      <w:pPr>
        <w:ind w:left="10783" w:hanging="360"/>
      </w:pPr>
      <w:rPr>
        <w:rFonts w:ascii="Wingdings" w:hAnsi="Wingdings" w:hint="default"/>
      </w:rPr>
    </w:lvl>
  </w:abstractNum>
  <w:abstractNum w:abstractNumId="29" w15:restartNumberingAfterBreak="0">
    <w:nsid w:val="58300352"/>
    <w:multiLevelType w:val="hybridMultilevel"/>
    <w:tmpl w:val="2CC4BDB2"/>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15:restartNumberingAfterBreak="0">
    <w:nsid w:val="5B243420"/>
    <w:multiLevelType w:val="hybridMultilevel"/>
    <w:tmpl w:val="F01CE8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C4D4B09"/>
    <w:multiLevelType w:val="hybridMultilevel"/>
    <w:tmpl w:val="BBC4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1D336F1"/>
    <w:multiLevelType w:val="hybridMultilevel"/>
    <w:tmpl w:val="E81873D0"/>
    <w:lvl w:ilvl="0" w:tplc="040C0005">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3" w15:restartNumberingAfterBreak="0">
    <w:nsid w:val="68A84C2B"/>
    <w:multiLevelType w:val="hybridMultilevel"/>
    <w:tmpl w:val="0952E8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B74032B"/>
    <w:multiLevelType w:val="hybridMultilevel"/>
    <w:tmpl w:val="70200EE4"/>
    <w:lvl w:ilvl="0" w:tplc="040C0005">
      <w:start w:val="1"/>
      <w:numFmt w:val="bullet"/>
      <w:lvlText w:val=""/>
      <w:lvlJc w:val="left"/>
      <w:pPr>
        <w:ind w:left="1003" w:hanging="360"/>
      </w:pPr>
      <w:rPr>
        <w:rFonts w:ascii="Wingdings" w:hAnsi="Wingdings"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5" w15:restartNumberingAfterBreak="0">
    <w:nsid w:val="6BAD1B25"/>
    <w:multiLevelType w:val="hybridMultilevel"/>
    <w:tmpl w:val="0428C436"/>
    <w:lvl w:ilvl="0" w:tplc="040C000B">
      <w:start w:val="1"/>
      <w:numFmt w:val="bullet"/>
      <w:lvlText w:val=""/>
      <w:lvlJc w:val="left"/>
      <w:pPr>
        <w:ind w:left="6480" w:hanging="360"/>
      </w:pPr>
      <w:rPr>
        <w:rFonts w:ascii="Wingdings" w:hAnsi="Wingdings" w:hint="default"/>
      </w:rPr>
    </w:lvl>
    <w:lvl w:ilvl="1" w:tplc="040C0003" w:tentative="1">
      <w:start w:val="1"/>
      <w:numFmt w:val="bullet"/>
      <w:lvlText w:val="o"/>
      <w:lvlJc w:val="left"/>
      <w:pPr>
        <w:ind w:left="7200" w:hanging="360"/>
      </w:pPr>
      <w:rPr>
        <w:rFonts w:ascii="Courier New" w:hAnsi="Courier New" w:cs="Courier New" w:hint="default"/>
      </w:rPr>
    </w:lvl>
    <w:lvl w:ilvl="2" w:tplc="040C0005" w:tentative="1">
      <w:start w:val="1"/>
      <w:numFmt w:val="bullet"/>
      <w:lvlText w:val=""/>
      <w:lvlJc w:val="left"/>
      <w:pPr>
        <w:ind w:left="7920" w:hanging="360"/>
      </w:pPr>
      <w:rPr>
        <w:rFonts w:ascii="Wingdings" w:hAnsi="Wingdings" w:hint="default"/>
      </w:rPr>
    </w:lvl>
    <w:lvl w:ilvl="3" w:tplc="040C0001" w:tentative="1">
      <w:start w:val="1"/>
      <w:numFmt w:val="bullet"/>
      <w:lvlText w:val=""/>
      <w:lvlJc w:val="left"/>
      <w:pPr>
        <w:ind w:left="8640" w:hanging="360"/>
      </w:pPr>
      <w:rPr>
        <w:rFonts w:ascii="Symbol" w:hAnsi="Symbol" w:hint="default"/>
      </w:rPr>
    </w:lvl>
    <w:lvl w:ilvl="4" w:tplc="040C0003" w:tentative="1">
      <w:start w:val="1"/>
      <w:numFmt w:val="bullet"/>
      <w:lvlText w:val="o"/>
      <w:lvlJc w:val="left"/>
      <w:pPr>
        <w:ind w:left="9360" w:hanging="360"/>
      </w:pPr>
      <w:rPr>
        <w:rFonts w:ascii="Courier New" w:hAnsi="Courier New" w:cs="Courier New" w:hint="default"/>
      </w:rPr>
    </w:lvl>
    <w:lvl w:ilvl="5" w:tplc="040C0005" w:tentative="1">
      <w:start w:val="1"/>
      <w:numFmt w:val="bullet"/>
      <w:lvlText w:val=""/>
      <w:lvlJc w:val="left"/>
      <w:pPr>
        <w:ind w:left="10080" w:hanging="360"/>
      </w:pPr>
      <w:rPr>
        <w:rFonts w:ascii="Wingdings" w:hAnsi="Wingdings" w:hint="default"/>
      </w:rPr>
    </w:lvl>
    <w:lvl w:ilvl="6" w:tplc="040C0001" w:tentative="1">
      <w:start w:val="1"/>
      <w:numFmt w:val="bullet"/>
      <w:lvlText w:val=""/>
      <w:lvlJc w:val="left"/>
      <w:pPr>
        <w:ind w:left="10800" w:hanging="360"/>
      </w:pPr>
      <w:rPr>
        <w:rFonts w:ascii="Symbol" w:hAnsi="Symbol" w:hint="default"/>
      </w:rPr>
    </w:lvl>
    <w:lvl w:ilvl="7" w:tplc="040C0003" w:tentative="1">
      <w:start w:val="1"/>
      <w:numFmt w:val="bullet"/>
      <w:lvlText w:val="o"/>
      <w:lvlJc w:val="left"/>
      <w:pPr>
        <w:ind w:left="11520" w:hanging="360"/>
      </w:pPr>
      <w:rPr>
        <w:rFonts w:ascii="Courier New" w:hAnsi="Courier New" w:cs="Courier New" w:hint="default"/>
      </w:rPr>
    </w:lvl>
    <w:lvl w:ilvl="8" w:tplc="040C0005" w:tentative="1">
      <w:start w:val="1"/>
      <w:numFmt w:val="bullet"/>
      <w:lvlText w:val=""/>
      <w:lvlJc w:val="left"/>
      <w:pPr>
        <w:ind w:left="12240" w:hanging="360"/>
      </w:pPr>
      <w:rPr>
        <w:rFonts w:ascii="Wingdings" w:hAnsi="Wingdings" w:hint="default"/>
      </w:rPr>
    </w:lvl>
  </w:abstractNum>
  <w:abstractNum w:abstractNumId="36" w15:restartNumberingAfterBreak="0">
    <w:nsid w:val="6D9B12E2"/>
    <w:multiLevelType w:val="hybridMultilevel"/>
    <w:tmpl w:val="23C0E44A"/>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6DEC534D"/>
    <w:multiLevelType w:val="hybridMultilevel"/>
    <w:tmpl w:val="F4CE1F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E410B64"/>
    <w:multiLevelType w:val="hybridMultilevel"/>
    <w:tmpl w:val="79E25086"/>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9" w15:restartNumberingAfterBreak="0">
    <w:nsid w:val="7510303C"/>
    <w:multiLevelType w:val="hybridMultilevel"/>
    <w:tmpl w:val="62EA23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CAC26BB"/>
    <w:multiLevelType w:val="hybridMultilevel"/>
    <w:tmpl w:val="25E672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12"/>
  </w:num>
  <w:num w:numId="3">
    <w:abstractNumId w:val="23"/>
  </w:num>
  <w:num w:numId="4">
    <w:abstractNumId w:val="31"/>
  </w:num>
  <w:num w:numId="5">
    <w:abstractNumId w:val="26"/>
  </w:num>
  <w:num w:numId="6">
    <w:abstractNumId w:val="24"/>
  </w:num>
  <w:num w:numId="7">
    <w:abstractNumId w:val="10"/>
  </w:num>
  <w:num w:numId="8">
    <w:abstractNumId w:val="21"/>
  </w:num>
  <w:num w:numId="9">
    <w:abstractNumId w:val="32"/>
  </w:num>
  <w:num w:numId="10">
    <w:abstractNumId w:val="19"/>
  </w:num>
  <w:num w:numId="11">
    <w:abstractNumId w:val="17"/>
  </w:num>
  <w:num w:numId="12">
    <w:abstractNumId w:val="38"/>
  </w:num>
  <w:num w:numId="13">
    <w:abstractNumId w:val="28"/>
  </w:num>
  <w:num w:numId="14">
    <w:abstractNumId w:val="14"/>
  </w:num>
  <w:num w:numId="15">
    <w:abstractNumId w:val="8"/>
  </w:num>
  <w:num w:numId="16">
    <w:abstractNumId w:val="30"/>
  </w:num>
  <w:num w:numId="17">
    <w:abstractNumId w:val="16"/>
  </w:num>
  <w:num w:numId="18">
    <w:abstractNumId w:val="40"/>
  </w:num>
  <w:num w:numId="19">
    <w:abstractNumId w:val="15"/>
  </w:num>
  <w:num w:numId="20">
    <w:abstractNumId w:val="4"/>
  </w:num>
  <w:num w:numId="21">
    <w:abstractNumId w:val="25"/>
  </w:num>
  <w:num w:numId="22">
    <w:abstractNumId w:val="5"/>
  </w:num>
  <w:num w:numId="23">
    <w:abstractNumId w:val="39"/>
  </w:num>
  <w:num w:numId="24">
    <w:abstractNumId w:val="9"/>
  </w:num>
  <w:num w:numId="25">
    <w:abstractNumId w:val="29"/>
  </w:num>
  <w:num w:numId="26">
    <w:abstractNumId w:val="35"/>
  </w:num>
  <w:num w:numId="27">
    <w:abstractNumId w:val="33"/>
  </w:num>
  <w:num w:numId="28">
    <w:abstractNumId w:val="27"/>
  </w:num>
  <w:num w:numId="29">
    <w:abstractNumId w:val="34"/>
  </w:num>
  <w:num w:numId="30">
    <w:abstractNumId w:val="1"/>
  </w:num>
  <w:num w:numId="31">
    <w:abstractNumId w:val="20"/>
  </w:num>
  <w:num w:numId="32">
    <w:abstractNumId w:val="3"/>
  </w:num>
  <w:num w:numId="33">
    <w:abstractNumId w:val="13"/>
  </w:num>
  <w:num w:numId="34">
    <w:abstractNumId w:val="7"/>
  </w:num>
  <w:num w:numId="35">
    <w:abstractNumId w:val="2"/>
  </w:num>
  <w:num w:numId="36">
    <w:abstractNumId w:val="0"/>
  </w:num>
  <w:num w:numId="37">
    <w:abstractNumId w:val="11"/>
  </w:num>
  <w:num w:numId="38">
    <w:abstractNumId w:val="37"/>
  </w:num>
  <w:num w:numId="39">
    <w:abstractNumId w:val="36"/>
  </w:num>
  <w:num w:numId="40">
    <w:abstractNumId w:val="22"/>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40"/>
    <w:rsid w:val="000046F7"/>
    <w:rsid w:val="00025912"/>
    <w:rsid w:val="000273B5"/>
    <w:rsid w:val="000649C9"/>
    <w:rsid w:val="00070EF6"/>
    <w:rsid w:val="000C235A"/>
    <w:rsid w:val="00163B1C"/>
    <w:rsid w:val="001B3A0A"/>
    <w:rsid w:val="001B7625"/>
    <w:rsid w:val="0020223C"/>
    <w:rsid w:val="00214899"/>
    <w:rsid w:val="00242245"/>
    <w:rsid w:val="0028053D"/>
    <w:rsid w:val="00296E07"/>
    <w:rsid w:val="00397EA1"/>
    <w:rsid w:val="003A55C9"/>
    <w:rsid w:val="003C752A"/>
    <w:rsid w:val="003E0C37"/>
    <w:rsid w:val="003F0B1C"/>
    <w:rsid w:val="004108B0"/>
    <w:rsid w:val="004167E1"/>
    <w:rsid w:val="00456F0C"/>
    <w:rsid w:val="004A5139"/>
    <w:rsid w:val="005303CD"/>
    <w:rsid w:val="005423EC"/>
    <w:rsid w:val="005B2353"/>
    <w:rsid w:val="005E1C3A"/>
    <w:rsid w:val="005F1B32"/>
    <w:rsid w:val="005F5B85"/>
    <w:rsid w:val="0062499A"/>
    <w:rsid w:val="006471B9"/>
    <w:rsid w:val="00661A1B"/>
    <w:rsid w:val="00747135"/>
    <w:rsid w:val="00775045"/>
    <w:rsid w:val="007A2019"/>
    <w:rsid w:val="007E5C00"/>
    <w:rsid w:val="00820C0F"/>
    <w:rsid w:val="00823F3F"/>
    <w:rsid w:val="00850EFE"/>
    <w:rsid w:val="00862C24"/>
    <w:rsid w:val="00913A68"/>
    <w:rsid w:val="009212F2"/>
    <w:rsid w:val="009410B2"/>
    <w:rsid w:val="009D742E"/>
    <w:rsid w:val="00A103B7"/>
    <w:rsid w:val="00A529CB"/>
    <w:rsid w:val="00A71C6E"/>
    <w:rsid w:val="00A74A85"/>
    <w:rsid w:val="00AB44E0"/>
    <w:rsid w:val="00AC1FD6"/>
    <w:rsid w:val="00AC6C46"/>
    <w:rsid w:val="00AC7AE8"/>
    <w:rsid w:val="00B320F2"/>
    <w:rsid w:val="00B610EB"/>
    <w:rsid w:val="00B948DB"/>
    <w:rsid w:val="00BB2BAB"/>
    <w:rsid w:val="00BB5F86"/>
    <w:rsid w:val="00C21A8E"/>
    <w:rsid w:val="00C737EF"/>
    <w:rsid w:val="00C85FED"/>
    <w:rsid w:val="00C95FB0"/>
    <w:rsid w:val="00CC560A"/>
    <w:rsid w:val="00CE0C9B"/>
    <w:rsid w:val="00CF7F66"/>
    <w:rsid w:val="00D03829"/>
    <w:rsid w:val="00D2593E"/>
    <w:rsid w:val="00D46B28"/>
    <w:rsid w:val="00D5746E"/>
    <w:rsid w:val="00D71E35"/>
    <w:rsid w:val="00D917AA"/>
    <w:rsid w:val="00DC1238"/>
    <w:rsid w:val="00EB7709"/>
    <w:rsid w:val="00ED15F7"/>
    <w:rsid w:val="00F16702"/>
    <w:rsid w:val="00F22DB5"/>
    <w:rsid w:val="00F271A3"/>
    <w:rsid w:val="00F3594C"/>
    <w:rsid w:val="00F5259B"/>
    <w:rsid w:val="00F71898"/>
    <w:rsid w:val="00F86A40"/>
    <w:rsid w:val="00F86B6E"/>
    <w:rsid w:val="00F9611C"/>
    <w:rsid w:val="00FB0A25"/>
    <w:rsid w:val="00FE28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CF32"/>
  <w15:chartTrackingRefBased/>
  <w15:docId w15:val="{8D10A507-2FD1-4828-9673-7BA0A550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E07"/>
    <w:pPr>
      <w:jc w:val="both"/>
    </w:pPr>
    <w:rPr>
      <w:rFonts w:ascii="Cambria" w:hAnsi="Cambria"/>
    </w:rPr>
  </w:style>
  <w:style w:type="paragraph" w:styleId="Titre1">
    <w:name w:val="heading 1"/>
    <w:basedOn w:val="Normal"/>
    <w:next w:val="Normal"/>
    <w:link w:val="Titre1Car"/>
    <w:uiPriority w:val="9"/>
    <w:qFormat/>
    <w:rsid w:val="00661A1B"/>
    <w:pPr>
      <w:keepNext/>
      <w:keepLines/>
      <w:spacing w:before="240" w:after="0"/>
      <w:outlineLvl w:val="0"/>
    </w:pPr>
    <w:rPr>
      <w:rFonts w:eastAsiaTheme="majorEastAsia" w:cstheme="majorBidi"/>
      <w:b/>
      <w:color w:val="7030A0"/>
      <w:sz w:val="32"/>
      <w:szCs w:val="32"/>
    </w:rPr>
  </w:style>
  <w:style w:type="paragraph" w:styleId="Titre2">
    <w:name w:val="heading 2"/>
    <w:basedOn w:val="Normal"/>
    <w:next w:val="Normal"/>
    <w:link w:val="Titre2Car"/>
    <w:uiPriority w:val="9"/>
    <w:unhideWhenUsed/>
    <w:qFormat/>
    <w:rsid w:val="00862C24"/>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9212F2"/>
    <w:pPr>
      <w:keepNext/>
      <w:keepLines/>
      <w:spacing w:before="40" w:after="0"/>
      <w:outlineLvl w:val="2"/>
    </w:pPr>
    <w:rPr>
      <w:rFonts w:eastAsiaTheme="majorEastAsia" w:cstheme="majorBidi"/>
      <w:color w:val="00B0F0"/>
      <w:sz w:val="24"/>
      <w:szCs w:val="24"/>
    </w:rPr>
  </w:style>
  <w:style w:type="paragraph" w:styleId="Titre4">
    <w:name w:val="heading 4"/>
    <w:basedOn w:val="Normal"/>
    <w:next w:val="Normal"/>
    <w:link w:val="Titre4Car"/>
    <w:uiPriority w:val="9"/>
    <w:unhideWhenUsed/>
    <w:qFormat/>
    <w:rsid w:val="00D917AA"/>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D917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F5B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F5B8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61A1B"/>
    <w:rPr>
      <w:rFonts w:ascii="Cambria" w:eastAsiaTheme="majorEastAsia" w:hAnsi="Cambria" w:cstheme="majorBidi"/>
      <w:b/>
      <w:color w:val="7030A0"/>
      <w:sz w:val="32"/>
      <w:szCs w:val="32"/>
    </w:rPr>
  </w:style>
  <w:style w:type="character" w:customStyle="1" w:styleId="Titre2Car">
    <w:name w:val="Titre 2 Car"/>
    <w:basedOn w:val="Policepardfaut"/>
    <w:link w:val="Titre2"/>
    <w:uiPriority w:val="9"/>
    <w:rsid w:val="00862C24"/>
    <w:rPr>
      <w:rFonts w:ascii="Cambria" w:eastAsiaTheme="majorEastAsia" w:hAnsi="Cambria" w:cstheme="majorBidi"/>
      <w:color w:val="2F5496" w:themeColor="accent1" w:themeShade="BF"/>
      <w:sz w:val="26"/>
      <w:szCs w:val="26"/>
    </w:rPr>
  </w:style>
  <w:style w:type="paragraph" w:styleId="Textedebulles">
    <w:name w:val="Balloon Text"/>
    <w:basedOn w:val="Normal"/>
    <w:link w:val="TextedebullesCar"/>
    <w:uiPriority w:val="99"/>
    <w:semiHidden/>
    <w:unhideWhenUsed/>
    <w:rsid w:val="00F718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898"/>
    <w:rPr>
      <w:rFonts w:ascii="Segoe UI" w:hAnsi="Segoe UI" w:cs="Segoe UI"/>
      <w:sz w:val="18"/>
      <w:szCs w:val="18"/>
    </w:rPr>
  </w:style>
  <w:style w:type="paragraph" w:styleId="En-ttedetabledesmatires">
    <w:name w:val="TOC Heading"/>
    <w:basedOn w:val="Titre1"/>
    <w:next w:val="Normal"/>
    <w:uiPriority w:val="39"/>
    <w:unhideWhenUsed/>
    <w:qFormat/>
    <w:rsid w:val="00A103B7"/>
    <w:pPr>
      <w:outlineLvl w:val="9"/>
    </w:pPr>
    <w:rPr>
      <w:lang w:eastAsia="fr-FR"/>
    </w:rPr>
  </w:style>
  <w:style w:type="paragraph" w:styleId="TM1">
    <w:name w:val="toc 1"/>
    <w:basedOn w:val="Normal"/>
    <w:next w:val="Normal"/>
    <w:autoRedefine/>
    <w:uiPriority w:val="39"/>
    <w:unhideWhenUsed/>
    <w:rsid w:val="00A103B7"/>
    <w:pPr>
      <w:spacing w:after="100"/>
    </w:pPr>
  </w:style>
  <w:style w:type="paragraph" w:styleId="TM2">
    <w:name w:val="toc 2"/>
    <w:basedOn w:val="Normal"/>
    <w:next w:val="Normal"/>
    <w:autoRedefine/>
    <w:uiPriority w:val="39"/>
    <w:unhideWhenUsed/>
    <w:rsid w:val="00A103B7"/>
    <w:pPr>
      <w:spacing w:after="100"/>
      <w:ind w:left="220"/>
    </w:pPr>
  </w:style>
  <w:style w:type="character" w:styleId="Lienhypertexte">
    <w:name w:val="Hyperlink"/>
    <w:basedOn w:val="Policepardfaut"/>
    <w:uiPriority w:val="99"/>
    <w:unhideWhenUsed/>
    <w:rsid w:val="00A103B7"/>
    <w:rPr>
      <w:color w:val="0563C1" w:themeColor="hyperlink"/>
      <w:u w:val="single"/>
    </w:rPr>
  </w:style>
  <w:style w:type="paragraph" w:styleId="Paragraphedeliste">
    <w:name w:val="List Paragraph"/>
    <w:basedOn w:val="Normal"/>
    <w:uiPriority w:val="34"/>
    <w:qFormat/>
    <w:rsid w:val="001B3A0A"/>
    <w:pPr>
      <w:ind w:left="720"/>
      <w:contextualSpacing/>
    </w:pPr>
  </w:style>
  <w:style w:type="character" w:customStyle="1" w:styleId="Titre3Car">
    <w:name w:val="Titre 3 Car"/>
    <w:basedOn w:val="Policepardfaut"/>
    <w:link w:val="Titre3"/>
    <w:uiPriority w:val="9"/>
    <w:rsid w:val="009212F2"/>
    <w:rPr>
      <w:rFonts w:ascii="Cambria" w:eastAsiaTheme="majorEastAsia" w:hAnsi="Cambria" w:cstheme="majorBidi"/>
      <w:color w:val="00B0F0"/>
      <w:sz w:val="24"/>
      <w:szCs w:val="24"/>
    </w:rPr>
  </w:style>
  <w:style w:type="paragraph" w:styleId="TM3">
    <w:name w:val="toc 3"/>
    <w:basedOn w:val="Normal"/>
    <w:next w:val="Normal"/>
    <w:autoRedefine/>
    <w:uiPriority w:val="39"/>
    <w:unhideWhenUsed/>
    <w:rsid w:val="00025912"/>
    <w:pPr>
      <w:spacing w:after="100"/>
      <w:ind w:left="440"/>
    </w:pPr>
  </w:style>
  <w:style w:type="paragraph" w:styleId="Sansinterligne">
    <w:name w:val="No Spacing"/>
    <w:uiPriority w:val="1"/>
    <w:qFormat/>
    <w:rsid w:val="00242245"/>
    <w:pPr>
      <w:spacing w:after="0" w:line="240" w:lineRule="auto"/>
    </w:pPr>
    <w:rPr>
      <w:rFonts w:ascii="Cambria" w:hAnsi="Cambria"/>
    </w:rPr>
  </w:style>
  <w:style w:type="paragraph" w:styleId="Sous-titre">
    <w:name w:val="Subtitle"/>
    <w:basedOn w:val="Normal"/>
    <w:next w:val="Normal"/>
    <w:link w:val="Sous-titreCar"/>
    <w:uiPriority w:val="11"/>
    <w:qFormat/>
    <w:rsid w:val="00D917AA"/>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D917AA"/>
    <w:rPr>
      <w:rFonts w:eastAsiaTheme="minorEastAsia"/>
      <w:color w:val="5A5A5A" w:themeColor="text1" w:themeTint="A5"/>
      <w:spacing w:val="15"/>
    </w:rPr>
  </w:style>
  <w:style w:type="character" w:customStyle="1" w:styleId="Titre4Car">
    <w:name w:val="Titre 4 Car"/>
    <w:basedOn w:val="Policepardfaut"/>
    <w:link w:val="Titre4"/>
    <w:uiPriority w:val="9"/>
    <w:rsid w:val="00D917AA"/>
    <w:rPr>
      <w:rFonts w:ascii="Cambria" w:eastAsiaTheme="majorEastAsia" w:hAnsi="Cambria" w:cstheme="majorBidi"/>
      <w:i/>
      <w:iCs/>
      <w:color w:val="2F5496" w:themeColor="accent1" w:themeShade="BF"/>
    </w:rPr>
  </w:style>
  <w:style w:type="character" w:customStyle="1" w:styleId="Titre5Car">
    <w:name w:val="Titre 5 Car"/>
    <w:basedOn w:val="Policepardfaut"/>
    <w:link w:val="Titre5"/>
    <w:uiPriority w:val="9"/>
    <w:rsid w:val="00D917AA"/>
    <w:rPr>
      <w:rFonts w:asciiTheme="majorHAnsi" w:eastAsiaTheme="majorEastAsia" w:hAnsiTheme="majorHAnsi" w:cstheme="majorBidi"/>
      <w:color w:val="2F5496" w:themeColor="accent1" w:themeShade="BF"/>
    </w:rPr>
  </w:style>
  <w:style w:type="table" w:styleId="Grilledutableau">
    <w:name w:val="Table Grid"/>
    <w:basedOn w:val="TableauNormal"/>
    <w:uiPriority w:val="39"/>
    <w:rsid w:val="00163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71C6E"/>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C073A-E116-4CD9-A161-A2FACE4BC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4331</Words>
  <Characters>23824</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28099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DATSI Khalil</cp:lastModifiedBy>
  <cp:revision>23</cp:revision>
  <dcterms:created xsi:type="dcterms:W3CDTF">2022-08-02T14:08:00Z</dcterms:created>
  <dcterms:modified xsi:type="dcterms:W3CDTF">2022-08-22T12:30:00Z</dcterms:modified>
</cp:coreProperties>
</file>