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3CDB" w14:textId="77B86B87" w:rsidR="005B2353" w:rsidRDefault="005F5B85" w:rsidP="005F5B85">
      <w:pPr>
        <w:pStyle w:val="Titre"/>
        <w:jc w:val="center"/>
      </w:pPr>
      <w:r>
        <w:t>Contexte</w:t>
      </w:r>
      <w:r w:rsidR="00A103B7">
        <w:t xml:space="preserve"> de l’étude</w:t>
      </w:r>
    </w:p>
    <w:p w14:paraId="1DBCE351" w14:textId="77777777" w:rsidR="00F71898" w:rsidRPr="00F71898" w:rsidRDefault="00F71898" w:rsidP="00F71898"/>
    <w:sdt>
      <w:sdtPr>
        <w:id w:val="2006010196"/>
        <w:docPartObj>
          <w:docPartGallery w:val="Table of Contents"/>
          <w:docPartUnique/>
        </w:docPartObj>
      </w:sdtPr>
      <w:sdtEndPr>
        <w:rPr>
          <w:rFonts w:eastAsiaTheme="minorHAnsi" w:cstheme="minorBidi"/>
          <w:bCs/>
          <w:color w:val="auto"/>
          <w:sz w:val="22"/>
          <w:szCs w:val="22"/>
          <w:lang w:eastAsia="en-US"/>
        </w:rPr>
      </w:sdtEndPr>
      <w:sdtContent>
        <w:p w14:paraId="72311E71" w14:textId="7F4461DF" w:rsidR="00A103B7" w:rsidRDefault="00A103B7">
          <w:pPr>
            <w:pStyle w:val="En-ttedetabledesmatires"/>
          </w:pPr>
          <w:r>
            <w:t>Table des matières</w:t>
          </w:r>
        </w:p>
        <w:p w14:paraId="43DB8D47" w14:textId="642D5DD2" w:rsidR="005F1B32"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0864812" w:history="1">
            <w:r w:rsidR="005F1B32" w:rsidRPr="00BE1E33">
              <w:rPr>
                <w:rStyle w:val="Lienhypertexte"/>
                <w:noProof/>
              </w:rPr>
              <w:t>Le risque arrêt de travail dans le contexte de l’assurance collective</w:t>
            </w:r>
            <w:r w:rsidR="005F1B32">
              <w:rPr>
                <w:noProof/>
                <w:webHidden/>
              </w:rPr>
              <w:tab/>
            </w:r>
            <w:r w:rsidR="005F1B32">
              <w:rPr>
                <w:noProof/>
                <w:webHidden/>
              </w:rPr>
              <w:fldChar w:fldCharType="begin"/>
            </w:r>
            <w:r w:rsidR="005F1B32">
              <w:rPr>
                <w:noProof/>
                <w:webHidden/>
              </w:rPr>
              <w:instrText xml:space="preserve"> PAGEREF _Toc110864812 \h </w:instrText>
            </w:r>
            <w:r w:rsidR="005F1B32">
              <w:rPr>
                <w:noProof/>
                <w:webHidden/>
              </w:rPr>
            </w:r>
            <w:r w:rsidR="005F1B32">
              <w:rPr>
                <w:noProof/>
                <w:webHidden/>
              </w:rPr>
              <w:fldChar w:fldCharType="separate"/>
            </w:r>
            <w:r w:rsidR="005F1B32">
              <w:rPr>
                <w:noProof/>
                <w:webHidden/>
              </w:rPr>
              <w:t>2</w:t>
            </w:r>
            <w:r w:rsidR="005F1B32">
              <w:rPr>
                <w:noProof/>
                <w:webHidden/>
              </w:rPr>
              <w:fldChar w:fldCharType="end"/>
            </w:r>
          </w:hyperlink>
        </w:p>
        <w:p w14:paraId="58C7A3E6" w14:textId="27F56EDD" w:rsidR="005F1B32" w:rsidRDefault="005F1B32">
          <w:pPr>
            <w:pStyle w:val="TM2"/>
            <w:tabs>
              <w:tab w:val="right" w:leader="dot" w:pos="9062"/>
            </w:tabs>
            <w:rPr>
              <w:rFonts w:asciiTheme="minorHAnsi" w:eastAsiaTheme="minorEastAsia" w:hAnsiTheme="minorHAnsi"/>
              <w:noProof/>
              <w:lang w:eastAsia="fr-FR"/>
            </w:rPr>
          </w:pPr>
          <w:hyperlink w:anchor="_Toc110864813" w:history="1">
            <w:r w:rsidRPr="00BE1E33">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_Toc110864813 \h </w:instrText>
            </w:r>
            <w:r>
              <w:rPr>
                <w:noProof/>
                <w:webHidden/>
              </w:rPr>
            </w:r>
            <w:r>
              <w:rPr>
                <w:noProof/>
                <w:webHidden/>
              </w:rPr>
              <w:fldChar w:fldCharType="separate"/>
            </w:r>
            <w:r>
              <w:rPr>
                <w:noProof/>
                <w:webHidden/>
              </w:rPr>
              <w:t>2</w:t>
            </w:r>
            <w:r>
              <w:rPr>
                <w:noProof/>
                <w:webHidden/>
              </w:rPr>
              <w:fldChar w:fldCharType="end"/>
            </w:r>
          </w:hyperlink>
        </w:p>
        <w:p w14:paraId="7DE796DA" w14:textId="5F2C1B7A" w:rsidR="005F1B32" w:rsidRDefault="005F1B32">
          <w:pPr>
            <w:pStyle w:val="TM3"/>
            <w:tabs>
              <w:tab w:val="right" w:leader="dot" w:pos="9062"/>
            </w:tabs>
            <w:rPr>
              <w:rFonts w:asciiTheme="minorHAnsi" w:eastAsiaTheme="minorEastAsia" w:hAnsiTheme="minorHAnsi"/>
              <w:noProof/>
              <w:lang w:eastAsia="fr-FR"/>
            </w:rPr>
          </w:pPr>
          <w:hyperlink w:anchor="_Toc110864814" w:history="1">
            <w:r w:rsidRPr="00BE1E33">
              <w:rPr>
                <w:rStyle w:val="Lienhypertexte"/>
                <w:noProof/>
              </w:rPr>
              <w:t>Histoire de la protection sociale</w:t>
            </w:r>
            <w:r>
              <w:rPr>
                <w:noProof/>
                <w:webHidden/>
              </w:rPr>
              <w:tab/>
            </w:r>
            <w:r>
              <w:rPr>
                <w:noProof/>
                <w:webHidden/>
              </w:rPr>
              <w:fldChar w:fldCharType="begin"/>
            </w:r>
            <w:r>
              <w:rPr>
                <w:noProof/>
                <w:webHidden/>
              </w:rPr>
              <w:instrText xml:space="preserve"> PAGEREF _Toc110864814 \h </w:instrText>
            </w:r>
            <w:r>
              <w:rPr>
                <w:noProof/>
                <w:webHidden/>
              </w:rPr>
            </w:r>
            <w:r>
              <w:rPr>
                <w:noProof/>
                <w:webHidden/>
              </w:rPr>
              <w:fldChar w:fldCharType="separate"/>
            </w:r>
            <w:r>
              <w:rPr>
                <w:noProof/>
                <w:webHidden/>
              </w:rPr>
              <w:t>2</w:t>
            </w:r>
            <w:r>
              <w:rPr>
                <w:noProof/>
                <w:webHidden/>
              </w:rPr>
              <w:fldChar w:fldCharType="end"/>
            </w:r>
          </w:hyperlink>
        </w:p>
        <w:p w14:paraId="38932367" w14:textId="4809BDDD" w:rsidR="005F1B32" w:rsidRDefault="005F1B32">
          <w:pPr>
            <w:pStyle w:val="TM3"/>
            <w:tabs>
              <w:tab w:val="right" w:leader="dot" w:pos="9062"/>
            </w:tabs>
            <w:rPr>
              <w:rFonts w:asciiTheme="minorHAnsi" w:eastAsiaTheme="minorEastAsia" w:hAnsiTheme="minorHAnsi"/>
              <w:noProof/>
              <w:lang w:eastAsia="fr-FR"/>
            </w:rPr>
          </w:pPr>
          <w:hyperlink w:anchor="_Toc110864815" w:history="1">
            <w:r w:rsidRPr="00BE1E33">
              <w:rPr>
                <w:rStyle w:val="Lienhypertexte"/>
                <w:noProof/>
              </w:rPr>
              <w:t>Organisation fonctionnelle</w:t>
            </w:r>
            <w:r>
              <w:rPr>
                <w:noProof/>
                <w:webHidden/>
              </w:rPr>
              <w:tab/>
            </w:r>
            <w:r>
              <w:rPr>
                <w:noProof/>
                <w:webHidden/>
              </w:rPr>
              <w:fldChar w:fldCharType="begin"/>
            </w:r>
            <w:r>
              <w:rPr>
                <w:noProof/>
                <w:webHidden/>
              </w:rPr>
              <w:instrText xml:space="preserve"> PAGEREF _Toc110864815 \h </w:instrText>
            </w:r>
            <w:r>
              <w:rPr>
                <w:noProof/>
                <w:webHidden/>
              </w:rPr>
            </w:r>
            <w:r>
              <w:rPr>
                <w:noProof/>
                <w:webHidden/>
              </w:rPr>
              <w:fldChar w:fldCharType="separate"/>
            </w:r>
            <w:r>
              <w:rPr>
                <w:noProof/>
                <w:webHidden/>
              </w:rPr>
              <w:t>2</w:t>
            </w:r>
            <w:r>
              <w:rPr>
                <w:noProof/>
                <w:webHidden/>
              </w:rPr>
              <w:fldChar w:fldCharType="end"/>
            </w:r>
          </w:hyperlink>
        </w:p>
        <w:p w14:paraId="7FC20A25" w14:textId="58882440" w:rsidR="005F1B32" w:rsidRDefault="005F1B32">
          <w:pPr>
            <w:pStyle w:val="TM3"/>
            <w:tabs>
              <w:tab w:val="right" w:leader="dot" w:pos="9062"/>
            </w:tabs>
            <w:rPr>
              <w:rFonts w:asciiTheme="minorHAnsi" w:eastAsiaTheme="minorEastAsia" w:hAnsiTheme="minorHAnsi"/>
              <w:noProof/>
              <w:lang w:eastAsia="fr-FR"/>
            </w:rPr>
          </w:pPr>
          <w:hyperlink w:anchor="_Toc110864816" w:history="1">
            <w:r w:rsidRPr="00BE1E33">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_Toc110864816 \h </w:instrText>
            </w:r>
            <w:r>
              <w:rPr>
                <w:noProof/>
                <w:webHidden/>
              </w:rPr>
            </w:r>
            <w:r>
              <w:rPr>
                <w:noProof/>
                <w:webHidden/>
              </w:rPr>
              <w:fldChar w:fldCharType="separate"/>
            </w:r>
            <w:r>
              <w:rPr>
                <w:noProof/>
                <w:webHidden/>
              </w:rPr>
              <w:t>4</w:t>
            </w:r>
            <w:r>
              <w:rPr>
                <w:noProof/>
                <w:webHidden/>
              </w:rPr>
              <w:fldChar w:fldCharType="end"/>
            </w:r>
          </w:hyperlink>
        </w:p>
        <w:p w14:paraId="520C2494" w14:textId="0284F3E9" w:rsidR="005F1B32" w:rsidRDefault="005F1B32">
          <w:pPr>
            <w:pStyle w:val="TM3"/>
            <w:tabs>
              <w:tab w:val="right" w:leader="dot" w:pos="9062"/>
            </w:tabs>
            <w:rPr>
              <w:rFonts w:asciiTheme="minorHAnsi" w:eastAsiaTheme="minorEastAsia" w:hAnsiTheme="minorHAnsi"/>
              <w:noProof/>
              <w:lang w:eastAsia="fr-FR"/>
            </w:rPr>
          </w:pPr>
          <w:hyperlink w:anchor="_Toc110864817" w:history="1">
            <w:r w:rsidRPr="00BE1E33">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_Toc110864817 \h </w:instrText>
            </w:r>
            <w:r>
              <w:rPr>
                <w:noProof/>
                <w:webHidden/>
              </w:rPr>
            </w:r>
            <w:r>
              <w:rPr>
                <w:noProof/>
                <w:webHidden/>
              </w:rPr>
              <w:fldChar w:fldCharType="separate"/>
            </w:r>
            <w:r>
              <w:rPr>
                <w:noProof/>
                <w:webHidden/>
              </w:rPr>
              <w:t>8</w:t>
            </w:r>
            <w:r>
              <w:rPr>
                <w:noProof/>
                <w:webHidden/>
              </w:rPr>
              <w:fldChar w:fldCharType="end"/>
            </w:r>
          </w:hyperlink>
        </w:p>
        <w:p w14:paraId="36E4146A" w14:textId="415724CB" w:rsidR="005F1B32" w:rsidRDefault="005F1B32">
          <w:pPr>
            <w:pStyle w:val="TM2"/>
            <w:tabs>
              <w:tab w:val="right" w:leader="dot" w:pos="9062"/>
            </w:tabs>
            <w:rPr>
              <w:rFonts w:asciiTheme="minorHAnsi" w:eastAsiaTheme="minorEastAsia" w:hAnsiTheme="minorHAnsi"/>
              <w:noProof/>
              <w:lang w:eastAsia="fr-FR"/>
            </w:rPr>
          </w:pPr>
          <w:hyperlink w:anchor="_Toc110864818" w:history="1">
            <w:r w:rsidRPr="00BE1E33">
              <w:rPr>
                <w:rStyle w:val="Lienhypertexte"/>
                <w:noProof/>
              </w:rPr>
              <w:t>Qu’est-ce que la prévoyance collective ?</w:t>
            </w:r>
            <w:r>
              <w:rPr>
                <w:noProof/>
                <w:webHidden/>
              </w:rPr>
              <w:tab/>
            </w:r>
            <w:r>
              <w:rPr>
                <w:noProof/>
                <w:webHidden/>
              </w:rPr>
              <w:fldChar w:fldCharType="begin"/>
            </w:r>
            <w:r>
              <w:rPr>
                <w:noProof/>
                <w:webHidden/>
              </w:rPr>
              <w:instrText xml:space="preserve"> PAGEREF _Toc110864818 \h </w:instrText>
            </w:r>
            <w:r>
              <w:rPr>
                <w:noProof/>
                <w:webHidden/>
              </w:rPr>
            </w:r>
            <w:r>
              <w:rPr>
                <w:noProof/>
                <w:webHidden/>
              </w:rPr>
              <w:fldChar w:fldCharType="separate"/>
            </w:r>
            <w:r>
              <w:rPr>
                <w:noProof/>
                <w:webHidden/>
              </w:rPr>
              <w:t>8</w:t>
            </w:r>
            <w:r>
              <w:rPr>
                <w:noProof/>
                <w:webHidden/>
              </w:rPr>
              <w:fldChar w:fldCharType="end"/>
            </w:r>
          </w:hyperlink>
        </w:p>
        <w:p w14:paraId="66EFE765" w14:textId="5B8997CE" w:rsidR="005F1B32" w:rsidRDefault="005F1B32">
          <w:pPr>
            <w:pStyle w:val="TM2"/>
            <w:tabs>
              <w:tab w:val="right" w:leader="dot" w:pos="9062"/>
            </w:tabs>
            <w:rPr>
              <w:rFonts w:asciiTheme="minorHAnsi" w:eastAsiaTheme="minorEastAsia" w:hAnsiTheme="minorHAnsi"/>
              <w:noProof/>
              <w:lang w:eastAsia="fr-FR"/>
            </w:rPr>
          </w:pPr>
          <w:hyperlink w:anchor="_Toc110864819" w:history="1">
            <w:r w:rsidRPr="00BE1E33">
              <w:rPr>
                <w:rStyle w:val="Lienhypertexte"/>
                <w:noProof/>
              </w:rPr>
              <w:t>Contexte général et définitions autour du risque arrêt de travail.</w:t>
            </w:r>
            <w:r>
              <w:rPr>
                <w:noProof/>
                <w:webHidden/>
              </w:rPr>
              <w:tab/>
            </w:r>
            <w:r>
              <w:rPr>
                <w:noProof/>
                <w:webHidden/>
              </w:rPr>
              <w:fldChar w:fldCharType="begin"/>
            </w:r>
            <w:r>
              <w:rPr>
                <w:noProof/>
                <w:webHidden/>
              </w:rPr>
              <w:instrText xml:space="preserve"> PAGEREF _Toc110864819 \h </w:instrText>
            </w:r>
            <w:r>
              <w:rPr>
                <w:noProof/>
                <w:webHidden/>
              </w:rPr>
            </w:r>
            <w:r>
              <w:rPr>
                <w:noProof/>
                <w:webHidden/>
              </w:rPr>
              <w:fldChar w:fldCharType="separate"/>
            </w:r>
            <w:r>
              <w:rPr>
                <w:noProof/>
                <w:webHidden/>
              </w:rPr>
              <w:t>8</w:t>
            </w:r>
            <w:r>
              <w:rPr>
                <w:noProof/>
                <w:webHidden/>
              </w:rPr>
              <w:fldChar w:fldCharType="end"/>
            </w:r>
          </w:hyperlink>
        </w:p>
        <w:p w14:paraId="1C8CF312" w14:textId="0E4FC872" w:rsidR="005F1B32" w:rsidRDefault="005F1B32">
          <w:pPr>
            <w:pStyle w:val="TM1"/>
            <w:tabs>
              <w:tab w:val="right" w:leader="dot" w:pos="9062"/>
            </w:tabs>
            <w:rPr>
              <w:rFonts w:asciiTheme="minorHAnsi" w:eastAsiaTheme="minorEastAsia" w:hAnsiTheme="minorHAnsi"/>
              <w:noProof/>
              <w:lang w:eastAsia="fr-FR"/>
            </w:rPr>
          </w:pPr>
          <w:hyperlink w:anchor="_Toc110864820" w:history="1">
            <w:r w:rsidRPr="00BE1E33">
              <w:rPr>
                <w:rStyle w:val="Lienhypertexte"/>
                <w:noProof/>
              </w:rPr>
              <w:t>L’absentéisme en entreprise en France</w:t>
            </w:r>
            <w:r>
              <w:rPr>
                <w:noProof/>
                <w:webHidden/>
              </w:rPr>
              <w:tab/>
            </w:r>
            <w:r>
              <w:rPr>
                <w:noProof/>
                <w:webHidden/>
              </w:rPr>
              <w:fldChar w:fldCharType="begin"/>
            </w:r>
            <w:r>
              <w:rPr>
                <w:noProof/>
                <w:webHidden/>
              </w:rPr>
              <w:instrText xml:space="preserve"> PAGEREF _Toc110864820 \h </w:instrText>
            </w:r>
            <w:r>
              <w:rPr>
                <w:noProof/>
                <w:webHidden/>
              </w:rPr>
            </w:r>
            <w:r>
              <w:rPr>
                <w:noProof/>
                <w:webHidden/>
              </w:rPr>
              <w:fldChar w:fldCharType="separate"/>
            </w:r>
            <w:r>
              <w:rPr>
                <w:noProof/>
                <w:webHidden/>
              </w:rPr>
              <w:t>8</w:t>
            </w:r>
            <w:r>
              <w:rPr>
                <w:noProof/>
                <w:webHidden/>
              </w:rPr>
              <w:fldChar w:fldCharType="end"/>
            </w:r>
          </w:hyperlink>
        </w:p>
        <w:p w14:paraId="6655CA29" w14:textId="2D1E55FC" w:rsidR="005F1B32" w:rsidRDefault="005F1B32">
          <w:pPr>
            <w:pStyle w:val="TM2"/>
            <w:tabs>
              <w:tab w:val="right" w:leader="dot" w:pos="9062"/>
            </w:tabs>
            <w:rPr>
              <w:rFonts w:asciiTheme="minorHAnsi" w:eastAsiaTheme="minorEastAsia" w:hAnsiTheme="minorHAnsi"/>
              <w:noProof/>
              <w:lang w:eastAsia="fr-FR"/>
            </w:rPr>
          </w:pPr>
          <w:hyperlink w:anchor="_Toc110864821" w:history="1">
            <w:r w:rsidRPr="00BE1E33">
              <w:rPr>
                <w:rStyle w:val="Lienhypertexte"/>
                <w:noProof/>
              </w:rPr>
              <w:t>Qu’est-ce que l’absentéisme ?</w:t>
            </w:r>
            <w:r>
              <w:rPr>
                <w:noProof/>
                <w:webHidden/>
              </w:rPr>
              <w:tab/>
            </w:r>
            <w:r>
              <w:rPr>
                <w:noProof/>
                <w:webHidden/>
              </w:rPr>
              <w:fldChar w:fldCharType="begin"/>
            </w:r>
            <w:r>
              <w:rPr>
                <w:noProof/>
                <w:webHidden/>
              </w:rPr>
              <w:instrText xml:space="preserve"> PAGEREF _Toc110864821 \h </w:instrText>
            </w:r>
            <w:r>
              <w:rPr>
                <w:noProof/>
                <w:webHidden/>
              </w:rPr>
            </w:r>
            <w:r>
              <w:rPr>
                <w:noProof/>
                <w:webHidden/>
              </w:rPr>
              <w:fldChar w:fldCharType="separate"/>
            </w:r>
            <w:r>
              <w:rPr>
                <w:noProof/>
                <w:webHidden/>
              </w:rPr>
              <w:t>8</w:t>
            </w:r>
            <w:r>
              <w:rPr>
                <w:noProof/>
                <w:webHidden/>
              </w:rPr>
              <w:fldChar w:fldCharType="end"/>
            </w:r>
          </w:hyperlink>
        </w:p>
        <w:p w14:paraId="043971D2" w14:textId="5A41057F" w:rsidR="005F1B32" w:rsidRDefault="005F1B32">
          <w:pPr>
            <w:pStyle w:val="TM2"/>
            <w:tabs>
              <w:tab w:val="right" w:leader="dot" w:pos="9062"/>
            </w:tabs>
            <w:rPr>
              <w:rFonts w:asciiTheme="minorHAnsi" w:eastAsiaTheme="minorEastAsia" w:hAnsiTheme="minorHAnsi"/>
              <w:noProof/>
              <w:lang w:eastAsia="fr-FR"/>
            </w:rPr>
          </w:pPr>
          <w:hyperlink w:anchor="_Toc110864822" w:history="1">
            <w:r w:rsidRPr="00BE1E33">
              <w:rPr>
                <w:rStyle w:val="Lienhypertexte"/>
                <w:noProof/>
              </w:rPr>
              <w:t>Comment mesurer l’absentéisme en entreprise ?</w:t>
            </w:r>
            <w:r>
              <w:rPr>
                <w:noProof/>
                <w:webHidden/>
              </w:rPr>
              <w:tab/>
            </w:r>
            <w:r>
              <w:rPr>
                <w:noProof/>
                <w:webHidden/>
              </w:rPr>
              <w:fldChar w:fldCharType="begin"/>
            </w:r>
            <w:r>
              <w:rPr>
                <w:noProof/>
                <w:webHidden/>
              </w:rPr>
              <w:instrText xml:space="preserve"> PAGEREF _Toc110864822 \h </w:instrText>
            </w:r>
            <w:r>
              <w:rPr>
                <w:noProof/>
                <w:webHidden/>
              </w:rPr>
            </w:r>
            <w:r>
              <w:rPr>
                <w:noProof/>
                <w:webHidden/>
              </w:rPr>
              <w:fldChar w:fldCharType="separate"/>
            </w:r>
            <w:r>
              <w:rPr>
                <w:noProof/>
                <w:webHidden/>
              </w:rPr>
              <w:t>8</w:t>
            </w:r>
            <w:r>
              <w:rPr>
                <w:noProof/>
                <w:webHidden/>
              </w:rPr>
              <w:fldChar w:fldCharType="end"/>
            </w:r>
          </w:hyperlink>
        </w:p>
        <w:p w14:paraId="2AD0407C" w14:textId="116790E3" w:rsidR="005F1B32" w:rsidRDefault="005F1B32">
          <w:pPr>
            <w:pStyle w:val="TM2"/>
            <w:tabs>
              <w:tab w:val="right" w:leader="dot" w:pos="9062"/>
            </w:tabs>
            <w:rPr>
              <w:rFonts w:asciiTheme="minorHAnsi" w:eastAsiaTheme="minorEastAsia" w:hAnsiTheme="minorHAnsi"/>
              <w:noProof/>
              <w:lang w:eastAsia="fr-FR"/>
            </w:rPr>
          </w:pPr>
          <w:hyperlink w:anchor="_Toc110864823" w:history="1">
            <w:r w:rsidRPr="00BE1E33">
              <w:rPr>
                <w:rStyle w:val="Lienhypertexte"/>
                <w:noProof/>
              </w:rPr>
              <w:t>Quel est son coût réel sur les entreprises ?</w:t>
            </w:r>
            <w:r>
              <w:rPr>
                <w:noProof/>
                <w:webHidden/>
              </w:rPr>
              <w:tab/>
            </w:r>
            <w:r>
              <w:rPr>
                <w:noProof/>
                <w:webHidden/>
              </w:rPr>
              <w:fldChar w:fldCharType="begin"/>
            </w:r>
            <w:r>
              <w:rPr>
                <w:noProof/>
                <w:webHidden/>
              </w:rPr>
              <w:instrText xml:space="preserve"> PAGEREF _Toc110864823 \h </w:instrText>
            </w:r>
            <w:r>
              <w:rPr>
                <w:noProof/>
                <w:webHidden/>
              </w:rPr>
            </w:r>
            <w:r>
              <w:rPr>
                <w:noProof/>
                <w:webHidden/>
              </w:rPr>
              <w:fldChar w:fldCharType="separate"/>
            </w:r>
            <w:r>
              <w:rPr>
                <w:noProof/>
                <w:webHidden/>
              </w:rPr>
              <w:t>8</w:t>
            </w:r>
            <w:r>
              <w:rPr>
                <w:noProof/>
                <w:webHidden/>
              </w:rPr>
              <w:fldChar w:fldCharType="end"/>
            </w:r>
          </w:hyperlink>
        </w:p>
        <w:p w14:paraId="6169CD4F" w14:textId="260FB691" w:rsidR="00A103B7" w:rsidRDefault="00A103B7">
          <w:r>
            <w:rPr>
              <w:b/>
              <w:bCs/>
            </w:rPr>
            <w:fldChar w:fldCharType="end"/>
          </w:r>
        </w:p>
      </w:sdtContent>
    </w:sdt>
    <w:p w14:paraId="16DA07E4" w14:textId="79020D5B" w:rsidR="00A103B7" w:rsidRDefault="00A103B7">
      <w:r>
        <w:br w:type="page"/>
      </w:r>
    </w:p>
    <w:p w14:paraId="1EA448A1" w14:textId="23C2B0D1" w:rsidR="00A103B7" w:rsidRPr="00A103B7" w:rsidRDefault="00A103B7" w:rsidP="005F1B32">
      <w:pPr>
        <w:pStyle w:val="Titre1"/>
      </w:pPr>
      <w:bookmarkStart w:id="0" w:name="_Toc110864812"/>
      <w:r w:rsidRPr="009212F2">
        <w:lastRenderedPageBreak/>
        <w:t>Le risque arrêt de travail dans le contexte de l’assurance collective</w:t>
      </w:r>
      <w:bookmarkEnd w:id="0"/>
    </w:p>
    <w:p w14:paraId="6584A4A4" w14:textId="684B171D" w:rsidR="00A103B7" w:rsidRDefault="00A103B7" w:rsidP="005F1B32">
      <w:pPr>
        <w:pStyle w:val="Titre2"/>
      </w:pPr>
      <w:bookmarkStart w:id="1" w:name="_Toc110864813"/>
      <w:r>
        <w:t>Présentation de la protection sociale en France : régime de base et régime complémentaire.</w:t>
      </w:r>
      <w:bookmarkEnd w:id="1"/>
    </w:p>
    <w:p w14:paraId="670D4801" w14:textId="1A5444FB" w:rsidR="009212F2" w:rsidRDefault="00661A1B">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661A1B">
      <w:pPr>
        <w:pStyle w:val="Paragraphedeliste"/>
        <w:numPr>
          <w:ilvl w:val="0"/>
          <w:numId w:val="3"/>
        </w:numPr>
      </w:pPr>
      <w:r>
        <w:t xml:space="preserve">Santé : actes courants, hospitalisation, optique et dentaire : remboursement des frais médicaux  </w:t>
      </w:r>
    </w:p>
    <w:p w14:paraId="2F159EC9" w14:textId="77777777" w:rsidR="00661A1B" w:rsidRDefault="00661A1B" w:rsidP="00661A1B">
      <w:pPr>
        <w:pStyle w:val="Paragraphedeliste"/>
        <w:numPr>
          <w:ilvl w:val="0"/>
          <w:numId w:val="3"/>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661A1B">
      <w:pPr>
        <w:pStyle w:val="Paragraphedeliste"/>
        <w:numPr>
          <w:ilvl w:val="0"/>
          <w:numId w:val="3"/>
        </w:numPr>
      </w:pPr>
      <w:r>
        <w:t xml:space="preserve">Décès : versement d’un capital ou d’une rente aux ayants droits </w:t>
      </w:r>
    </w:p>
    <w:p w14:paraId="2DB8AB93" w14:textId="77777777" w:rsidR="00661A1B" w:rsidRDefault="00661A1B" w:rsidP="00661A1B">
      <w:pPr>
        <w:pStyle w:val="Paragraphedeliste"/>
        <w:numPr>
          <w:ilvl w:val="0"/>
          <w:numId w:val="3"/>
        </w:numPr>
      </w:pPr>
      <w:r>
        <w:t xml:space="preserve">Retraite : constitution d’un capital ou d’une rente </w:t>
      </w:r>
    </w:p>
    <w:p w14:paraId="52BBAACA" w14:textId="77777777" w:rsidR="00661A1B" w:rsidRDefault="00661A1B" w:rsidP="00661A1B">
      <w:pPr>
        <w:pStyle w:val="Paragraphedeliste"/>
        <w:numPr>
          <w:ilvl w:val="0"/>
          <w:numId w:val="3"/>
        </w:numPr>
      </w:pPr>
      <w:r>
        <w:t xml:space="preserve">Dépendance : versement d’un capital ou d’une rente </w:t>
      </w:r>
    </w:p>
    <w:p w14:paraId="5A20FBA5" w14:textId="45E11E10" w:rsidR="00B320F2" w:rsidRDefault="00661A1B" w:rsidP="00B320F2">
      <w:pPr>
        <w:pStyle w:val="Paragraphedeliste"/>
        <w:numPr>
          <w:ilvl w:val="0"/>
          <w:numId w:val="3"/>
        </w:numPr>
      </w:pPr>
      <w:r>
        <w:t>Chômage : versement d’indemnités de chômage</w:t>
      </w:r>
    </w:p>
    <w:p w14:paraId="1AE4DBAE" w14:textId="56A922CD" w:rsidR="009212F2" w:rsidRDefault="009212F2" w:rsidP="005F1B32">
      <w:pPr>
        <w:pStyle w:val="Titre3"/>
      </w:pPr>
      <w:bookmarkStart w:id="2" w:name="_Toc110864814"/>
      <w:r w:rsidRPr="009212F2">
        <w:t>Histoire de la protection sociale</w:t>
      </w:r>
      <w:bookmarkEnd w:id="2"/>
    </w:p>
    <w:p w14:paraId="6EBA5A1C" w14:textId="2489A6CC" w:rsidR="00B320F2" w:rsidRDefault="00850EFE" w:rsidP="009212F2">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850EFE">
      <w:pPr>
        <w:pStyle w:val="Paragraphedeliste"/>
        <w:numPr>
          <w:ilvl w:val="0"/>
          <w:numId w:val="4"/>
        </w:numPr>
      </w:pPr>
      <w:r>
        <w:t>Unité de la Sécurité Sociale</w:t>
      </w:r>
    </w:p>
    <w:p w14:paraId="59C6F4AE" w14:textId="28D4C694" w:rsidR="00850EFE" w:rsidRDefault="00850EFE" w:rsidP="00850EFE">
      <w:pPr>
        <w:pStyle w:val="Paragraphedeliste"/>
        <w:numPr>
          <w:ilvl w:val="0"/>
          <w:numId w:val="4"/>
        </w:numPr>
      </w:pPr>
      <w:r>
        <w:t>Généralisation quant aux personnes</w:t>
      </w:r>
    </w:p>
    <w:p w14:paraId="05D2E161" w14:textId="73D31645" w:rsidR="00850EFE" w:rsidRDefault="00850EFE" w:rsidP="00850EFE">
      <w:pPr>
        <w:pStyle w:val="Paragraphedeliste"/>
        <w:numPr>
          <w:ilvl w:val="0"/>
          <w:numId w:val="4"/>
        </w:numPr>
      </w:pPr>
      <w:r>
        <w:t>Extension des risques couverts</w:t>
      </w:r>
    </w:p>
    <w:p w14:paraId="040A41CB" w14:textId="7CDF973A" w:rsidR="00850EFE" w:rsidRDefault="00850EFE" w:rsidP="00850EFE">
      <w:r>
        <w:t>L’ordonnance du 4 octobre 1945 prévoit un système coordonné de caisses se s</w:t>
      </w:r>
      <w:r w:rsidR="00823F3F">
        <w:t>ubstituant à de multiples organismes existants. Les salariés des régimes spéciaux comme les fonctionnaires, les marins, les cheminots, etc vont refuser de s’intégrer dans le nouveau régime général et conserver dans un cadre « transitoire » qui dure encore, leurs régimes spécifiques.</w:t>
      </w:r>
    </w:p>
    <w:p w14:paraId="28B98D06" w14:textId="45367DC2" w:rsidR="00823F3F" w:rsidRPr="005303CD" w:rsidRDefault="00823F3F" w:rsidP="005303CD">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B3A0A">
      <w:r>
        <w:t>Les trois grands régimes introduits par les ordonnances des 4 et 19 octobre 1945 sont les suivants :</w:t>
      </w:r>
    </w:p>
    <w:p w14:paraId="68012620" w14:textId="4A96B724" w:rsidR="00775045" w:rsidRDefault="00775045" w:rsidP="00775045">
      <w:pPr>
        <w:pStyle w:val="Paragraphedeliste"/>
        <w:numPr>
          <w:ilvl w:val="0"/>
          <w:numId w:val="5"/>
        </w:numPr>
      </w:pPr>
      <w:r>
        <w:t>Régime général : salariés et travailleurs assimilés à des salariés soit environ 80 % de la population.</w:t>
      </w:r>
    </w:p>
    <w:p w14:paraId="12FCC3D0" w14:textId="74678CDE" w:rsidR="00775045" w:rsidRDefault="00775045" w:rsidP="00775045">
      <w:pPr>
        <w:pStyle w:val="Paragraphedeliste"/>
        <w:numPr>
          <w:ilvl w:val="0"/>
          <w:numId w:val="5"/>
        </w:numPr>
      </w:pPr>
      <w:r>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775045">
      <w:pPr>
        <w:pStyle w:val="Paragraphedeliste"/>
        <w:numPr>
          <w:ilvl w:val="0"/>
          <w:numId w:val="5"/>
        </w:numPr>
      </w:pPr>
      <w:r>
        <w:t>Régime agricole : exploitants et salariés agricoles, ainsi que certains secteurs rattachés à l’agriculture (ex l’industrie agro alimentaire). Il est géré par la caisse centrale de la Mutualité Sociale Agricole, MSA.</w:t>
      </w:r>
    </w:p>
    <w:p w14:paraId="0C47EF5F" w14:textId="6D61A94F" w:rsidR="00C21A8E" w:rsidRDefault="00775045" w:rsidP="00C21A8E">
      <w:r>
        <w:t>La protection sociale était à l'origine financée exclusivement par des cotisations. Le financement s'est diversifié dans les années 1990 avec la CSG et d'autres impôts.</w:t>
      </w:r>
    </w:p>
    <w:p w14:paraId="284868E7" w14:textId="0B9850D5" w:rsidR="00FE2857" w:rsidRDefault="00C21A8E" w:rsidP="005F1B32">
      <w:pPr>
        <w:pStyle w:val="Titre3"/>
      </w:pPr>
      <w:bookmarkStart w:id="3" w:name="_Toc110864815"/>
      <w:r>
        <w:t>Organisation fonctionnelle</w:t>
      </w:r>
      <w:bookmarkEnd w:id="3"/>
    </w:p>
    <w:p w14:paraId="171B5F0B" w14:textId="62D53468" w:rsidR="00C21A8E" w:rsidRDefault="00C21A8E" w:rsidP="005E1C3A">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C21A8E">
      <w:pPr>
        <w:pStyle w:val="Paragraphedeliste"/>
        <w:numPr>
          <w:ilvl w:val="0"/>
          <w:numId w:val="6"/>
        </w:numPr>
      </w:pPr>
      <w:r>
        <w:lastRenderedPageBreak/>
        <w:t>Branche Maladie</w:t>
      </w:r>
      <w:r w:rsidR="004167E1">
        <w:t xml:space="preserve"> : </w:t>
      </w:r>
      <w:r>
        <w:t xml:space="preserve">maladie, maternité, paternité, invalidité, décès </w:t>
      </w:r>
    </w:p>
    <w:p w14:paraId="7C16B146" w14:textId="4863A50E" w:rsidR="00C21A8E" w:rsidRDefault="00C21A8E" w:rsidP="00C21A8E">
      <w:pPr>
        <w:pStyle w:val="Paragraphedeliste"/>
        <w:numPr>
          <w:ilvl w:val="0"/>
          <w:numId w:val="6"/>
        </w:numPr>
      </w:pPr>
      <w:r>
        <w:t xml:space="preserve">Branche Accidents du travail et Maladies professionnelles </w:t>
      </w:r>
    </w:p>
    <w:p w14:paraId="4EB8CAFC" w14:textId="5FCB6D84" w:rsidR="00C21A8E" w:rsidRDefault="00C21A8E" w:rsidP="00C21A8E">
      <w:pPr>
        <w:pStyle w:val="Paragraphedeliste"/>
        <w:numPr>
          <w:ilvl w:val="0"/>
          <w:numId w:val="6"/>
        </w:numPr>
      </w:pPr>
      <w:r>
        <w:t>Branche Vieillesse et veuvage</w:t>
      </w:r>
    </w:p>
    <w:p w14:paraId="210B14F4" w14:textId="7FAE8401" w:rsidR="00FE2857" w:rsidRDefault="00C21A8E" w:rsidP="00FE2857">
      <w:pPr>
        <w:pStyle w:val="Paragraphedeliste"/>
        <w:numPr>
          <w:ilvl w:val="0"/>
          <w:numId w:val="6"/>
        </w:numPr>
      </w:pPr>
      <w:r>
        <w:t>Branche Famille</w:t>
      </w:r>
      <w:r w:rsidR="004167E1">
        <w:t> :</w:t>
      </w:r>
      <w:r>
        <w:t xml:space="preserve"> handicap, logement, RSA</w:t>
      </w:r>
      <w:r w:rsidR="004167E1">
        <w:t xml:space="preserve"> </w:t>
      </w:r>
      <w:r>
        <w:t>...</w:t>
      </w:r>
    </w:p>
    <w:p w14:paraId="7ED45F50" w14:textId="77777777" w:rsidR="00FE2857" w:rsidRDefault="00FE2857" w:rsidP="00FE2857"/>
    <w:p w14:paraId="0A3CE01D" w14:textId="77777777" w:rsidR="004167E1" w:rsidRDefault="004167E1">
      <w:pPr>
        <w:rPr>
          <w:rFonts w:eastAsiaTheme="majorEastAsia" w:cstheme="majorBidi"/>
          <w:color w:val="00B0F0"/>
          <w:sz w:val="24"/>
          <w:szCs w:val="24"/>
        </w:rPr>
      </w:pPr>
      <w:r>
        <w:br w:type="page"/>
      </w:r>
    </w:p>
    <w:p w14:paraId="0687836B" w14:textId="054A39CE" w:rsidR="00FE2857" w:rsidRDefault="000273B5" w:rsidP="005F1B32">
      <w:pPr>
        <w:pStyle w:val="Titre3"/>
      </w:pPr>
      <w:bookmarkStart w:id="4" w:name="_Toc110864816"/>
      <w:r>
        <w:lastRenderedPageBreak/>
        <w:t>Détails de l’offre proposée par le régime de base</w:t>
      </w:r>
      <w:bookmarkEnd w:id="4"/>
    </w:p>
    <w:p w14:paraId="2B295F94" w14:textId="2C7450BD" w:rsidR="00D917AA" w:rsidRPr="00D917AA" w:rsidRDefault="00D917AA" w:rsidP="005F1B32">
      <w:pPr>
        <w:pStyle w:val="Titre4"/>
      </w:pPr>
      <w:r>
        <w:t>L’assurance Maladie :</w:t>
      </w:r>
    </w:p>
    <w:p w14:paraId="76ECCF8E" w14:textId="3037C2D0" w:rsidR="001B7625" w:rsidRDefault="004167E1" w:rsidP="00FE2857">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FE2857">
      <w:r>
        <w:t>L’assurance maladie est définie dans le cadre de l’a</w:t>
      </w:r>
      <w:r w:rsidRPr="00A529CB">
        <w:t>rticle L321-1 du CSS :</w:t>
      </w:r>
    </w:p>
    <w:p w14:paraId="2EB5393E" w14:textId="6F9B1B54" w:rsidR="00A529CB" w:rsidRDefault="001B7625" w:rsidP="00A529CB">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
        <w:t>Des conditions d’ouverture des droits s’appliquent en fonction de la durée de l’arrêt de travail et de la situation de l’assuré :</w:t>
      </w:r>
    </w:p>
    <w:p w14:paraId="294E28C2" w14:textId="080E60BC" w:rsidR="00025912" w:rsidRDefault="00025912" w:rsidP="00025912">
      <w:pPr>
        <w:pStyle w:val="Paragraphedeliste"/>
        <w:numPr>
          <w:ilvl w:val="0"/>
          <w:numId w:val="8"/>
        </w:numPr>
      </w:pPr>
      <w:r>
        <w:t>Si l’arrêt de travail est inférieur à 6 mois :</w:t>
      </w:r>
    </w:p>
    <w:p w14:paraId="226EBC5A" w14:textId="76F5A906" w:rsidR="00025912" w:rsidRDefault="00025912" w:rsidP="005F1B32">
      <w:pPr>
        <w:pStyle w:val="Paragraphedeliste"/>
        <w:numPr>
          <w:ilvl w:val="1"/>
          <w:numId w:val="8"/>
        </w:numPr>
        <w:ind w:left="1210"/>
      </w:pPr>
      <w:r>
        <w:t>Avoir travaillé au moins 150 heures au cours des trois mois précédant l'arrêt de travail</w:t>
      </w:r>
    </w:p>
    <w:p w14:paraId="49624F94" w14:textId="192F83CF" w:rsidR="00025912" w:rsidRDefault="00025912" w:rsidP="005F1B32">
      <w:pPr>
        <w:pStyle w:val="Paragraphedeliste"/>
        <w:numPr>
          <w:ilvl w:val="1"/>
          <w:numId w:val="8"/>
        </w:numPr>
        <w:ind w:left="1210"/>
      </w:pPr>
      <w:r>
        <w:t>Ou avoir cotisé sur un salaire au moins égal à 1 015 fois le montant du SMIC horaire au cours des six mois précédant l'arrêt</w:t>
      </w:r>
    </w:p>
    <w:p w14:paraId="4593C7E1" w14:textId="784FEFFE" w:rsidR="00025912" w:rsidRDefault="00025912" w:rsidP="00025912">
      <w:pPr>
        <w:pStyle w:val="Paragraphedeliste"/>
        <w:numPr>
          <w:ilvl w:val="0"/>
          <w:numId w:val="8"/>
        </w:numPr>
      </w:pPr>
      <w:r>
        <w:t>Si l’arrêt de travail est supérieur à 6 mois :</w:t>
      </w:r>
    </w:p>
    <w:p w14:paraId="2DB6EB45" w14:textId="17B9D39B" w:rsidR="00025912" w:rsidRDefault="00025912" w:rsidP="005F1B32">
      <w:pPr>
        <w:pStyle w:val="Paragraphedeliste"/>
        <w:numPr>
          <w:ilvl w:val="1"/>
          <w:numId w:val="8"/>
        </w:numPr>
        <w:ind w:left="1210"/>
      </w:pPr>
      <w:r>
        <w:t>Justifier à la date de l’arrêt, de douze mois d'immatriculation en tant qu'assuré social auprès de l'Assurance Maladie</w:t>
      </w:r>
    </w:p>
    <w:p w14:paraId="4CE1CE7C" w14:textId="4EF79CA7" w:rsidR="00025912" w:rsidRDefault="00025912" w:rsidP="005F1B32">
      <w:pPr>
        <w:pStyle w:val="Paragraphedeliste"/>
        <w:numPr>
          <w:ilvl w:val="1"/>
          <w:numId w:val="8"/>
        </w:numPr>
        <w:ind w:left="1210"/>
      </w:pPr>
      <w:r>
        <w:t>Avoir travaillé au moins 600 heures au cours des douze derniers mois</w:t>
      </w:r>
    </w:p>
    <w:p w14:paraId="0C41871E" w14:textId="6D1980EF" w:rsidR="00025912" w:rsidRDefault="00025912" w:rsidP="005F1B32">
      <w:pPr>
        <w:pStyle w:val="Paragraphedeliste"/>
        <w:numPr>
          <w:ilvl w:val="1"/>
          <w:numId w:val="8"/>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025912">
      <w:pPr>
        <w:rPr>
          <w:u w:val="single"/>
        </w:rPr>
      </w:pPr>
      <w:r>
        <w:rPr>
          <w:u w:val="single"/>
        </w:rPr>
        <w:t>Les</w:t>
      </w:r>
      <w:r w:rsidRPr="00B610EB">
        <w:rPr>
          <w:u w:val="single"/>
        </w:rPr>
        <w:t xml:space="preserve"> indemnités journalières ;</w:t>
      </w:r>
    </w:p>
    <w:p w14:paraId="60765DF6" w14:textId="78599248" w:rsidR="00B610EB" w:rsidRDefault="00B610EB" w:rsidP="005F1B32">
      <w:pPr>
        <w:pStyle w:val="Paragraphedeliste"/>
        <w:numPr>
          <w:ilvl w:val="0"/>
          <w:numId w:val="9"/>
        </w:numPr>
        <w:ind w:left="1210"/>
      </w:pPr>
      <w:r>
        <w:t>Durée de service des indemnités journalières :</w:t>
      </w:r>
    </w:p>
    <w:p w14:paraId="0A953C44" w14:textId="0492702D" w:rsidR="00B610EB" w:rsidRDefault="00B610EB" w:rsidP="00025912">
      <w:r>
        <w:t>L’indemnité journalière est accordée à partir d’un délai de carence de 3 jours (1 jour pour les fonctionnaires), ce délai de carence ne s’applique pas dans les cas suivants :</w:t>
      </w:r>
    </w:p>
    <w:p w14:paraId="775D972A" w14:textId="4639A5A2" w:rsidR="00B610EB" w:rsidRDefault="00B610EB" w:rsidP="00B610EB">
      <w:pPr>
        <w:pStyle w:val="Paragraphedeliste"/>
        <w:numPr>
          <w:ilvl w:val="0"/>
          <w:numId w:val="10"/>
        </w:numPr>
      </w:pPr>
      <w:r>
        <w:t xml:space="preserve">En cas de reprise d’activité entre deux prescriptions d’arrêt de travail qui ne dépasse pas 48 heures </w:t>
      </w:r>
    </w:p>
    <w:p w14:paraId="07F27DEF" w14:textId="09856DB6" w:rsidR="00B610EB" w:rsidRDefault="00B610EB" w:rsidP="00B610EB">
      <w:pPr>
        <w:pStyle w:val="Paragraphedeliste"/>
        <w:numPr>
          <w:ilvl w:val="0"/>
          <w:numId w:val="10"/>
        </w:numPr>
      </w:pPr>
      <w:r>
        <w:t>L’assuré est en affection de longue durée et les arrêts sont en rapport à cette maladie alors le délai de carence ne s’applique que pour le premier arrêt.</w:t>
      </w:r>
    </w:p>
    <w:p w14:paraId="661E9F89" w14:textId="72EDF8C8" w:rsidR="00B610EB" w:rsidRPr="00B610EB" w:rsidRDefault="00B610EB" w:rsidP="00025912">
      <w:r>
        <w:t>L’indemnité journalière est due au titre de chaque jour, ouvrable ou non.</w:t>
      </w:r>
    </w:p>
    <w:p w14:paraId="4990150B" w14:textId="77777777" w:rsidR="009410B2" w:rsidRDefault="00B610EB">
      <w:r>
        <w:t>Les causes de sorties de l’état d’incapacité sont : le rétablissement, le passage en invalidité et le décès.</w:t>
      </w:r>
    </w:p>
    <w:p w14:paraId="695A8A9B" w14:textId="097C52F2" w:rsidR="009410B2" w:rsidRDefault="009410B2" w:rsidP="005F1B32">
      <w:pPr>
        <w:pStyle w:val="Paragraphedeliste"/>
        <w:numPr>
          <w:ilvl w:val="0"/>
          <w:numId w:val="9"/>
        </w:numPr>
        <w:ind w:left="1210"/>
      </w:pPr>
      <w:r>
        <w:t>Montant de l’indemnité journalière :</w:t>
      </w:r>
    </w:p>
    <w:p w14:paraId="20A4D62C" w14:textId="77777777" w:rsidR="009410B2" w:rsidRDefault="009410B2" w:rsidP="009410B2">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9410B2">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242245">
      <m:oMath>
        <m:r>
          <w:rPr>
            <w:rFonts w:ascii="Cambria Math" w:hAnsi="Cambria Math"/>
          </w:rPr>
          <w:lastRenderedPageBreak/>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;1,8*SMIC)</m:t>
        </m:r>
        <m:r>
          <w:rPr>
            <w:rFonts w:ascii="Cambria Math" w:hAnsi="Cambria Math"/>
          </w:rPr>
          <m:t xml:space="preserve"> </m:t>
        </m:r>
      </m:oMath>
      <w:r>
        <w:t xml:space="preserve">        </w:t>
      </w:r>
      <w:r w:rsidRPr="00242245">
        <w:rPr>
          <w:sz w:val="16"/>
          <w:szCs w:val="16"/>
        </w:rPr>
        <w:t>(Décret n° 2010-1305 -29/10/10)</w:t>
      </w:r>
    </w:p>
    <w:p w14:paraId="31EBA8D7" w14:textId="276883F5" w:rsidR="00EB7709" w:rsidRDefault="007E5C00" w:rsidP="00242245">
      <w:r>
        <w:t>L’indemnité peut notamment être</w:t>
      </w:r>
      <w:r w:rsidR="00D917AA">
        <w:t xml:space="preserve"> revalorisée en cas d’augmentation générale des salaires de l’entreprise durant l’arrêt.</w:t>
      </w:r>
    </w:p>
    <w:p w14:paraId="409929DC" w14:textId="3C731E91" w:rsidR="00D917AA" w:rsidRPr="00D917AA" w:rsidRDefault="00D917AA" w:rsidP="005F1B32">
      <w:pPr>
        <w:pStyle w:val="Titre4"/>
      </w:pPr>
      <w:r>
        <w:t>L’assurance Maternité</w:t>
      </w:r>
      <w:r w:rsidR="00ED15F7">
        <w:t xml:space="preserve"> et congé Paternité</w:t>
      </w:r>
    </w:p>
    <w:p w14:paraId="464D5C8A" w14:textId="351F1445" w:rsidR="00D917AA" w:rsidRPr="00025912" w:rsidRDefault="00D917AA" w:rsidP="00D917AA">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242245">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D917AA">
      <w:pPr>
        <w:pStyle w:val="Paragraphedeliste"/>
        <w:numPr>
          <w:ilvl w:val="0"/>
          <w:numId w:val="15"/>
        </w:numPr>
      </w:pPr>
      <w:r>
        <w:t>Pour l’assurance maternité :</w:t>
      </w:r>
    </w:p>
    <w:p w14:paraId="1C9D8649" w14:textId="16D373DC" w:rsidR="00ED15F7" w:rsidRDefault="00EB7709" w:rsidP="005F1B32">
      <w:pPr>
        <w:pStyle w:val="Paragraphedeliste"/>
        <w:numPr>
          <w:ilvl w:val="1"/>
          <w:numId w:val="15"/>
        </w:numPr>
        <w:ind w:left="1210"/>
      </w:pPr>
      <w:r>
        <w:t>Être</w:t>
      </w:r>
      <w:r w:rsidR="00D917AA">
        <w:t xml:space="preserve"> immatriculée en tant qu'assurée sociale depuis au moins 10 mois, à la date prévue de l’accouchement </w:t>
      </w:r>
    </w:p>
    <w:p w14:paraId="726219D8" w14:textId="77777777" w:rsidR="00EB7709" w:rsidRDefault="00D917AA" w:rsidP="005F1B32">
      <w:pPr>
        <w:pStyle w:val="Paragraphedeliste"/>
        <w:numPr>
          <w:ilvl w:val="1"/>
          <w:numId w:val="15"/>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5F1B32">
      <w:pPr>
        <w:pStyle w:val="Paragraphedeliste"/>
        <w:numPr>
          <w:ilvl w:val="1"/>
          <w:numId w:val="15"/>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ED15F7">
      <w:pPr>
        <w:pStyle w:val="Paragraphedeliste"/>
        <w:numPr>
          <w:ilvl w:val="0"/>
          <w:numId w:val="15"/>
        </w:numPr>
      </w:pPr>
      <w:r>
        <w:t>Pour le congé paternité :</w:t>
      </w:r>
    </w:p>
    <w:p w14:paraId="4F88341A" w14:textId="7D8256E1" w:rsidR="00ED15F7" w:rsidRDefault="00ED15F7" w:rsidP="005F1B32">
      <w:pPr>
        <w:pStyle w:val="Paragraphedeliste"/>
        <w:numPr>
          <w:ilvl w:val="1"/>
          <w:numId w:val="15"/>
        </w:numPr>
        <w:ind w:left="1210"/>
      </w:pPr>
      <w:r>
        <w:t>Justifier d'au moins 10 mois d'immatriculation en tant qu'assuré social à la date de début du congé</w:t>
      </w:r>
    </w:p>
    <w:p w14:paraId="1F14F42F" w14:textId="3D2E8362" w:rsidR="00D917AA" w:rsidRDefault="00ED15F7" w:rsidP="005F1B32">
      <w:pPr>
        <w:pStyle w:val="Paragraphedeliste"/>
        <w:numPr>
          <w:ilvl w:val="1"/>
          <w:numId w:val="15"/>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ED15F7">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5F1B32">
      <w:pPr>
        <w:pStyle w:val="Paragraphedeliste"/>
        <w:numPr>
          <w:ilvl w:val="0"/>
          <w:numId w:val="9"/>
        </w:numPr>
        <w:ind w:left="1210"/>
      </w:pPr>
      <w:r>
        <w:t>Durée de service des indemnités journalières :</w:t>
      </w:r>
    </w:p>
    <w:p w14:paraId="2B737843" w14:textId="77777777" w:rsidR="00913A68" w:rsidRDefault="00ED15F7" w:rsidP="00242245">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913A68">
      <w:pPr>
        <w:pStyle w:val="Paragraphedeliste"/>
        <w:numPr>
          <w:ilvl w:val="0"/>
          <w:numId w:val="16"/>
        </w:numPr>
      </w:pPr>
      <w:r>
        <w:t xml:space="preserve">Congé Maternité : </w:t>
      </w:r>
      <w:r w:rsidR="00ED15F7">
        <w:t>16 semaines (peut être plus longue selon le nombre d’enfants de l’assuré et le nombre d’enfants attendus)</w:t>
      </w:r>
    </w:p>
    <w:p w14:paraId="0AFBE980" w14:textId="244BD7DE" w:rsidR="00913A68" w:rsidRDefault="00913A68" w:rsidP="00913A68">
      <w:pPr>
        <w:pStyle w:val="Paragraphedeliste"/>
        <w:numPr>
          <w:ilvl w:val="0"/>
          <w:numId w:val="16"/>
        </w:numPr>
      </w:pPr>
      <w:r>
        <w:t>Congé Paternité : 11 jours consécutifs maximum, 18 en cas de naissance multiple, ce congé est à prendre par le père dans les 4 mois suivants la naissance</w:t>
      </w:r>
    </w:p>
    <w:p w14:paraId="396A6448" w14:textId="7B91F443" w:rsidR="00913A68" w:rsidRDefault="00ED15F7" w:rsidP="00242245">
      <w:r>
        <w:t>Il n’y a aucun délai de carence.</w:t>
      </w:r>
    </w:p>
    <w:p w14:paraId="5A4BCA22" w14:textId="7482A02D" w:rsidR="00913A68" w:rsidRDefault="00913A68" w:rsidP="005F1B32">
      <w:pPr>
        <w:pStyle w:val="Paragraphedeliste"/>
        <w:numPr>
          <w:ilvl w:val="0"/>
          <w:numId w:val="9"/>
        </w:numPr>
        <w:ind w:left="1210"/>
      </w:pPr>
      <w:r>
        <w:t>Montant de l’indemnité journalière :</w:t>
      </w:r>
    </w:p>
    <w:p w14:paraId="5247C9B8" w14:textId="77777777" w:rsidR="00F16702" w:rsidRDefault="00F16702" w:rsidP="00F16702">
      <w:pPr>
        <w:pStyle w:val="Paragraphedeliste"/>
        <w:ind w:left="1423"/>
      </w:pPr>
    </w:p>
    <w:p w14:paraId="743B72D3" w14:textId="184AEA8B" w:rsidR="00913A68" w:rsidRDefault="00913A68" w:rsidP="00913A68">
      <w:pPr>
        <w:pStyle w:val="Paragraphedeliste"/>
        <w:numPr>
          <w:ilvl w:val="0"/>
          <w:numId w:val="17"/>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5F1B32">
      <w:pPr>
        <w:pStyle w:val="Paragraphedeliste"/>
        <w:numPr>
          <w:ilvl w:val="0"/>
          <w:numId w:val="17"/>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5F1B32">
      <w:pPr>
        <w:pStyle w:val="Titre4"/>
      </w:pPr>
      <w:r>
        <w:t>L’assurance Invalidité</w:t>
      </w:r>
    </w:p>
    <w:p w14:paraId="21DF6507" w14:textId="6B365D9E" w:rsidR="00A529CB" w:rsidRPr="004167E1" w:rsidRDefault="00A529CB" w:rsidP="00A529CB">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
        <w:lastRenderedPageBreak/>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
        <w:t xml:space="preserve">Article R341-2 du CSS : « Pour l'application des dispositions de l'article L. 341-1 : </w:t>
      </w:r>
    </w:p>
    <w:p w14:paraId="69C701D0" w14:textId="2FC88F9E" w:rsidR="003E0C37" w:rsidRDefault="003E0C37" w:rsidP="003E0C37">
      <w:pPr>
        <w:pStyle w:val="Paragraphedeliste"/>
        <w:numPr>
          <w:ilvl w:val="0"/>
          <w:numId w:val="18"/>
        </w:numPr>
      </w:pPr>
      <w:r>
        <w:t xml:space="preserve">L’invalidité que présente l'assuré doit réduire au moins des 2/3 sa capacité de travail ou de gain  </w:t>
      </w:r>
    </w:p>
    <w:p w14:paraId="7F8495D9" w14:textId="28344192" w:rsidR="00A529CB" w:rsidRDefault="003E0C37" w:rsidP="003E0C37">
      <w:pPr>
        <w:pStyle w:val="Paragraphedeliste"/>
        <w:numPr>
          <w:ilvl w:val="0"/>
          <w:numId w:val="18"/>
        </w:numPr>
      </w:pPr>
      <w:r>
        <w:t>Le salaire de référence ne doit pas être supérieur au tiers de la rémunération normale mentionnée audit article. »</w:t>
      </w:r>
    </w:p>
    <w:p w14:paraId="3CDCEE25" w14:textId="77777777" w:rsidR="003E0C37" w:rsidRDefault="003E0C37" w:rsidP="00242245">
      <w:r>
        <w:t xml:space="preserve">Article L341-4 du CSS : « En vue de la détermination du montant de la pension, les invalides sont classés comme suit : </w:t>
      </w:r>
    </w:p>
    <w:p w14:paraId="04C9C288" w14:textId="77777777" w:rsidR="003E0C37" w:rsidRDefault="003E0C37" w:rsidP="003E0C37">
      <w:pPr>
        <w:pStyle w:val="Paragraphedeliste"/>
        <w:numPr>
          <w:ilvl w:val="0"/>
          <w:numId w:val="19"/>
        </w:numPr>
      </w:pPr>
      <w:r>
        <w:t xml:space="preserve">Invalides capables d'exercer une activité rémunérée ; </w:t>
      </w:r>
    </w:p>
    <w:p w14:paraId="63734EB6" w14:textId="77777777" w:rsidR="003E0C37" w:rsidRDefault="003E0C37" w:rsidP="003E0C37">
      <w:pPr>
        <w:pStyle w:val="Paragraphedeliste"/>
        <w:numPr>
          <w:ilvl w:val="0"/>
          <w:numId w:val="19"/>
        </w:numPr>
      </w:pPr>
      <w:r>
        <w:t xml:space="preserve">Invalides absolument incapables d'exercer une profession quelconque ; </w:t>
      </w:r>
    </w:p>
    <w:p w14:paraId="68BD1599" w14:textId="1BE83BE9" w:rsidR="001B7625" w:rsidRPr="00FE2857" w:rsidRDefault="003E0C37" w:rsidP="00FE2857">
      <w:pPr>
        <w:pStyle w:val="Paragraphedeliste"/>
        <w:numPr>
          <w:ilvl w:val="0"/>
          <w:numId w:val="19"/>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3E0C37">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397EA1">
      <w:r>
        <w:t>Les conditions d’ouverture des droits à l’assurance Invalidité sont les suivantes :</w:t>
      </w:r>
    </w:p>
    <w:p w14:paraId="6884B631" w14:textId="7DBD357E" w:rsidR="00397EA1" w:rsidRDefault="00397EA1" w:rsidP="00397EA1">
      <w:pPr>
        <w:pStyle w:val="Paragraphedeliste"/>
        <w:numPr>
          <w:ilvl w:val="0"/>
          <w:numId w:val="15"/>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397EA1">
      <w:pPr>
        <w:pStyle w:val="Paragraphedeliste"/>
        <w:numPr>
          <w:ilvl w:val="0"/>
          <w:numId w:val="15"/>
        </w:numPr>
      </w:pPr>
      <w:r>
        <w:t>Justifier, au cours des 12 mois qui précédent l’arrêt de travail pour invalidité ou constatation médicale de l'invalidité,</w:t>
      </w:r>
    </w:p>
    <w:p w14:paraId="6510B46F" w14:textId="7A92317E" w:rsidR="00397EA1" w:rsidRDefault="00397EA1" w:rsidP="005F1B32">
      <w:pPr>
        <w:pStyle w:val="Paragraphedeliste"/>
        <w:numPr>
          <w:ilvl w:val="1"/>
          <w:numId w:val="15"/>
        </w:numPr>
        <w:ind w:left="1210"/>
      </w:pPr>
      <w:r>
        <w:t>Soit avoir effectué au moins 600 heures de travail salarié ;</w:t>
      </w:r>
    </w:p>
    <w:p w14:paraId="0282C8AC" w14:textId="2F6E1C79" w:rsidR="00397EA1" w:rsidRDefault="00397EA1" w:rsidP="005F1B32">
      <w:pPr>
        <w:pStyle w:val="Paragraphedeliste"/>
        <w:numPr>
          <w:ilvl w:val="1"/>
          <w:numId w:val="15"/>
        </w:numPr>
        <w:ind w:left="1210"/>
      </w:pPr>
      <w:r>
        <w:t>Soit avoir cotisé sur un salaire au moins égal à 2 030 fois le SMIC horaire.</w:t>
      </w:r>
    </w:p>
    <w:p w14:paraId="1BC19310" w14:textId="59E7F587" w:rsidR="000046F7" w:rsidRPr="000046F7" w:rsidRDefault="00C85FED" w:rsidP="000046F7">
      <w:pPr>
        <w:rPr>
          <w:u w:val="single"/>
        </w:rPr>
      </w:pPr>
      <w:r>
        <w:rPr>
          <w:u w:val="single"/>
        </w:rPr>
        <w:t>La pension d’invalidité :</w:t>
      </w:r>
    </w:p>
    <w:p w14:paraId="680739B8" w14:textId="77777777" w:rsidR="000046F7" w:rsidRDefault="000046F7" w:rsidP="005F1B32">
      <w:pPr>
        <w:pStyle w:val="Paragraphedeliste"/>
        <w:numPr>
          <w:ilvl w:val="0"/>
          <w:numId w:val="9"/>
        </w:numPr>
        <w:ind w:left="1210"/>
      </w:pPr>
      <w:r>
        <w:t>Durée de service des indemnités journalières :</w:t>
      </w:r>
    </w:p>
    <w:p w14:paraId="584E2A6F" w14:textId="34CEABBA" w:rsidR="00F16702" w:rsidRPr="00F16702" w:rsidRDefault="000046F7">
      <w:r>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5F1B32">
      <w:pPr>
        <w:pStyle w:val="Paragraphedeliste"/>
        <w:numPr>
          <w:ilvl w:val="0"/>
          <w:numId w:val="9"/>
        </w:numPr>
        <w:ind w:left="1210"/>
      </w:pPr>
      <w:r>
        <w:t xml:space="preserve">Montant de </w:t>
      </w:r>
      <w:r>
        <w:t>la pension invalidité</w:t>
      </w:r>
      <w:r>
        <w:t> :</w:t>
      </w:r>
    </w:p>
    <w:p w14:paraId="3C4872D0" w14:textId="2122DB28" w:rsidR="00F16702" w:rsidRDefault="00F16702" w:rsidP="00F16702">
      <w:r>
        <w:t>Le montant de l</w:t>
      </w:r>
      <w:r>
        <w:t xml:space="preserve">a pension d’invalidité </w:t>
      </w:r>
      <w:r>
        <w:t xml:space="preserve">versée par la Sécurité Sociale est calculé via le salaire </w:t>
      </w:r>
      <w:r>
        <w:t xml:space="preserve">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C85FED">
      <w:pPr>
        <w:pStyle w:val="Paragraphedeliste"/>
        <w:numPr>
          <w:ilvl w:val="0"/>
          <w:numId w:val="21"/>
        </w:numPr>
      </w:pPr>
      <w:r>
        <w:t xml:space="preserve">1ère catégorie = 30 % du salaire annuel moyen </w:t>
      </w:r>
    </w:p>
    <w:p w14:paraId="33F55EF9" w14:textId="1B19FB56" w:rsidR="00C85FED" w:rsidRDefault="00C85FED" w:rsidP="00C85FED">
      <w:pPr>
        <w:pStyle w:val="Paragraphedeliste"/>
        <w:numPr>
          <w:ilvl w:val="0"/>
          <w:numId w:val="21"/>
        </w:numPr>
      </w:pPr>
      <w:r>
        <w:t xml:space="preserve">2ème catégorie = 50 % du salaire annuel moyen </w:t>
      </w:r>
    </w:p>
    <w:p w14:paraId="06AA7078" w14:textId="4A582D6F" w:rsidR="00C85FED" w:rsidRPr="005F1B32" w:rsidRDefault="00C85FED" w:rsidP="005F1B32">
      <w:pPr>
        <w:pStyle w:val="Paragraphedeliste"/>
        <w:numPr>
          <w:ilvl w:val="0"/>
          <w:numId w:val="21"/>
        </w:numPr>
      </w:pPr>
      <w:r>
        <w:t xml:space="preserve">3ème catégorie = 50 % du salaire annuel moyen majoré de l’allocation tierce personne </w:t>
      </w:r>
    </w:p>
    <w:p w14:paraId="16AC71DC" w14:textId="5145FEBE" w:rsidR="00C85FED" w:rsidRPr="005F1B32" w:rsidRDefault="00C85FED" w:rsidP="005F1B32">
      <w:pPr>
        <w:pStyle w:val="Titre4"/>
      </w:pPr>
      <w:r>
        <w:t xml:space="preserve">L’assurance </w:t>
      </w:r>
      <w:r>
        <w:t>Décès</w:t>
      </w:r>
    </w:p>
    <w:p w14:paraId="447536A4" w14:textId="1FEFD17F" w:rsidR="00C85FED" w:rsidRDefault="00C85FED" w:rsidP="00C85FED">
      <w:pPr>
        <w:rPr>
          <w:u w:val="single"/>
        </w:rPr>
      </w:pPr>
      <w:r w:rsidRPr="004167E1">
        <w:rPr>
          <w:u w:val="single"/>
        </w:rPr>
        <w:t>Définition</w:t>
      </w:r>
      <w:r>
        <w:rPr>
          <w:u w:val="single"/>
        </w:rPr>
        <w:t xml:space="preserve"> </w:t>
      </w:r>
      <w:r>
        <w:rPr>
          <w:u w:val="single"/>
        </w:rPr>
        <w:t xml:space="preserve">et condition d’ouverture des droits </w:t>
      </w:r>
      <w:r>
        <w:rPr>
          <w:u w:val="single"/>
        </w:rPr>
        <w:t>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C85FED">
      <w:r>
        <w:lastRenderedPageBreak/>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CE0C9B">
      <w:pPr>
        <w:rPr>
          <w:u w:val="single"/>
        </w:rPr>
      </w:pPr>
      <w:r>
        <w:rPr>
          <w:u w:val="single"/>
        </w:rPr>
        <w:t xml:space="preserve">Montant du capital décès </w:t>
      </w:r>
      <w:r w:rsidRPr="004167E1">
        <w:rPr>
          <w:u w:val="single"/>
        </w:rPr>
        <w:t>:</w:t>
      </w:r>
    </w:p>
    <w:p w14:paraId="0D0801DD" w14:textId="38C74F9D" w:rsidR="00CE0C9B" w:rsidRDefault="00CE0C9B" w:rsidP="00C85FED">
      <w:r>
        <w:t>Depuis la loi de financement de la sécurité social de 2015, il est égal à un montant forfaitaire fixé par décret et revalorisé chaque année (3 539€ en 2022).</w:t>
      </w:r>
    </w:p>
    <w:p w14:paraId="760F5FD2" w14:textId="5CCCD2FE" w:rsidR="00CE0C9B" w:rsidRDefault="00CE0C9B" w:rsidP="005F1B32">
      <w:pPr>
        <w:pStyle w:val="Titre4"/>
      </w:pPr>
      <w:r>
        <w:t xml:space="preserve">L’assurance </w:t>
      </w:r>
      <w:r>
        <w:t>Accident du travail et Maladie Professionnelle</w:t>
      </w:r>
    </w:p>
    <w:p w14:paraId="7468B2CE" w14:textId="3EEB6D71" w:rsidR="00D5746E" w:rsidRDefault="00D5746E" w:rsidP="00D5746E">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CE0C9B">
      <w:r>
        <w:t xml:space="preserve">D’après l’article L411-1 du CSS, est considéré comme accident du travail un accident survenu par le fait ou à l’occasion du travail </w:t>
      </w:r>
      <w:r>
        <w:t>à toute personne salariée ou travaillant, à quelque titre ou en quelque lieu que ce soit, pour un ou plusieurs employeurs ou chefs d'entreprise</w:t>
      </w:r>
      <w:r>
        <w:t xml:space="preserve">. De plus, est aussi considéré comme accident du travail </w:t>
      </w:r>
      <w:r>
        <w:t xml:space="preserve">l'accident </w:t>
      </w:r>
      <w:r>
        <w:t xml:space="preserve">qui est </w:t>
      </w:r>
      <w:r>
        <w:t>survenu à un travailleur, pendant le trajet d'aller et de retour, entre :</w:t>
      </w:r>
    </w:p>
    <w:p w14:paraId="6067FF9C" w14:textId="79DF82CB" w:rsidR="00AC7AE8" w:rsidRDefault="00AC7AE8" w:rsidP="005F1B32">
      <w:pPr>
        <w:pStyle w:val="Paragraphedeliste"/>
        <w:numPr>
          <w:ilvl w:val="0"/>
          <w:numId w:val="22"/>
        </w:numPr>
        <w:ind w:left="1210"/>
      </w:pPr>
      <w:r>
        <w:t>Tout lieu où le travailleur se rend de façon habituelle (résidence principale, résidence secondaire, …) et le lieu de travail.</w:t>
      </w:r>
    </w:p>
    <w:p w14:paraId="0EA9A640" w14:textId="24FE71FF" w:rsidR="00AC7AE8" w:rsidRDefault="00456F0C" w:rsidP="005F1B32">
      <w:pPr>
        <w:pStyle w:val="Paragraphedeliste"/>
        <w:numPr>
          <w:ilvl w:val="0"/>
          <w:numId w:val="22"/>
        </w:numPr>
        <w:ind w:left="1210"/>
      </w:pPr>
      <w:r>
        <w:t>L</w:t>
      </w:r>
      <w:r>
        <w:t>e lieu où le travailleur prend habituellement ses repas dans la mesure où le parcours n'a pas été interrompu ou détourné pour un motif dicté par l'intérêt personnel et étranger aux nécessités essentielles de la vie courante ou indépendant de l'emploi</w:t>
      </w:r>
      <w:r>
        <w:t xml:space="preserve"> et le lieu de travail.</w:t>
      </w:r>
    </w:p>
    <w:p w14:paraId="5068068C" w14:textId="69CBC8C8" w:rsidR="00456F0C" w:rsidRDefault="00456F0C" w:rsidP="00456F0C">
      <w:r>
        <w:t xml:space="preserve">Pour ce qui est des maladies professionnelles, d’après l’article L411-1, est présumée </w:t>
      </w:r>
      <w:r>
        <w:t>d'origine professionnelle toute maladie désignée dans un tableau de maladies professionnelles et contractée dans les conditions mentionnées à ce tableau</w:t>
      </w:r>
      <w:r>
        <w:t>.</w:t>
      </w:r>
    </w:p>
    <w:p w14:paraId="41456C4F" w14:textId="5B7D16AB" w:rsidR="00D5746E" w:rsidRDefault="00456F0C" w:rsidP="00456F0C">
      <w:pPr>
        <w:tabs>
          <w:tab w:val="left" w:pos="1770"/>
        </w:tabs>
      </w:pPr>
      <w:r>
        <w:t>Aucune condition n’est formulée pour l’ouverture des droits.</w:t>
      </w:r>
    </w:p>
    <w:p w14:paraId="1B628B7D" w14:textId="188882A1" w:rsidR="00456F0C" w:rsidRDefault="00456F0C" w:rsidP="00456F0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5F1B32">
      <w:pPr>
        <w:pStyle w:val="Paragraphedeliste"/>
        <w:numPr>
          <w:ilvl w:val="0"/>
          <w:numId w:val="9"/>
        </w:numPr>
        <w:ind w:left="1210"/>
      </w:pPr>
      <w:r>
        <w:t>Délai de carence</w:t>
      </w:r>
      <w:r>
        <w:t> :</w:t>
      </w:r>
    </w:p>
    <w:p w14:paraId="68DB7F60" w14:textId="773B7A9F" w:rsidR="00456F0C" w:rsidRDefault="00456F0C" w:rsidP="00456F0C">
      <w:pPr>
        <w:tabs>
          <w:tab w:val="left" w:pos="1770"/>
        </w:tabs>
      </w:pPr>
      <w:r>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5F1B32">
      <w:pPr>
        <w:pStyle w:val="Paragraphedeliste"/>
        <w:numPr>
          <w:ilvl w:val="0"/>
          <w:numId w:val="9"/>
        </w:numPr>
        <w:ind w:left="1210"/>
      </w:pPr>
      <w:r>
        <w:t xml:space="preserve">Montant de </w:t>
      </w:r>
      <w:r>
        <w:t>l’indemnisation</w:t>
      </w:r>
      <w:r>
        <w:t> :</w:t>
      </w:r>
    </w:p>
    <w:p w14:paraId="3FDC15C8" w14:textId="59546557" w:rsidR="00456F0C" w:rsidRDefault="00456F0C" w:rsidP="00456F0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456F0C">
      <w:pPr>
        <w:pStyle w:val="Paragraphedeliste"/>
        <w:numPr>
          <w:ilvl w:val="0"/>
          <w:numId w:val="23"/>
        </w:numPr>
        <w:tabs>
          <w:tab w:val="left" w:pos="1770"/>
        </w:tabs>
      </w:pPr>
      <w:r>
        <w:t>60 % du salaire journalier de base jusqu’au 28ème jour</w:t>
      </w:r>
    </w:p>
    <w:p w14:paraId="2FE4CDE9" w14:textId="3AA81224" w:rsidR="00D5746E" w:rsidRDefault="00456F0C" w:rsidP="00CE0C9B">
      <w:pPr>
        <w:pStyle w:val="Paragraphedeliste"/>
        <w:numPr>
          <w:ilvl w:val="0"/>
          <w:numId w:val="23"/>
        </w:numPr>
        <w:tabs>
          <w:tab w:val="left" w:pos="1770"/>
        </w:tabs>
      </w:pPr>
      <w:r>
        <w:t xml:space="preserve">80 % du salaire journalier de base à partir du 29ème jour d’arrêt </w:t>
      </w:r>
    </w:p>
    <w:p w14:paraId="7D755CBD" w14:textId="14C052CC" w:rsidR="000649C9" w:rsidRDefault="000649C9" w:rsidP="00CE0C9B">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CE0C9B">
      <w:r>
        <w:t>Le montant de la prestation est alors dicté par ce taux :</w:t>
      </w:r>
    </w:p>
    <w:p w14:paraId="382BF751" w14:textId="43A80C93" w:rsidR="000649C9" w:rsidRDefault="000649C9" w:rsidP="000649C9">
      <w:pPr>
        <w:pStyle w:val="Paragraphedeliste"/>
        <w:numPr>
          <w:ilvl w:val="0"/>
          <w:numId w:val="24"/>
        </w:numPr>
      </w:pPr>
      <w:r>
        <w:lastRenderedPageBreak/>
        <w:t>Si taux &lt; 10% : Un capital est versé en fonction du taux d’incapacité de la victime sur la base d’un barème forfaitaire.</w:t>
      </w:r>
    </w:p>
    <w:p w14:paraId="6FEC317F" w14:textId="5954B0D4" w:rsidR="00A74A85" w:rsidRDefault="00A74A85" w:rsidP="000649C9">
      <w:pPr>
        <w:pStyle w:val="Paragraphedeliste"/>
        <w:numPr>
          <w:ilvl w:val="0"/>
          <w:numId w:val="24"/>
        </w:numPr>
      </w:pPr>
      <w:r>
        <w:t>Si taux ≥ 10% :</w:t>
      </w:r>
      <w:r>
        <w:t xml:space="preserve"> V</w:t>
      </w:r>
      <w:r>
        <w:t>ersement d’une rente viagère égale au salaire annuel multiplié par le taux d'incapacité qui peut être réduit ou augmenté en fonction de la gravité de celle</w:t>
      </w:r>
      <w:r>
        <w:t>-</w:t>
      </w:r>
      <w:r>
        <w:t>ci</w:t>
      </w:r>
    </w:p>
    <w:p w14:paraId="6D7FC9FC" w14:textId="68E3BE49" w:rsidR="005F1B32" w:rsidRDefault="005F1B32" w:rsidP="005F1B32">
      <w:pPr>
        <w:pStyle w:val="Titre3"/>
      </w:pPr>
    </w:p>
    <w:p w14:paraId="59E3018C" w14:textId="715F7547" w:rsidR="000273B5" w:rsidRPr="000273B5" w:rsidRDefault="000273B5" w:rsidP="005F1B32">
      <w:pPr>
        <w:pStyle w:val="Titre3"/>
      </w:pPr>
      <w:bookmarkStart w:id="5" w:name="_Toc110864817"/>
      <w:r>
        <w:t>Panorama de l’offre de couverture complémentaire</w:t>
      </w:r>
      <w:bookmarkEnd w:id="5"/>
    </w:p>
    <w:p w14:paraId="1F0B726C" w14:textId="63EF6D62" w:rsidR="003C752A" w:rsidRDefault="000273B5" w:rsidP="005F1B32">
      <w:pPr>
        <w:pStyle w:val="Titre4"/>
      </w:pPr>
      <w:r>
        <w:t>Organisation du marché de l’assurance complémentaire</w:t>
      </w:r>
    </w:p>
    <w:p w14:paraId="2B210989" w14:textId="3924649B" w:rsidR="003C752A" w:rsidRDefault="003C752A" w:rsidP="003C752A">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5F1B32">
      <w:pPr>
        <w:pStyle w:val="Paragraphedeliste"/>
        <w:numPr>
          <w:ilvl w:val="0"/>
          <w:numId w:val="9"/>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5F1B32">
      <w:pPr>
        <w:pStyle w:val="Paragraphedeliste"/>
        <w:numPr>
          <w:ilvl w:val="0"/>
          <w:numId w:val="9"/>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5F1B32">
      <w:pPr>
        <w:pStyle w:val="Paragraphedeliste"/>
        <w:numPr>
          <w:ilvl w:val="0"/>
          <w:numId w:val="9"/>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FB0A25">
      <w:pPr>
        <w:pStyle w:val="Paragraphedeliste"/>
        <w:numPr>
          <w:ilvl w:val="0"/>
          <w:numId w:val="9"/>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4108B0">
      <w:pPr>
        <w:pStyle w:val="Titre4"/>
      </w:pPr>
      <w:r>
        <w:t>Les garanties de prévoyance complémentaire</w:t>
      </w:r>
    </w:p>
    <w:p w14:paraId="085D59F0" w14:textId="7BCC6CAC" w:rsidR="004108B0" w:rsidRDefault="004108B0" w:rsidP="004108B0">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4108B0">
      <w:r>
        <w:t xml:space="preserve">Les garanties collectives d’un tel contrat ont objectif de prévoir pour les </w:t>
      </w:r>
      <w:r>
        <w:t xml:space="preserve">salariés, </w:t>
      </w:r>
      <w:r>
        <w:t>l</w:t>
      </w:r>
      <w:r>
        <w:t>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4EB87A0A" w:rsidR="003F0B1C" w:rsidRDefault="003F0B1C" w:rsidP="003F0B1C">
      <w:pPr>
        <w:pStyle w:val="Paragraphedeliste"/>
        <w:numPr>
          <w:ilvl w:val="0"/>
          <w:numId w:val="27"/>
        </w:numPr>
        <w:ind w:left="1210"/>
      </w:pPr>
      <w:r>
        <w:t>Les Frais de Santé</w:t>
      </w:r>
    </w:p>
    <w:p w14:paraId="23F9D424" w14:textId="4446D515" w:rsidR="003F0B1C" w:rsidRPr="004108B0" w:rsidRDefault="003F0B1C" w:rsidP="003F0B1C">
      <w:r>
        <w:t xml:space="preserve">La garantie complémentaire frais de santé intervient en complément de la Sécurité Sociale, voire même dans certains cas lorsque la Sécurité Sociale n’intervient pas. </w:t>
      </w:r>
    </w:p>
    <w:p w14:paraId="0B772F35" w14:textId="6C72066E" w:rsidR="005F1B32" w:rsidRDefault="00D46B28" w:rsidP="00397EA1">
      <w:pPr>
        <w:rPr>
          <w:rFonts w:eastAsiaTheme="majorEastAsia" w:cstheme="majorBidi"/>
          <w:color w:val="2F5496" w:themeColor="accent1" w:themeShade="BF"/>
          <w:sz w:val="26"/>
          <w:szCs w:val="26"/>
        </w:rPr>
      </w:pPr>
      <w:r>
        <w:rPr>
          <w:noProof/>
        </w:rPr>
        <w:drawing>
          <wp:anchor distT="0" distB="0" distL="114300" distR="114300" simplePos="0" relativeHeight="251658240" behindDoc="1" locked="0" layoutInCell="1" allowOverlap="1" wp14:anchorId="4B643CF8" wp14:editId="6D6DA537">
            <wp:simplePos x="0" y="0"/>
            <wp:positionH relativeFrom="margin">
              <wp:align>center</wp:align>
            </wp:positionH>
            <wp:positionV relativeFrom="paragraph">
              <wp:posOffset>199050</wp:posOffset>
            </wp:positionV>
            <wp:extent cx="5337175" cy="2583180"/>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37175" cy="2583180"/>
                    </a:xfrm>
                    <a:prstGeom prst="rect">
                      <a:avLst/>
                    </a:prstGeom>
                  </pic:spPr>
                </pic:pic>
              </a:graphicData>
            </a:graphic>
            <wp14:sizeRelH relativeFrom="page">
              <wp14:pctWidth>0</wp14:pctWidth>
            </wp14:sizeRelH>
            <wp14:sizeRelV relativeFrom="page">
              <wp14:pctHeight>0</wp14:pctHeight>
            </wp14:sizeRelV>
          </wp:anchor>
        </w:drawing>
      </w:r>
    </w:p>
    <w:p w14:paraId="649804F2" w14:textId="3702961A" w:rsidR="000C235A" w:rsidRDefault="000C235A" w:rsidP="00397EA1">
      <w:pPr>
        <w:rPr>
          <w:rFonts w:eastAsiaTheme="majorEastAsia" w:cstheme="majorBidi"/>
          <w:color w:val="2F5496" w:themeColor="accent1" w:themeShade="BF"/>
          <w:sz w:val="26"/>
          <w:szCs w:val="26"/>
        </w:rPr>
      </w:pPr>
    </w:p>
    <w:p w14:paraId="79452348" w14:textId="15691305" w:rsidR="000C235A" w:rsidRDefault="000C235A" w:rsidP="00397EA1">
      <w:pPr>
        <w:rPr>
          <w:rFonts w:eastAsiaTheme="majorEastAsia" w:cstheme="majorBidi"/>
          <w:color w:val="2F5496" w:themeColor="accent1" w:themeShade="BF"/>
          <w:sz w:val="26"/>
          <w:szCs w:val="26"/>
        </w:rPr>
      </w:pPr>
    </w:p>
    <w:p w14:paraId="7B0B5724" w14:textId="013C6EA1" w:rsidR="000C235A" w:rsidRDefault="000C235A" w:rsidP="00397EA1">
      <w:pPr>
        <w:rPr>
          <w:rFonts w:eastAsiaTheme="majorEastAsia" w:cstheme="majorBidi"/>
          <w:color w:val="2F5496" w:themeColor="accent1" w:themeShade="BF"/>
          <w:sz w:val="26"/>
          <w:szCs w:val="26"/>
        </w:rPr>
      </w:pPr>
    </w:p>
    <w:p w14:paraId="066CBD4E" w14:textId="53034151" w:rsidR="000C235A" w:rsidRDefault="000C235A" w:rsidP="00397EA1">
      <w:pPr>
        <w:rPr>
          <w:rFonts w:eastAsiaTheme="majorEastAsia" w:cstheme="majorBidi"/>
          <w:color w:val="2F5496" w:themeColor="accent1" w:themeShade="BF"/>
          <w:sz w:val="26"/>
          <w:szCs w:val="26"/>
        </w:rPr>
      </w:pPr>
    </w:p>
    <w:p w14:paraId="3EEDAA99" w14:textId="565EAB21" w:rsidR="000C235A" w:rsidRDefault="000C235A" w:rsidP="00397EA1">
      <w:pPr>
        <w:rPr>
          <w:rFonts w:eastAsiaTheme="majorEastAsia" w:cstheme="majorBidi"/>
          <w:color w:val="2F5496" w:themeColor="accent1" w:themeShade="BF"/>
          <w:sz w:val="26"/>
          <w:szCs w:val="26"/>
        </w:rPr>
      </w:pPr>
    </w:p>
    <w:p w14:paraId="25A387DB" w14:textId="22D3A556" w:rsidR="000C235A" w:rsidRDefault="000C235A" w:rsidP="00397EA1">
      <w:pPr>
        <w:rPr>
          <w:rFonts w:eastAsiaTheme="majorEastAsia" w:cstheme="majorBidi"/>
          <w:color w:val="2F5496" w:themeColor="accent1" w:themeShade="BF"/>
          <w:sz w:val="26"/>
          <w:szCs w:val="26"/>
        </w:rPr>
      </w:pPr>
    </w:p>
    <w:p w14:paraId="2C7A95CE" w14:textId="6A2109AC" w:rsidR="00D46B28" w:rsidRDefault="00D46B28" w:rsidP="00D46B28">
      <w:pPr>
        <w:pStyle w:val="Paragraphedeliste"/>
        <w:numPr>
          <w:ilvl w:val="0"/>
          <w:numId w:val="27"/>
        </w:numPr>
        <w:spacing w:after="0"/>
        <w:ind w:left="1210"/>
      </w:pPr>
      <w:r>
        <w:lastRenderedPageBreak/>
        <w:t>La Prévoyance Lourde</w:t>
      </w:r>
    </w:p>
    <w:p w14:paraId="107CFD9A" w14:textId="77777777" w:rsidR="00D46B28" w:rsidRDefault="00D46B28" w:rsidP="00D46B28">
      <w:pPr>
        <w:spacing w:after="0"/>
        <w:ind w:left="850"/>
      </w:pPr>
    </w:p>
    <w:p w14:paraId="7F93EF26" w14:textId="005BC44A" w:rsidR="00D46B28" w:rsidRDefault="00D46B28" w:rsidP="00D46B28">
      <w:pPr>
        <w:pStyle w:val="Paragraphedeliste"/>
        <w:numPr>
          <w:ilvl w:val="0"/>
          <w:numId w:val="28"/>
        </w:numPr>
        <w:spacing w:after="120"/>
        <w:ind w:left="643"/>
      </w:pPr>
      <w:r>
        <w:t>Capitaux Décès :</w:t>
      </w:r>
    </w:p>
    <w:p w14:paraId="5B860181" w14:textId="51B45A46" w:rsidR="00D46B28" w:rsidRDefault="00D46B28" w:rsidP="00CC560A">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CC560A">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pré-décès », …</w:t>
      </w:r>
    </w:p>
    <w:p w14:paraId="70816D89" w14:textId="2472F06E" w:rsidR="00CC560A" w:rsidRDefault="00CC560A" w:rsidP="00CC560A">
      <w:pPr>
        <w:pStyle w:val="Paragraphedeliste"/>
        <w:numPr>
          <w:ilvl w:val="0"/>
          <w:numId w:val="28"/>
        </w:numPr>
        <w:spacing w:after="120"/>
        <w:ind w:left="643"/>
      </w:pPr>
      <w:r>
        <w:t>Rente de Conjoint :</w:t>
      </w:r>
    </w:p>
    <w:p w14:paraId="0A467463" w14:textId="77777777" w:rsidR="00CF7F66" w:rsidRDefault="00CC560A" w:rsidP="00CF7F66">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CF7F66">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CF7F66">
      <w:pPr>
        <w:pStyle w:val="Paragraphedeliste"/>
        <w:numPr>
          <w:ilvl w:val="0"/>
          <w:numId w:val="28"/>
        </w:numPr>
        <w:spacing w:after="120"/>
      </w:pPr>
      <w:r>
        <w:t>Rente éducation :</w:t>
      </w:r>
    </w:p>
    <w:p w14:paraId="5026E4A5" w14:textId="77777777" w:rsidR="00CF7F66" w:rsidRDefault="00CF7F66" w:rsidP="00CF7F66">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CF7F66">
      <w:pPr>
        <w:spacing w:after="120"/>
        <w:ind w:left="283"/>
      </w:pPr>
      <w:r>
        <w:t>Le montant de la rente est généralement calculé au prorata du dernier salaire de l’assuré et est généralement exprimée par palier d’âge croissant du bénéficiaire.</w:t>
      </w:r>
    </w:p>
    <w:p w14:paraId="1F0208D2" w14:textId="77777777" w:rsidR="00CF7F66" w:rsidRDefault="00CF7F66" w:rsidP="00CF7F66">
      <w:pPr>
        <w:pStyle w:val="Paragraphedeliste"/>
        <w:numPr>
          <w:ilvl w:val="0"/>
          <w:numId w:val="28"/>
        </w:numPr>
        <w:spacing w:after="120"/>
      </w:pPr>
    </w:p>
    <w:p w14:paraId="0E8A87E7" w14:textId="002B788A" w:rsidR="00D46B28" w:rsidRPr="00D46B28" w:rsidRDefault="00D46B28" w:rsidP="00D46B28"/>
    <w:p w14:paraId="483576E0" w14:textId="2BE0E79D" w:rsidR="00A103B7" w:rsidRDefault="00A103B7" w:rsidP="00A103B7">
      <w:pPr>
        <w:pStyle w:val="Titre2"/>
      </w:pPr>
      <w:bookmarkStart w:id="6" w:name="_Toc110864818"/>
      <w:r>
        <w:t>Qu’est-ce que la prévoyance collective ?</w:t>
      </w:r>
      <w:bookmarkEnd w:id="6"/>
    </w:p>
    <w:p w14:paraId="461E4C36" w14:textId="3BD5EF04" w:rsidR="00A103B7" w:rsidRPr="00AB44E0" w:rsidRDefault="00A103B7" w:rsidP="00A103B7">
      <w:pPr>
        <w:pStyle w:val="Titre2"/>
      </w:pPr>
      <w:bookmarkStart w:id="7" w:name="_Toc110864819"/>
      <w:r>
        <w:t>Contexte général et définitions autour d</w:t>
      </w:r>
      <w:r w:rsidR="00FE2857">
        <w:t xml:space="preserve">u risque </w:t>
      </w:r>
      <w:r>
        <w:t>arrêt de travail.</w:t>
      </w:r>
      <w:bookmarkEnd w:id="7"/>
    </w:p>
    <w:p w14:paraId="135E8F7B" w14:textId="77777777" w:rsidR="00A103B7" w:rsidRDefault="00A103B7" w:rsidP="00A103B7">
      <w:bookmarkStart w:id="8" w:name="_GoBack"/>
      <w:bookmarkEnd w:id="8"/>
    </w:p>
    <w:p w14:paraId="2DB32FAF" w14:textId="7C92FFFC" w:rsidR="00A103B7" w:rsidRPr="009212F2" w:rsidRDefault="00A103B7" w:rsidP="009212F2">
      <w:pPr>
        <w:pStyle w:val="Titre1"/>
      </w:pPr>
      <w:bookmarkStart w:id="9" w:name="_Toc110864820"/>
      <w:r w:rsidRPr="009212F2">
        <w:t>L’absentéisme en entreprise en France</w:t>
      </w:r>
      <w:bookmarkEnd w:id="9"/>
    </w:p>
    <w:p w14:paraId="4E3929C9" w14:textId="3E470EA5" w:rsidR="00A103B7" w:rsidRPr="00F71898" w:rsidRDefault="00A103B7" w:rsidP="00A103B7">
      <w:pPr>
        <w:pStyle w:val="Titre2"/>
      </w:pPr>
      <w:bookmarkStart w:id="10" w:name="_Toc110864821"/>
      <w:r>
        <w:t>Qu’est-ce que l’absentéisme ?</w:t>
      </w:r>
      <w:bookmarkEnd w:id="10"/>
    </w:p>
    <w:p w14:paraId="0204DC5D" w14:textId="5A07299C" w:rsidR="00A103B7" w:rsidRDefault="00A103B7" w:rsidP="00A103B7">
      <w:pPr>
        <w:pStyle w:val="Titre2"/>
      </w:pPr>
      <w:bookmarkStart w:id="11" w:name="_Toc110864822"/>
      <w:r>
        <w:t>Comment mesurer l’absentéisme en entreprise ?</w:t>
      </w:r>
      <w:bookmarkEnd w:id="11"/>
    </w:p>
    <w:p w14:paraId="0F86952F" w14:textId="77777777" w:rsidR="00A103B7" w:rsidRDefault="00A103B7" w:rsidP="00A103B7">
      <w:pPr>
        <w:pStyle w:val="Titre2"/>
      </w:pPr>
      <w:bookmarkStart w:id="12" w:name="_Toc110864823"/>
      <w:r>
        <w:t>Quel est son coût réel sur les entreprises ?</w:t>
      </w:r>
      <w:bookmarkEnd w:id="12"/>
    </w:p>
    <w:p w14:paraId="5EC74AE0" w14:textId="77777777" w:rsidR="005F5B85" w:rsidRPr="005F5B85" w:rsidRDefault="005F5B85" w:rsidP="005F5B85"/>
    <w:sectPr w:rsidR="005F5B85" w:rsidRPr="005F5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3807"/>
    <w:multiLevelType w:val="hybridMultilevel"/>
    <w:tmpl w:val="B372B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C12138"/>
    <w:multiLevelType w:val="hybridMultilevel"/>
    <w:tmpl w:val="16CC0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1D1A8A"/>
    <w:multiLevelType w:val="hybridMultilevel"/>
    <w:tmpl w:val="90F82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9F7648"/>
    <w:multiLevelType w:val="hybridMultilevel"/>
    <w:tmpl w:val="0C7ADF9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365DC"/>
    <w:multiLevelType w:val="hybridMultilevel"/>
    <w:tmpl w:val="05143BC8"/>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37D47D0F"/>
    <w:multiLevelType w:val="hybridMultilevel"/>
    <w:tmpl w:val="D212B41E"/>
    <w:lvl w:ilvl="0" w:tplc="040C0001">
      <w:start w:val="1"/>
      <w:numFmt w:val="bullet"/>
      <w:lvlText w:val=""/>
      <w:lvlJc w:val="left"/>
      <w:pPr>
        <w:ind w:left="1433" w:hanging="360"/>
      </w:pPr>
      <w:rPr>
        <w:rFonts w:ascii="Symbol" w:hAnsi="Symbol"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11"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3"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5CE1629"/>
    <w:multiLevelType w:val="hybridMultilevel"/>
    <w:tmpl w:val="5830BB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F9449E"/>
    <w:multiLevelType w:val="hybridMultilevel"/>
    <w:tmpl w:val="4BA0BFE0"/>
    <w:lvl w:ilvl="0" w:tplc="040C000B">
      <w:start w:val="1"/>
      <w:numFmt w:val="bullet"/>
      <w:lvlText w:val=""/>
      <w:lvlJc w:val="left"/>
      <w:pPr>
        <w:ind w:left="5023" w:hanging="360"/>
      </w:pPr>
      <w:rPr>
        <w:rFonts w:ascii="Wingdings" w:hAnsi="Wingdings" w:hint="default"/>
      </w:rPr>
    </w:lvl>
    <w:lvl w:ilvl="1" w:tplc="040C0003" w:tentative="1">
      <w:start w:val="1"/>
      <w:numFmt w:val="bullet"/>
      <w:lvlText w:val="o"/>
      <w:lvlJc w:val="left"/>
      <w:pPr>
        <w:ind w:left="5743" w:hanging="360"/>
      </w:pPr>
      <w:rPr>
        <w:rFonts w:ascii="Courier New" w:hAnsi="Courier New" w:cs="Courier New" w:hint="default"/>
      </w:rPr>
    </w:lvl>
    <w:lvl w:ilvl="2" w:tplc="040C0005" w:tentative="1">
      <w:start w:val="1"/>
      <w:numFmt w:val="bullet"/>
      <w:lvlText w:val=""/>
      <w:lvlJc w:val="left"/>
      <w:pPr>
        <w:ind w:left="6463" w:hanging="360"/>
      </w:pPr>
      <w:rPr>
        <w:rFonts w:ascii="Wingdings" w:hAnsi="Wingdings" w:hint="default"/>
      </w:rPr>
    </w:lvl>
    <w:lvl w:ilvl="3" w:tplc="040C0001" w:tentative="1">
      <w:start w:val="1"/>
      <w:numFmt w:val="bullet"/>
      <w:lvlText w:val=""/>
      <w:lvlJc w:val="left"/>
      <w:pPr>
        <w:ind w:left="7183" w:hanging="360"/>
      </w:pPr>
      <w:rPr>
        <w:rFonts w:ascii="Symbol" w:hAnsi="Symbol" w:hint="default"/>
      </w:rPr>
    </w:lvl>
    <w:lvl w:ilvl="4" w:tplc="040C0003" w:tentative="1">
      <w:start w:val="1"/>
      <w:numFmt w:val="bullet"/>
      <w:lvlText w:val="o"/>
      <w:lvlJc w:val="left"/>
      <w:pPr>
        <w:ind w:left="7903" w:hanging="360"/>
      </w:pPr>
      <w:rPr>
        <w:rFonts w:ascii="Courier New" w:hAnsi="Courier New" w:cs="Courier New" w:hint="default"/>
      </w:rPr>
    </w:lvl>
    <w:lvl w:ilvl="5" w:tplc="040C0005" w:tentative="1">
      <w:start w:val="1"/>
      <w:numFmt w:val="bullet"/>
      <w:lvlText w:val=""/>
      <w:lvlJc w:val="left"/>
      <w:pPr>
        <w:ind w:left="8623" w:hanging="360"/>
      </w:pPr>
      <w:rPr>
        <w:rFonts w:ascii="Wingdings" w:hAnsi="Wingdings" w:hint="default"/>
      </w:rPr>
    </w:lvl>
    <w:lvl w:ilvl="6" w:tplc="040C0001" w:tentative="1">
      <w:start w:val="1"/>
      <w:numFmt w:val="bullet"/>
      <w:lvlText w:val=""/>
      <w:lvlJc w:val="left"/>
      <w:pPr>
        <w:ind w:left="9343" w:hanging="360"/>
      </w:pPr>
      <w:rPr>
        <w:rFonts w:ascii="Symbol" w:hAnsi="Symbol" w:hint="default"/>
      </w:rPr>
    </w:lvl>
    <w:lvl w:ilvl="7" w:tplc="040C0003" w:tentative="1">
      <w:start w:val="1"/>
      <w:numFmt w:val="bullet"/>
      <w:lvlText w:val="o"/>
      <w:lvlJc w:val="left"/>
      <w:pPr>
        <w:ind w:left="10063" w:hanging="360"/>
      </w:pPr>
      <w:rPr>
        <w:rFonts w:ascii="Courier New" w:hAnsi="Courier New" w:cs="Courier New" w:hint="default"/>
      </w:rPr>
    </w:lvl>
    <w:lvl w:ilvl="8" w:tplc="040C0005" w:tentative="1">
      <w:start w:val="1"/>
      <w:numFmt w:val="bullet"/>
      <w:lvlText w:val=""/>
      <w:lvlJc w:val="left"/>
      <w:pPr>
        <w:ind w:left="10783" w:hanging="360"/>
      </w:pPr>
      <w:rPr>
        <w:rFonts w:ascii="Wingdings" w:hAnsi="Wingdings" w:hint="default"/>
      </w:rPr>
    </w:lvl>
  </w:abstractNum>
  <w:abstractNum w:abstractNumId="19" w15:restartNumberingAfterBreak="0">
    <w:nsid w:val="58300352"/>
    <w:multiLevelType w:val="hybridMultilevel"/>
    <w:tmpl w:val="2CC4BDB2"/>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0"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3" w15:restartNumberingAfterBreak="0">
    <w:nsid w:val="68A84C2B"/>
    <w:multiLevelType w:val="hybridMultilevel"/>
    <w:tmpl w:val="1DCA4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AD1B25"/>
    <w:multiLevelType w:val="hybridMultilevel"/>
    <w:tmpl w:val="0428C436"/>
    <w:lvl w:ilvl="0" w:tplc="040C000B">
      <w:start w:val="1"/>
      <w:numFmt w:val="bullet"/>
      <w:lvlText w:val=""/>
      <w:lvlJc w:val="left"/>
      <w:pPr>
        <w:ind w:left="6480" w:hanging="360"/>
      </w:pPr>
      <w:rPr>
        <w:rFonts w:ascii="Wingdings" w:hAnsi="Wingdings"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25" w15:restartNumberingAfterBreak="0">
    <w:nsid w:val="6E410B64"/>
    <w:multiLevelType w:val="hybridMultilevel"/>
    <w:tmpl w:val="79E25086"/>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6"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13"/>
  </w:num>
  <w:num w:numId="4">
    <w:abstractNumId w:val="21"/>
  </w:num>
  <w:num w:numId="5">
    <w:abstractNumId w:val="16"/>
  </w:num>
  <w:num w:numId="6">
    <w:abstractNumId w:val="14"/>
  </w:num>
  <w:num w:numId="7">
    <w:abstractNumId w:val="4"/>
  </w:num>
  <w:num w:numId="8">
    <w:abstractNumId w:val="12"/>
  </w:num>
  <w:num w:numId="9">
    <w:abstractNumId w:val="22"/>
  </w:num>
  <w:num w:numId="10">
    <w:abstractNumId w:val="11"/>
  </w:num>
  <w:num w:numId="11">
    <w:abstractNumId w:val="9"/>
  </w:num>
  <w:num w:numId="12">
    <w:abstractNumId w:val="25"/>
  </w:num>
  <w:num w:numId="13">
    <w:abstractNumId w:val="18"/>
  </w:num>
  <w:num w:numId="14">
    <w:abstractNumId w:val="6"/>
  </w:num>
  <w:num w:numId="15">
    <w:abstractNumId w:val="2"/>
  </w:num>
  <w:num w:numId="16">
    <w:abstractNumId w:val="20"/>
  </w:num>
  <w:num w:numId="17">
    <w:abstractNumId w:val="8"/>
  </w:num>
  <w:num w:numId="18">
    <w:abstractNumId w:val="27"/>
  </w:num>
  <w:num w:numId="19">
    <w:abstractNumId w:val="7"/>
  </w:num>
  <w:num w:numId="20">
    <w:abstractNumId w:val="0"/>
  </w:num>
  <w:num w:numId="21">
    <w:abstractNumId w:val="15"/>
  </w:num>
  <w:num w:numId="22">
    <w:abstractNumId w:val="1"/>
  </w:num>
  <w:num w:numId="23">
    <w:abstractNumId w:val="26"/>
  </w:num>
  <w:num w:numId="24">
    <w:abstractNumId w:val="3"/>
  </w:num>
  <w:num w:numId="25">
    <w:abstractNumId w:val="19"/>
  </w:num>
  <w:num w:numId="26">
    <w:abstractNumId w:val="24"/>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649C9"/>
    <w:rsid w:val="000C235A"/>
    <w:rsid w:val="001B3A0A"/>
    <w:rsid w:val="001B7625"/>
    <w:rsid w:val="00242245"/>
    <w:rsid w:val="00397EA1"/>
    <w:rsid w:val="003C752A"/>
    <w:rsid w:val="003E0C37"/>
    <w:rsid w:val="003F0B1C"/>
    <w:rsid w:val="004108B0"/>
    <w:rsid w:val="004167E1"/>
    <w:rsid w:val="00456F0C"/>
    <w:rsid w:val="004A5139"/>
    <w:rsid w:val="005303CD"/>
    <w:rsid w:val="005B2353"/>
    <w:rsid w:val="005E1C3A"/>
    <w:rsid w:val="005F1B32"/>
    <w:rsid w:val="005F5B85"/>
    <w:rsid w:val="0062499A"/>
    <w:rsid w:val="006471B9"/>
    <w:rsid w:val="00661A1B"/>
    <w:rsid w:val="00747135"/>
    <w:rsid w:val="00775045"/>
    <w:rsid w:val="007E5C00"/>
    <w:rsid w:val="00823F3F"/>
    <w:rsid w:val="00850EFE"/>
    <w:rsid w:val="00862C24"/>
    <w:rsid w:val="00913A68"/>
    <w:rsid w:val="009212F2"/>
    <w:rsid w:val="009410B2"/>
    <w:rsid w:val="009D742E"/>
    <w:rsid w:val="00A103B7"/>
    <w:rsid w:val="00A529CB"/>
    <w:rsid w:val="00A74A85"/>
    <w:rsid w:val="00AB44E0"/>
    <w:rsid w:val="00AC1FD6"/>
    <w:rsid w:val="00AC7AE8"/>
    <w:rsid w:val="00B320F2"/>
    <w:rsid w:val="00B610EB"/>
    <w:rsid w:val="00BB2BAB"/>
    <w:rsid w:val="00BB5F86"/>
    <w:rsid w:val="00C21A8E"/>
    <w:rsid w:val="00C737EF"/>
    <w:rsid w:val="00C85FED"/>
    <w:rsid w:val="00C95FB0"/>
    <w:rsid w:val="00CC560A"/>
    <w:rsid w:val="00CE0C9B"/>
    <w:rsid w:val="00CF7F66"/>
    <w:rsid w:val="00D46B28"/>
    <w:rsid w:val="00D5746E"/>
    <w:rsid w:val="00D917AA"/>
    <w:rsid w:val="00EB7709"/>
    <w:rsid w:val="00ED15F7"/>
    <w:rsid w:val="00F16702"/>
    <w:rsid w:val="00F22DB5"/>
    <w:rsid w:val="00F71898"/>
    <w:rsid w:val="00F86A40"/>
    <w:rsid w:val="00F9611C"/>
    <w:rsid w:val="00FB0A25"/>
    <w:rsid w:val="00FE2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2C24"/>
    <w:rPr>
      <w:rFonts w:ascii="Cambria" w:hAnsi="Cambria"/>
    </w:rPr>
  </w:style>
  <w:style w:type="paragraph" w:styleId="Titre1">
    <w:name w:val="heading 1"/>
    <w:basedOn w:val="Normal"/>
    <w:next w:val="Normal"/>
    <w:link w:val="Titre1Car"/>
    <w:uiPriority w:val="9"/>
    <w:qFormat/>
    <w:rsid w:val="00661A1B"/>
    <w:pPr>
      <w:keepNext/>
      <w:keepLines/>
      <w:spacing w:before="240" w:after="0"/>
      <w:outlineLvl w:val="0"/>
    </w:pPr>
    <w:rPr>
      <w:rFonts w:eastAsiaTheme="majorEastAsia" w:cstheme="majorBidi"/>
      <w:b/>
      <w:color w:val="7030A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9212F2"/>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1A1B"/>
    <w:rPr>
      <w:rFonts w:ascii="Cambria" w:eastAsiaTheme="majorEastAsia" w:hAnsi="Cambria" w:cstheme="majorBidi"/>
      <w:b/>
      <w:color w:val="7030A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9212F2"/>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4329-5BD5-49BA-9BE0-F417933F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2917</Words>
  <Characters>16049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15</cp:revision>
  <dcterms:created xsi:type="dcterms:W3CDTF">2022-08-02T14:08:00Z</dcterms:created>
  <dcterms:modified xsi:type="dcterms:W3CDTF">2022-08-12T13:05:00Z</dcterms:modified>
</cp:coreProperties>
</file>