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4360C" w14:textId="576ED846" w:rsidR="00662879" w:rsidRPr="00260AC0" w:rsidRDefault="00662879" w:rsidP="00260AC0">
      <w:pPr>
        <w:tabs>
          <w:tab w:val="center" w:pos="4819"/>
          <w:tab w:val="left" w:pos="8860"/>
          <w:tab w:val="right" w:pos="9923"/>
        </w:tabs>
        <w:spacing w:line="320" w:lineRule="atLeast"/>
        <w:ind w:left="-680" w:right="-454"/>
        <w:jc w:val="center"/>
        <w:rPr>
          <w:b/>
          <w:sz w:val="28"/>
          <w:szCs w:val="20"/>
          <w:lang w:eastAsia="fr-FR"/>
        </w:rPr>
      </w:pPr>
      <w:r>
        <w:rPr>
          <w:rFonts w:ascii="Verdana" w:hAnsi="Verdana"/>
          <w:noProof/>
          <w:color w:val="91293B"/>
          <w:sz w:val="18"/>
          <w:szCs w:val="18"/>
          <w:lang w:eastAsia="fr-FR"/>
        </w:rPr>
        <w:drawing>
          <wp:inline distT="0" distB="0" distL="0" distR="0" wp14:anchorId="6E725C59" wp14:editId="344DAB9B">
            <wp:extent cx="1844040" cy="807720"/>
            <wp:effectExtent l="0" t="0" r="0" b="0"/>
            <wp:docPr id="6" name="Picture 65" descr="Description: Institut des Actuaires Logo">
              <a:hlinkClick xmlns:a="http://schemas.openxmlformats.org/drawingml/2006/main" r:id="rId8" tooltip="&quo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Institut des Actuaire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040" cy="807720"/>
                    </a:xfrm>
                    <a:prstGeom prst="rect">
                      <a:avLst/>
                    </a:prstGeom>
                    <a:noFill/>
                    <a:ln>
                      <a:noFill/>
                    </a:ln>
                  </pic:spPr>
                </pic:pic>
              </a:graphicData>
            </a:graphic>
          </wp:inline>
        </w:drawing>
      </w:r>
      <w:r>
        <w:tab/>
        <w:t xml:space="preserve">                 </w:t>
      </w:r>
      <w:r>
        <w:rPr>
          <w:rFonts w:ascii="CG Omega" w:hAnsi="CG Omega"/>
          <w:noProof/>
          <w:sz w:val="20"/>
          <w:szCs w:val="20"/>
          <w:lang w:eastAsia="fr-FR"/>
        </w:rPr>
        <w:drawing>
          <wp:inline distT="0" distB="0" distL="0" distR="0" wp14:anchorId="22BD3B18" wp14:editId="5090BCC4">
            <wp:extent cx="1524000" cy="1127760"/>
            <wp:effectExtent l="0" t="0" r="0" b="0"/>
            <wp:docPr id="2" name="Image 2" descr="logo-uc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b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127760"/>
                    </a:xfrm>
                    <a:prstGeom prst="rect">
                      <a:avLst/>
                    </a:prstGeom>
                    <a:noFill/>
                    <a:ln>
                      <a:noFill/>
                    </a:ln>
                  </pic:spPr>
                </pic:pic>
              </a:graphicData>
            </a:graphic>
          </wp:inline>
        </w:drawing>
      </w:r>
      <w:r>
        <w:rPr>
          <w:rFonts w:ascii="CG Omega" w:hAnsi="CG Omega"/>
          <w:sz w:val="20"/>
          <w:szCs w:val="20"/>
          <w:lang w:eastAsia="fr-FR"/>
        </w:rPr>
        <w:t xml:space="preserve">              </w:t>
      </w:r>
      <w:r>
        <w:rPr>
          <w:rFonts w:ascii="Tms Rmn" w:hAnsi="Tms Rmn"/>
          <w:noProof/>
          <w:lang w:eastAsia="fr-FR"/>
        </w:rPr>
        <w:drawing>
          <wp:inline distT="0" distB="0" distL="0" distR="0" wp14:anchorId="5BA69C1E" wp14:editId="21C020D6">
            <wp:extent cx="1303020" cy="4800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3020" cy="480060"/>
                    </a:xfrm>
                    <a:prstGeom prst="rect">
                      <a:avLst/>
                    </a:prstGeom>
                    <a:noFill/>
                    <a:ln>
                      <a:noFill/>
                    </a:ln>
                  </pic:spPr>
                </pic:pic>
              </a:graphicData>
            </a:graphic>
          </wp:inline>
        </w:drawing>
      </w:r>
    </w:p>
    <w:p w14:paraId="114A5FC6" w14:textId="77777777" w:rsidR="00662879" w:rsidRPr="001B0CB8" w:rsidRDefault="00662879" w:rsidP="00260AC0">
      <w:pPr>
        <w:spacing w:line="240" w:lineRule="atLeast"/>
        <w:ind w:left="-397" w:right="-312"/>
        <w:jc w:val="center"/>
        <w:rPr>
          <w:rFonts w:cs="ArialMT"/>
          <w:b/>
          <w:bCs/>
          <w:sz w:val="28"/>
          <w:szCs w:val="28"/>
          <w:lang w:eastAsia="fr-FR" w:bidi="fr-FR"/>
        </w:rPr>
      </w:pPr>
      <w:r w:rsidRPr="001B0CB8">
        <w:rPr>
          <w:b/>
          <w:sz w:val="28"/>
          <w:szCs w:val="20"/>
          <w:lang w:eastAsia="fr-FR"/>
        </w:rPr>
        <w:t>Mémoire présenté</w:t>
      </w:r>
      <w:r w:rsidRPr="001B0CB8">
        <w:rPr>
          <w:sz w:val="28"/>
          <w:szCs w:val="20"/>
          <w:lang w:eastAsia="fr-FR"/>
        </w:rPr>
        <w:t xml:space="preserve"> </w:t>
      </w:r>
      <w:r w:rsidRPr="001B0CB8">
        <w:rPr>
          <w:b/>
          <w:sz w:val="28"/>
          <w:szCs w:val="20"/>
          <w:lang w:eastAsia="fr-FR"/>
        </w:rPr>
        <w:t>le :</w:t>
      </w:r>
      <w:r w:rsidRPr="001B0CB8">
        <w:rPr>
          <w:rFonts w:cs="ArialMT"/>
          <w:b/>
          <w:bCs/>
          <w:sz w:val="28"/>
          <w:szCs w:val="28"/>
          <w:lang w:eastAsia="fr-FR" w:bidi="fr-FR"/>
        </w:rPr>
        <w:t xml:space="preserve"> </w:t>
      </w:r>
    </w:p>
    <w:p w14:paraId="6D48FAAE" w14:textId="77777777" w:rsidR="00662879" w:rsidRPr="001B0CB8" w:rsidRDefault="00662879" w:rsidP="00260AC0">
      <w:pPr>
        <w:spacing w:line="240" w:lineRule="atLeast"/>
        <w:ind w:left="-397" w:right="-312"/>
        <w:jc w:val="center"/>
        <w:rPr>
          <w:sz w:val="28"/>
          <w:szCs w:val="20"/>
          <w:lang w:eastAsia="fr-FR"/>
        </w:rPr>
      </w:pPr>
    </w:p>
    <w:p w14:paraId="23C5D78E" w14:textId="77777777" w:rsidR="00662879" w:rsidRPr="00971FA8" w:rsidRDefault="00662879" w:rsidP="00260AC0">
      <w:pPr>
        <w:spacing w:line="240" w:lineRule="atLeast"/>
        <w:ind w:left="-397" w:right="-312"/>
        <w:jc w:val="center"/>
        <w:rPr>
          <w:b/>
          <w:sz w:val="28"/>
          <w:szCs w:val="20"/>
          <w:lang w:eastAsia="fr-FR"/>
        </w:rPr>
      </w:pPr>
      <w:proofErr w:type="gramStart"/>
      <w:r>
        <w:rPr>
          <w:b/>
          <w:sz w:val="28"/>
          <w:szCs w:val="20"/>
          <w:lang w:eastAsia="fr-FR"/>
        </w:rPr>
        <w:t>pour</w:t>
      </w:r>
      <w:proofErr w:type="gramEnd"/>
      <w:r>
        <w:rPr>
          <w:b/>
          <w:sz w:val="28"/>
          <w:szCs w:val="20"/>
          <w:lang w:eastAsia="fr-FR"/>
        </w:rPr>
        <w:t xml:space="preserve"> l’obtention du </w:t>
      </w:r>
      <w:r>
        <w:rPr>
          <w:b/>
          <w:color w:val="000000"/>
          <w:sz w:val="28"/>
          <w:szCs w:val="20"/>
          <w:lang w:eastAsia="fr-FR"/>
        </w:rPr>
        <w:t>Diplôme Universitaire d’actuariat de l’ISFA</w:t>
      </w:r>
    </w:p>
    <w:p w14:paraId="11CE2912" w14:textId="62B887D5" w:rsidR="00662879" w:rsidRPr="001B0CB8" w:rsidRDefault="00662879" w:rsidP="00662879">
      <w:pPr>
        <w:spacing w:line="240" w:lineRule="atLeast"/>
        <w:ind w:left="-397" w:right="-312"/>
        <w:jc w:val="center"/>
        <w:rPr>
          <w:b/>
          <w:sz w:val="28"/>
          <w:szCs w:val="20"/>
          <w:lang w:eastAsia="fr-FR"/>
        </w:rPr>
      </w:pPr>
      <w:proofErr w:type="gramStart"/>
      <w:r w:rsidRPr="001B0CB8">
        <w:rPr>
          <w:b/>
          <w:sz w:val="28"/>
          <w:szCs w:val="20"/>
          <w:lang w:eastAsia="fr-FR"/>
        </w:rPr>
        <w:t>et</w:t>
      </w:r>
      <w:proofErr w:type="gramEnd"/>
      <w:r w:rsidRPr="001B0CB8">
        <w:rPr>
          <w:b/>
          <w:sz w:val="28"/>
          <w:szCs w:val="20"/>
          <w:lang w:eastAsia="fr-FR"/>
        </w:rPr>
        <w:t xml:space="preserve"> l’admission à l’Institut des Actuaires</w:t>
      </w:r>
    </w:p>
    <w:tbl>
      <w:tblPr>
        <w:tblW w:w="9538" w:type="dxa"/>
        <w:tblLayout w:type="fixed"/>
        <w:tblCellMar>
          <w:left w:w="70" w:type="dxa"/>
          <w:right w:w="70" w:type="dxa"/>
        </w:tblCellMar>
        <w:tblLook w:val="0000" w:firstRow="0" w:lastRow="0" w:firstColumn="0" w:lastColumn="0" w:noHBand="0" w:noVBand="0"/>
      </w:tblPr>
      <w:tblGrid>
        <w:gridCol w:w="927"/>
        <w:gridCol w:w="1082"/>
        <w:gridCol w:w="2085"/>
        <w:gridCol w:w="1093"/>
        <w:gridCol w:w="4330"/>
        <w:gridCol w:w="21"/>
      </w:tblGrid>
      <w:tr w:rsidR="00662879" w:rsidRPr="001B0CB8" w14:paraId="3FFF58F7" w14:textId="77777777" w:rsidTr="00C57E5E">
        <w:trPr>
          <w:trHeight w:val="254"/>
        </w:trPr>
        <w:tc>
          <w:tcPr>
            <w:tcW w:w="927" w:type="dxa"/>
          </w:tcPr>
          <w:p w14:paraId="2D0A6517" w14:textId="77777777" w:rsidR="00662879" w:rsidRPr="00896541" w:rsidRDefault="00662879" w:rsidP="00C57E5E">
            <w:pPr>
              <w:pStyle w:val="Sansinterligne"/>
              <w:rPr>
                <w:lang w:eastAsia="fr-FR"/>
              </w:rPr>
            </w:pPr>
            <w:r w:rsidRPr="001B0CB8">
              <w:rPr>
                <w:lang w:eastAsia="fr-FR"/>
              </w:rPr>
              <w:t>Par :</w:t>
            </w:r>
          </w:p>
        </w:tc>
        <w:tc>
          <w:tcPr>
            <w:tcW w:w="8610" w:type="dxa"/>
            <w:gridSpan w:val="5"/>
            <w:tcBorders>
              <w:bottom w:val="dotted" w:sz="4" w:space="0" w:color="auto"/>
            </w:tcBorders>
          </w:tcPr>
          <w:p w14:paraId="02D4FD20" w14:textId="11E0976E" w:rsidR="00662879" w:rsidRPr="001B0CB8" w:rsidRDefault="00662879" w:rsidP="00C57E5E">
            <w:pPr>
              <w:pStyle w:val="Sansinterligne"/>
              <w:rPr>
                <w:rFonts w:ascii="Verdana" w:hAnsi="Verdana"/>
                <w:lang w:eastAsia="fr-FR"/>
              </w:rPr>
            </w:pPr>
          </w:p>
        </w:tc>
      </w:tr>
      <w:tr w:rsidR="00662879" w:rsidRPr="001B0CB8" w14:paraId="5CC1D039" w14:textId="77777777" w:rsidTr="00C57E5E">
        <w:trPr>
          <w:trHeight w:val="511"/>
        </w:trPr>
        <w:tc>
          <w:tcPr>
            <w:tcW w:w="927" w:type="dxa"/>
          </w:tcPr>
          <w:p w14:paraId="4204D93E" w14:textId="77777777" w:rsidR="00662879" w:rsidRDefault="00662879" w:rsidP="00C57E5E">
            <w:pPr>
              <w:pStyle w:val="Sansinterligne"/>
              <w:rPr>
                <w:rFonts w:ascii="Verdana" w:hAnsi="Verdana"/>
                <w:sz w:val="14"/>
                <w:lang w:eastAsia="fr-FR"/>
              </w:rPr>
            </w:pPr>
          </w:p>
          <w:p w14:paraId="4F0F0460" w14:textId="77777777" w:rsidR="00662879" w:rsidRDefault="00662879" w:rsidP="00C57E5E">
            <w:pPr>
              <w:pStyle w:val="Sansinterligne"/>
              <w:rPr>
                <w:rFonts w:ascii="Verdana" w:hAnsi="Verdana"/>
                <w:sz w:val="14"/>
                <w:lang w:eastAsia="fr-FR"/>
              </w:rPr>
            </w:pPr>
          </w:p>
          <w:p w14:paraId="0E27C373" w14:textId="77777777" w:rsidR="00662879" w:rsidRPr="001B0CB8" w:rsidRDefault="00662879" w:rsidP="00C57E5E">
            <w:pPr>
              <w:pStyle w:val="Sansinterligne"/>
              <w:rPr>
                <w:rFonts w:ascii="Verdana" w:hAnsi="Verdana"/>
                <w:sz w:val="14"/>
                <w:lang w:eastAsia="fr-FR"/>
              </w:rPr>
            </w:pPr>
            <w:r>
              <w:rPr>
                <w:lang w:eastAsia="fr-FR"/>
              </w:rPr>
              <w:t>Titre </w:t>
            </w:r>
          </w:p>
        </w:tc>
        <w:tc>
          <w:tcPr>
            <w:tcW w:w="8610" w:type="dxa"/>
            <w:gridSpan w:val="5"/>
          </w:tcPr>
          <w:p w14:paraId="2681CDD3" w14:textId="77777777" w:rsidR="00662879" w:rsidRPr="001B0CB8" w:rsidRDefault="00662879" w:rsidP="00C57E5E">
            <w:pPr>
              <w:pStyle w:val="Sansinterligne"/>
              <w:rPr>
                <w:rFonts w:ascii="Verdana" w:hAnsi="Verdana"/>
                <w:sz w:val="14"/>
                <w:lang w:eastAsia="fr-FR"/>
              </w:rPr>
            </w:pPr>
          </w:p>
        </w:tc>
      </w:tr>
      <w:tr w:rsidR="00662879" w:rsidRPr="001B0CB8" w14:paraId="65204908" w14:textId="77777777" w:rsidTr="00C57E5E">
        <w:trPr>
          <w:cantSplit/>
          <w:trHeight w:val="334"/>
        </w:trPr>
        <w:tc>
          <w:tcPr>
            <w:tcW w:w="2009" w:type="dxa"/>
            <w:gridSpan w:val="2"/>
          </w:tcPr>
          <w:p w14:paraId="125DF9DE" w14:textId="77777777" w:rsidR="00662879" w:rsidRPr="001B0CB8" w:rsidRDefault="00662879" w:rsidP="00C57E5E">
            <w:pPr>
              <w:pStyle w:val="Sansinterligne"/>
              <w:rPr>
                <w:rFonts w:ascii="Verdana" w:hAnsi="Verdana"/>
                <w:lang w:eastAsia="fr-FR"/>
              </w:rPr>
            </w:pPr>
            <w:r w:rsidRPr="001B0CB8">
              <w:rPr>
                <w:lang w:eastAsia="fr-FR"/>
              </w:rPr>
              <w:t>Confidentialité :</w:t>
            </w:r>
          </w:p>
        </w:tc>
        <w:tc>
          <w:tcPr>
            <w:tcW w:w="7529" w:type="dxa"/>
            <w:gridSpan w:val="4"/>
            <w:tcBorders>
              <w:top w:val="dotted" w:sz="4" w:space="0" w:color="auto"/>
              <w:bottom w:val="dotted" w:sz="4" w:space="0" w:color="auto"/>
            </w:tcBorders>
          </w:tcPr>
          <w:p w14:paraId="3A47875A" w14:textId="77777777" w:rsidR="00662879" w:rsidRPr="001B0CB8" w:rsidRDefault="00662879" w:rsidP="00C57E5E">
            <w:pPr>
              <w:pStyle w:val="Sansinterligne"/>
              <w:rPr>
                <w:rFonts w:ascii="Verdana" w:hAnsi="Verdana"/>
                <w:lang w:eastAsia="fr-FR"/>
              </w:rPr>
            </w:pPr>
            <w:r w:rsidRPr="001B0CB8">
              <w:rPr>
                <w:lang w:eastAsia="fr-FR"/>
              </w:rPr>
              <w:sym w:font="Wingdings" w:char="F06F"/>
            </w:r>
            <w:r w:rsidRPr="001B0CB8">
              <w:rPr>
                <w:lang w:eastAsia="fr-FR"/>
              </w:rPr>
              <w:t xml:space="preserve"> NON</w:t>
            </w:r>
            <w:r w:rsidRPr="001B0CB8">
              <w:rPr>
                <w:lang w:eastAsia="fr-FR"/>
              </w:rPr>
              <w:tab/>
            </w:r>
            <w:r w:rsidRPr="001B0CB8">
              <w:rPr>
                <w:lang w:eastAsia="fr-FR"/>
              </w:rPr>
              <w:sym w:font="Wingdings" w:char="F06F"/>
            </w:r>
            <w:r w:rsidRPr="001B0CB8">
              <w:rPr>
                <w:lang w:eastAsia="fr-FR"/>
              </w:rPr>
              <w:t xml:space="preserve"> OUI (Durée : </w:t>
            </w:r>
            <w:r w:rsidRPr="001B0CB8">
              <w:rPr>
                <w:lang w:eastAsia="fr-FR"/>
              </w:rPr>
              <w:sym w:font="Wingdings" w:char="F06F"/>
            </w:r>
            <w:r w:rsidRPr="001B0CB8">
              <w:rPr>
                <w:lang w:eastAsia="fr-FR"/>
              </w:rPr>
              <w:t xml:space="preserve"> 1 an</w:t>
            </w:r>
            <w:r w:rsidRPr="001B0CB8">
              <w:rPr>
                <w:lang w:eastAsia="fr-FR"/>
              </w:rPr>
              <w:tab/>
            </w:r>
            <w:r w:rsidRPr="001B0CB8">
              <w:rPr>
                <w:lang w:eastAsia="fr-FR"/>
              </w:rPr>
              <w:sym w:font="Wingdings" w:char="F06F"/>
            </w:r>
            <w:r w:rsidRPr="001B0CB8">
              <w:rPr>
                <w:lang w:eastAsia="fr-FR"/>
              </w:rPr>
              <w:t xml:space="preserve"> 2 ans)</w:t>
            </w:r>
          </w:p>
        </w:tc>
      </w:tr>
      <w:tr w:rsidR="00662879" w:rsidRPr="001B0CB8" w14:paraId="3572B8F9" w14:textId="77777777" w:rsidTr="00C57E5E">
        <w:trPr>
          <w:cantSplit/>
          <w:trHeight w:val="250"/>
        </w:trPr>
        <w:tc>
          <w:tcPr>
            <w:tcW w:w="9538" w:type="dxa"/>
            <w:gridSpan w:val="6"/>
          </w:tcPr>
          <w:p w14:paraId="229EA0BC" w14:textId="77777777" w:rsidR="00662879" w:rsidRPr="001B0CB8" w:rsidRDefault="00662879" w:rsidP="00C57E5E">
            <w:pPr>
              <w:pStyle w:val="Sansinterligne"/>
              <w:spacing w:after="100"/>
              <w:rPr>
                <w:lang w:eastAsia="fr-FR"/>
              </w:rPr>
            </w:pPr>
          </w:p>
          <w:p w14:paraId="3A890432" w14:textId="77777777" w:rsidR="00662879" w:rsidRPr="001B0CB8" w:rsidRDefault="00662879" w:rsidP="00C57E5E">
            <w:pPr>
              <w:pStyle w:val="Sansinterligne"/>
              <w:spacing w:after="100"/>
              <w:rPr>
                <w:rFonts w:ascii="Verdana" w:hAnsi="Verdana"/>
                <w:lang w:eastAsia="fr-FR"/>
              </w:rPr>
            </w:pPr>
            <w:r w:rsidRPr="001B0CB8">
              <w:rPr>
                <w:lang w:eastAsia="fr-FR"/>
              </w:rPr>
              <w:t>Les signataires s’engagent à respecter la confidentialité indiquée ci-dessus</w:t>
            </w:r>
            <w:r w:rsidRPr="001B0CB8">
              <w:rPr>
                <w:lang w:eastAsia="fr-FR"/>
              </w:rPr>
              <w:tab/>
            </w:r>
          </w:p>
        </w:tc>
      </w:tr>
      <w:tr w:rsidR="00260AC0" w:rsidRPr="001B0CB8" w14:paraId="782B92C9" w14:textId="77777777" w:rsidTr="00C57E5E">
        <w:trPr>
          <w:gridAfter w:val="1"/>
          <w:wAfter w:w="21" w:type="dxa"/>
          <w:cantSplit/>
          <w:trHeight w:val="508"/>
        </w:trPr>
        <w:tc>
          <w:tcPr>
            <w:tcW w:w="4094" w:type="dxa"/>
            <w:gridSpan w:val="3"/>
          </w:tcPr>
          <w:p w14:paraId="0D2EF4E3" w14:textId="77777777" w:rsidR="00662879" w:rsidRPr="001B0CB8" w:rsidRDefault="00662879" w:rsidP="00C57E5E">
            <w:pPr>
              <w:pStyle w:val="Sansinterligne"/>
              <w:spacing w:after="100"/>
              <w:rPr>
                <w:rFonts w:ascii="Verdana" w:hAnsi="Verdana"/>
                <w:iCs/>
                <w:lang w:eastAsia="fr-FR"/>
              </w:rPr>
            </w:pPr>
            <w:r w:rsidRPr="001B0CB8">
              <w:rPr>
                <w:iCs/>
                <w:lang w:eastAsia="fr-FR"/>
              </w:rPr>
              <w:t>Membre</w:t>
            </w:r>
            <w:r>
              <w:rPr>
                <w:iCs/>
                <w:lang w:eastAsia="fr-FR"/>
              </w:rPr>
              <w:t>s</w:t>
            </w:r>
            <w:r w:rsidRPr="001B0CB8">
              <w:rPr>
                <w:iCs/>
                <w:lang w:eastAsia="fr-FR"/>
              </w:rPr>
              <w:t xml:space="preserve"> présents du jury de l’Institut des Actuaires</w:t>
            </w:r>
          </w:p>
        </w:tc>
        <w:tc>
          <w:tcPr>
            <w:tcW w:w="1093" w:type="dxa"/>
          </w:tcPr>
          <w:p w14:paraId="5D75666E" w14:textId="77777777" w:rsidR="00662879" w:rsidRPr="001B0CB8" w:rsidRDefault="00662879" w:rsidP="00C57E5E">
            <w:pPr>
              <w:pStyle w:val="Sansinterligne"/>
              <w:spacing w:after="100"/>
              <w:rPr>
                <w:rFonts w:ascii="Verdana" w:hAnsi="Verdana"/>
                <w:lang w:eastAsia="fr-FR"/>
              </w:rPr>
            </w:pPr>
            <w:proofErr w:type="gramStart"/>
            <w:r w:rsidRPr="001B0CB8">
              <w:rPr>
                <w:lang w:eastAsia="fr-FR"/>
              </w:rPr>
              <w:t>signature</w:t>
            </w:r>
            <w:proofErr w:type="gramEnd"/>
          </w:p>
        </w:tc>
        <w:tc>
          <w:tcPr>
            <w:tcW w:w="4330" w:type="dxa"/>
          </w:tcPr>
          <w:p w14:paraId="7BE76C1D" w14:textId="77777777" w:rsidR="00662879" w:rsidRPr="001B0CB8" w:rsidRDefault="00662879" w:rsidP="00C57E5E">
            <w:pPr>
              <w:pStyle w:val="Sansinterligne"/>
              <w:spacing w:after="100"/>
              <w:rPr>
                <w:rFonts w:ascii="Verdana" w:hAnsi="Verdana"/>
                <w:lang w:eastAsia="fr-FR"/>
              </w:rPr>
            </w:pPr>
            <w:r w:rsidRPr="001B0CB8">
              <w:rPr>
                <w:lang w:eastAsia="fr-FR"/>
              </w:rPr>
              <w:t>Entreprise :</w:t>
            </w:r>
          </w:p>
        </w:tc>
      </w:tr>
      <w:tr w:rsidR="00260AC0" w:rsidRPr="001B0CB8" w14:paraId="63EFCFFB" w14:textId="77777777" w:rsidTr="00C57E5E">
        <w:trPr>
          <w:gridAfter w:val="1"/>
          <w:wAfter w:w="21" w:type="dxa"/>
          <w:trHeight w:val="108"/>
        </w:trPr>
        <w:tc>
          <w:tcPr>
            <w:tcW w:w="927" w:type="dxa"/>
            <w:tcBorders>
              <w:bottom w:val="dotted" w:sz="4" w:space="0" w:color="auto"/>
            </w:tcBorders>
          </w:tcPr>
          <w:p w14:paraId="3AAB2BC5" w14:textId="77777777" w:rsidR="00662879" w:rsidRPr="001B0CB8" w:rsidRDefault="00662879" w:rsidP="00C57E5E">
            <w:pPr>
              <w:pStyle w:val="Sansinterligne"/>
              <w:spacing w:after="100"/>
              <w:rPr>
                <w:rFonts w:ascii="Verdana" w:hAnsi="Verdana"/>
                <w:lang w:eastAsia="fr-FR"/>
              </w:rPr>
            </w:pPr>
          </w:p>
        </w:tc>
        <w:tc>
          <w:tcPr>
            <w:tcW w:w="3167" w:type="dxa"/>
            <w:gridSpan w:val="2"/>
            <w:tcBorders>
              <w:bottom w:val="dotted" w:sz="4" w:space="0" w:color="auto"/>
            </w:tcBorders>
          </w:tcPr>
          <w:p w14:paraId="53BAFD0E" w14:textId="77777777" w:rsidR="00662879" w:rsidRPr="001B0CB8" w:rsidRDefault="00662879" w:rsidP="00C57E5E">
            <w:pPr>
              <w:pStyle w:val="Sansinterligne"/>
              <w:spacing w:after="100"/>
              <w:rPr>
                <w:rFonts w:ascii="Verdana" w:hAnsi="Verdana"/>
                <w:lang w:eastAsia="fr-FR"/>
              </w:rPr>
            </w:pPr>
          </w:p>
        </w:tc>
        <w:tc>
          <w:tcPr>
            <w:tcW w:w="1093" w:type="dxa"/>
          </w:tcPr>
          <w:p w14:paraId="478AEFC8" w14:textId="77777777" w:rsidR="00662879" w:rsidRPr="001B0CB8" w:rsidRDefault="00662879" w:rsidP="00C57E5E">
            <w:pPr>
              <w:pStyle w:val="Sansinterligne"/>
              <w:spacing w:after="100"/>
              <w:rPr>
                <w:rFonts w:ascii="Verdana" w:hAnsi="Verdana"/>
                <w:lang w:eastAsia="fr-FR"/>
              </w:rPr>
            </w:pPr>
          </w:p>
        </w:tc>
        <w:tc>
          <w:tcPr>
            <w:tcW w:w="4330" w:type="dxa"/>
            <w:tcBorders>
              <w:bottom w:val="dotted" w:sz="4" w:space="0" w:color="auto"/>
            </w:tcBorders>
          </w:tcPr>
          <w:p w14:paraId="381DA280" w14:textId="77777777" w:rsidR="00662879" w:rsidRPr="001B0CB8" w:rsidRDefault="00662879" w:rsidP="00C57E5E">
            <w:pPr>
              <w:pStyle w:val="Sansinterligne"/>
              <w:spacing w:after="100"/>
              <w:rPr>
                <w:rFonts w:ascii="Verdana" w:hAnsi="Verdana"/>
                <w:lang w:eastAsia="fr-FR"/>
              </w:rPr>
            </w:pPr>
            <w:r>
              <w:rPr>
                <w:lang w:eastAsia="fr-FR"/>
              </w:rPr>
              <w:t xml:space="preserve">Nom : </w:t>
            </w:r>
          </w:p>
        </w:tc>
      </w:tr>
      <w:tr w:rsidR="00260AC0" w:rsidRPr="001B0CB8" w14:paraId="345ED3C5" w14:textId="77777777" w:rsidTr="00C57E5E">
        <w:trPr>
          <w:gridAfter w:val="1"/>
          <w:wAfter w:w="21" w:type="dxa"/>
          <w:trHeight w:val="254"/>
        </w:trPr>
        <w:tc>
          <w:tcPr>
            <w:tcW w:w="927" w:type="dxa"/>
            <w:tcBorders>
              <w:top w:val="dotted" w:sz="4" w:space="0" w:color="auto"/>
            </w:tcBorders>
          </w:tcPr>
          <w:p w14:paraId="020AB4F7" w14:textId="77777777" w:rsidR="00662879" w:rsidRPr="001B0CB8" w:rsidRDefault="00662879" w:rsidP="00C57E5E">
            <w:pPr>
              <w:pStyle w:val="Sansinterligne"/>
              <w:spacing w:after="100"/>
              <w:rPr>
                <w:rFonts w:ascii="Verdana" w:hAnsi="Verdana"/>
                <w:lang w:eastAsia="fr-FR"/>
              </w:rPr>
            </w:pPr>
          </w:p>
        </w:tc>
        <w:tc>
          <w:tcPr>
            <w:tcW w:w="3167" w:type="dxa"/>
            <w:gridSpan w:val="2"/>
            <w:tcBorders>
              <w:top w:val="dotted" w:sz="4" w:space="0" w:color="auto"/>
            </w:tcBorders>
          </w:tcPr>
          <w:p w14:paraId="6FCD26F8" w14:textId="77777777" w:rsidR="00662879" w:rsidRPr="001B0CB8" w:rsidRDefault="00662879" w:rsidP="00C57E5E">
            <w:pPr>
              <w:pStyle w:val="Sansinterligne"/>
              <w:spacing w:after="100"/>
              <w:rPr>
                <w:rFonts w:ascii="Verdana" w:hAnsi="Verdana"/>
                <w:lang w:eastAsia="fr-FR"/>
              </w:rPr>
            </w:pPr>
          </w:p>
        </w:tc>
        <w:tc>
          <w:tcPr>
            <w:tcW w:w="1093" w:type="dxa"/>
          </w:tcPr>
          <w:p w14:paraId="2C5CDDA0" w14:textId="77777777" w:rsidR="00662879" w:rsidRPr="001B0CB8" w:rsidRDefault="00662879" w:rsidP="00C57E5E">
            <w:pPr>
              <w:pStyle w:val="Sansinterligne"/>
              <w:spacing w:after="100"/>
              <w:rPr>
                <w:rFonts w:ascii="Verdana" w:hAnsi="Verdana"/>
                <w:lang w:eastAsia="fr-FR"/>
              </w:rPr>
            </w:pPr>
          </w:p>
        </w:tc>
        <w:tc>
          <w:tcPr>
            <w:tcW w:w="4330" w:type="dxa"/>
            <w:tcBorders>
              <w:top w:val="dotted" w:sz="4" w:space="0" w:color="auto"/>
              <w:bottom w:val="dotted" w:sz="4" w:space="0" w:color="auto"/>
            </w:tcBorders>
          </w:tcPr>
          <w:p w14:paraId="01AF1254" w14:textId="77777777" w:rsidR="00662879" w:rsidRPr="001B0CB8" w:rsidRDefault="00662879" w:rsidP="00C57E5E">
            <w:pPr>
              <w:pStyle w:val="Sansinterligne"/>
              <w:spacing w:after="100"/>
              <w:rPr>
                <w:rFonts w:ascii="Verdana" w:hAnsi="Verdana"/>
                <w:lang w:eastAsia="fr-FR"/>
              </w:rPr>
            </w:pPr>
            <w:r w:rsidRPr="001B0CB8">
              <w:rPr>
                <w:lang w:eastAsia="fr-FR"/>
              </w:rPr>
              <w:t>Signature :</w:t>
            </w:r>
          </w:p>
        </w:tc>
      </w:tr>
      <w:tr w:rsidR="00260AC0" w:rsidRPr="001B0CB8" w14:paraId="02590965" w14:textId="77777777" w:rsidTr="00C57E5E">
        <w:trPr>
          <w:gridAfter w:val="1"/>
          <w:wAfter w:w="21" w:type="dxa"/>
          <w:trHeight w:val="254"/>
        </w:trPr>
        <w:tc>
          <w:tcPr>
            <w:tcW w:w="4094" w:type="dxa"/>
            <w:gridSpan w:val="3"/>
          </w:tcPr>
          <w:p w14:paraId="34EEE956" w14:textId="77777777" w:rsidR="00662879" w:rsidRPr="001B0CB8" w:rsidRDefault="00662879" w:rsidP="00C57E5E">
            <w:pPr>
              <w:pStyle w:val="Sansinterligne"/>
              <w:spacing w:after="100"/>
              <w:rPr>
                <w:rFonts w:ascii="Verdana" w:hAnsi="Verdana"/>
                <w:lang w:eastAsia="fr-FR"/>
              </w:rPr>
            </w:pPr>
            <w:r w:rsidRPr="001B0CB8">
              <w:rPr>
                <w:lang w:eastAsia="fr-FR"/>
              </w:rPr>
              <w:t>Membr</w:t>
            </w:r>
            <w:r>
              <w:rPr>
                <w:lang w:eastAsia="fr-FR"/>
              </w:rPr>
              <w:t>es présents du jury de l’ISFA</w:t>
            </w:r>
          </w:p>
        </w:tc>
        <w:tc>
          <w:tcPr>
            <w:tcW w:w="1093" w:type="dxa"/>
          </w:tcPr>
          <w:p w14:paraId="4C7A5EA2" w14:textId="77777777" w:rsidR="00662879" w:rsidRPr="001B0CB8" w:rsidRDefault="00662879" w:rsidP="00C57E5E">
            <w:pPr>
              <w:pStyle w:val="Sansinterligne"/>
              <w:spacing w:after="100"/>
              <w:rPr>
                <w:rFonts w:ascii="Verdana" w:hAnsi="Verdana"/>
                <w:lang w:eastAsia="fr-FR"/>
              </w:rPr>
            </w:pPr>
          </w:p>
        </w:tc>
        <w:tc>
          <w:tcPr>
            <w:tcW w:w="4330" w:type="dxa"/>
            <w:tcBorders>
              <w:top w:val="dotted" w:sz="4" w:space="0" w:color="auto"/>
            </w:tcBorders>
          </w:tcPr>
          <w:p w14:paraId="0D8D5741" w14:textId="77777777" w:rsidR="00662879" w:rsidRPr="001B0CB8" w:rsidRDefault="00662879" w:rsidP="00C57E5E">
            <w:pPr>
              <w:pStyle w:val="Sansinterligne"/>
              <w:spacing w:after="100"/>
              <w:rPr>
                <w:rFonts w:ascii="Verdana" w:hAnsi="Verdana"/>
                <w:lang w:eastAsia="fr-FR"/>
              </w:rPr>
            </w:pPr>
            <w:r w:rsidRPr="001B0CB8">
              <w:rPr>
                <w:lang w:eastAsia="fr-FR"/>
              </w:rPr>
              <w:t xml:space="preserve">Directeur de mémoire en entreprise : </w:t>
            </w:r>
          </w:p>
        </w:tc>
      </w:tr>
      <w:tr w:rsidR="00260AC0" w:rsidRPr="001B0CB8" w14:paraId="0D5E9E1A" w14:textId="77777777" w:rsidTr="00C57E5E">
        <w:trPr>
          <w:gridAfter w:val="1"/>
          <w:wAfter w:w="21" w:type="dxa"/>
          <w:trHeight w:val="254"/>
        </w:trPr>
        <w:tc>
          <w:tcPr>
            <w:tcW w:w="927" w:type="dxa"/>
          </w:tcPr>
          <w:p w14:paraId="2CCA24AF"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61EE21DF" w14:textId="77777777" w:rsidR="00662879" w:rsidRPr="001B0CB8" w:rsidRDefault="00662879" w:rsidP="00C57E5E">
            <w:pPr>
              <w:pStyle w:val="Sansinterligne"/>
              <w:spacing w:after="100"/>
              <w:rPr>
                <w:rFonts w:ascii="Verdana" w:hAnsi="Verdana"/>
                <w:lang w:eastAsia="fr-FR"/>
              </w:rPr>
            </w:pPr>
          </w:p>
        </w:tc>
        <w:tc>
          <w:tcPr>
            <w:tcW w:w="1093" w:type="dxa"/>
          </w:tcPr>
          <w:p w14:paraId="07963FC2" w14:textId="77777777" w:rsidR="00662879" w:rsidRPr="001B0CB8" w:rsidRDefault="00662879" w:rsidP="00C57E5E">
            <w:pPr>
              <w:pStyle w:val="Sansinterligne"/>
              <w:spacing w:after="100"/>
              <w:rPr>
                <w:rFonts w:ascii="Verdana" w:hAnsi="Verdana"/>
                <w:lang w:eastAsia="fr-FR"/>
              </w:rPr>
            </w:pPr>
          </w:p>
        </w:tc>
        <w:tc>
          <w:tcPr>
            <w:tcW w:w="4330" w:type="dxa"/>
            <w:tcBorders>
              <w:bottom w:val="dotted" w:sz="4" w:space="0" w:color="auto"/>
            </w:tcBorders>
          </w:tcPr>
          <w:p w14:paraId="2A189D7D" w14:textId="77777777" w:rsidR="00662879" w:rsidRPr="001B0CB8" w:rsidRDefault="00662879" w:rsidP="00C57E5E">
            <w:pPr>
              <w:pStyle w:val="Sansinterligne"/>
              <w:spacing w:after="100"/>
              <w:rPr>
                <w:rFonts w:ascii="Verdana" w:hAnsi="Verdana"/>
                <w:lang w:eastAsia="fr-FR"/>
              </w:rPr>
            </w:pPr>
            <w:r w:rsidRPr="001B0CB8">
              <w:rPr>
                <w:lang w:eastAsia="fr-FR"/>
              </w:rPr>
              <w:t>Nom :</w:t>
            </w:r>
            <w:r>
              <w:rPr>
                <w:lang w:eastAsia="fr-FR"/>
              </w:rPr>
              <w:t xml:space="preserve"> </w:t>
            </w:r>
          </w:p>
        </w:tc>
      </w:tr>
      <w:tr w:rsidR="00260AC0" w:rsidRPr="001B0CB8" w14:paraId="7C5168BC" w14:textId="77777777" w:rsidTr="00C57E5E">
        <w:trPr>
          <w:gridAfter w:val="1"/>
          <w:wAfter w:w="21" w:type="dxa"/>
          <w:trHeight w:val="254"/>
        </w:trPr>
        <w:tc>
          <w:tcPr>
            <w:tcW w:w="927" w:type="dxa"/>
          </w:tcPr>
          <w:p w14:paraId="01E40F2F"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25273958" w14:textId="77777777" w:rsidR="00662879" w:rsidRPr="001B0CB8" w:rsidRDefault="00662879" w:rsidP="00C57E5E">
            <w:pPr>
              <w:pStyle w:val="Sansinterligne"/>
              <w:spacing w:after="100"/>
              <w:rPr>
                <w:rFonts w:ascii="Verdana" w:hAnsi="Verdana"/>
                <w:lang w:eastAsia="fr-FR"/>
              </w:rPr>
            </w:pPr>
          </w:p>
        </w:tc>
        <w:tc>
          <w:tcPr>
            <w:tcW w:w="1093" w:type="dxa"/>
          </w:tcPr>
          <w:p w14:paraId="6CCFB272" w14:textId="77777777" w:rsidR="00662879" w:rsidRPr="001B0CB8" w:rsidRDefault="00662879" w:rsidP="00C57E5E">
            <w:pPr>
              <w:pStyle w:val="Sansinterligne"/>
              <w:spacing w:after="100"/>
              <w:rPr>
                <w:rFonts w:ascii="Verdana" w:hAnsi="Verdana"/>
                <w:lang w:eastAsia="fr-FR"/>
              </w:rPr>
            </w:pPr>
          </w:p>
        </w:tc>
        <w:tc>
          <w:tcPr>
            <w:tcW w:w="4330" w:type="dxa"/>
            <w:tcBorders>
              <w:top w:val="dotted" w:sz="4" w:space="0" w:color="auto"/>
            </w:tcBorders>
          </w:tcPr>
          <w:p w14:paraId="76FDA936" w14:textId="77777777" w:rsidR="00662879" w:rsidRPr="001B0CB8" w:rsidRDefault="00662879" w:rsidP="00C57E5E">
            <w:pPr>
              <w:pStyle w:val="Sansinterligne"/>
              <w:spacing w:after="100"/>
              <w:rPr>
                <w:rFonts w:ascii="Verdana" w:hAnsi="Verdana"/>
                <w:lang w:eastAsia="fr-FR"/>
              </w:rPr>
            </w:pPr>
            <w:r w:rsidRPr="001B0CB8">
              <w:rPr>
                <w:lang w:eastAsia="fr-FR"/>
              </w:rPr>
              <w:t>Signature :</w:t>
            </w:r>
          </w:p>
        </w:tc>
      </w:tr>
      <w:tr w:rsidR="00260AC0" w:rsidRPr="001B0CB8" w14:paraId="3411D811" w14:textId="77777777" w:rsidTr="00C57E5E">
        <w:trPr>
          <w:gridAfter w:val="1"/>
          <w:wAfter w:w="21" w:type="dxa"/>
          <w:trHeight w:val="108"/>
        </w:trPr>
        <w:tc>
          <w:tcPr>
            <w:tcW w:w="927" w:type="dxa"/>
          </w:tcPr>
          <w:p w14:paraId="5A2BF8B2"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63F09D01" w14:textId="77777777" w:rsidR="00662879" w:rsidRPr="001B0CB8" w:rsidRDefault="00662879" w:rsidP="00C57E5E">
            <w:pPr>
              <w:pStyle w:val="Sansinterligne"/>
              <w:spacing w:after="100"/>
              <w:rPr>
                <w:rFonts w:ascii="Verdana" w:hAnsi="Verdana"/>
                <w:lang w:eastAsia="fr-FR"/>
              </w:rPr>
            </w:pPr>
          </w:p>
        </w:tc>
        <w:tc>
          <w:tcPr>
            <w:tcW w:w="1093" w:type="dxa"/>
          </w:tcPr>
          <w:p w14:paraId="20C40F20" w14:textId="77777777" w:rsidR="00662879" w:rsidRPr="001B0CB8" w:rsidRDefault="00662879" w:rsidP="00C57E5E">
            <w:pPr>
              <w:pStyle w:val="Sansinterligne"/>
              <w:spacing w:after="100"/>
              <w:rPr>
                <w:rFonts w:ascii="Verdana" w:hAnsi="Verdana"/>
                <w:lang w:eastAsia="fr-FR"/>
              </w:rPr>
            </w:pPr>
          </w:p>
        </w:tc>
        <w:tc>
          <w:tcPr>
            <w:tcW w:w="4330" w:type="dxa"/>
          </w:tcPr>
          <w:p w14:paraId="1C84F759" w14:textId="77777777" w:rsidR="00662879" w:rsidRPr="001B0CB8" w:rsidRDefault="00662879" w:rsidP="00C57E5E">
            <w:pPr>
              <w:pStyle w:val="Sansinterligne"/>
              <w:spacing w:after="100"/>
              <w:rPr>
                <w:rFonts w:ascii="Verdana" w:hAnsi="Verdana"/>
                <w:lang w:eastAsia="fr-FR"/>
              </w:rPr>
            </w:pPr>
            <w:r w:rsidRPr="001B0CB8">
              <w:rPr>
                <w:lang w:eastAsia="fr-FR"/>
              </w:rPr>
              <w:t>Invité :</w:t>
            </w:r>
          </w:p>
        </w:tc>
      </w:tr>
      <w:tr w:rsidR="00260AC0" w:rsidRPr="001B0CB8" w14:paraId="20B5378B" w14:textId="77777777" w:rsidTr="00C57E5E">
        <w:trPr>
          <w:gridAfter w:val="1"/>
          <w:wAfter w:w="21" w:type="dxa"/>
          <w:trHeight w:val="254"/>
        </w:trPr>
        <w:tc>
          <w:tcPr>
            <w:tcW w:w="927" w:type="dxa"/>
          </w:tcPr>
          <w:p w14:paraId="2B9AC9A3"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6C36344D" w14:textId="77777777" w:rsidR="00662879" w:rsidRPr="001B0CB8" w:rsidRDefault="00662879" w:rsidP="00C57E5E">
            <w:pPr>
              <w:pStyle w:val="Sansinterligne"/>
              <w:spacing w:after="100"/>
              <w:rPr>
                <w:rFonts w:ascii="Verdana" w:hAnsi="Verdana"/>
                <w:lang w:eastAsia="fr-FR"/>
              </w:rPr>
            </w:pPr>
          </w:p>
        </w:tc>
        <w:tc>
          <w:tcPr>
            <w:tcW w:w="1093" w:type="dxa"/>
          </w:tcPr>
          <w:p w14:paraId="76814FC0" w14:textId="77777777" w:rsidR="00662879" w:rsidRPr="001B0CB8" w:rsidRDefault="00662879" w:rsidP="00C57E5E">
            <w:pPr>
              <w:pStyle w:val="Sansinterligne"/>
              <w:spacing w:after="100"/>
              <w:rPr>
                <w:rFonts w:ascii="Verdana" w:hAnsi="Verdana"/>
                <w:lang w:eastAsia="fr-FR"/>
              </w:rPr>
            </w:pPr>
          </w:p>
        </w:tc>
        <w:tc>
          <w:tcPr>
            <w:tcW w:w="4330" w:type="dxa"/>
            <w:tcBorders>
              <w:top w:val="dotted" w:sz="4" w:space="0" w:color="auto"/>
              <w:bottom w:val="dotted" w:sz="4" w:space="0" w:color="auto"/>
            </w:tcBorders>
          </w:tcPr>
          <w:p w14:paraId="59DD7A99" w14:textId="77777777" w:rsidR="00662879" w:rsidRPr="001B0CB8" w:rsidRDefault="00662879" w:rsidP="00C57E5E">
            <w:pPr>
              <w:pStyle w:val="Sansinterligne"/>
              <w:spacing w:after="100"/>
              <w:rPr>
                <w:rFonts w:ascii="Verdana" w:hAnsi="Verdana"/>
                <w:lang w:eastAsia="fr-FR"/>
              </w:rPr>
            </w:pPr>
            <w:r w:rsidRPr="001B0CB8">
              <w:rPr>
                <w:lang w:eastAsia="fr-FR"/>
              </w:rPr>
              <w:t>Nom :</w:t>
            </w:r>
          </w:p>
        </w:tc>
      </w:tr>
      <w:tr w:rsidR="00260AC0" w:rsidRPr="001B0CB8" w14:paraId="07B29E20" w14:textId="77777777" w:rsidTr="00C57E5E">
        <w:trPr>
          <w:gridAfter w:val="1"/>
          <w:wAfter w:w="21" w:type="dxa"/>
          <w:trHeight w:val="254"/>
        </w:trPr>
        <w:tc>
          <w:tcPr>
            <w:tcW w:w="927" w:type="dxa"/>
          </w:tcPr>
          <w:p w14:paraId="6320A1EA"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75F086B7" w14:textId="77777777" w:rsidR="00662879" w:rsidRPr="001B0CB8" w:rsidRDefault="00662879" w:rsidP="00C57E5E">
            <w:pPr>
              <w:pStyle w:val="Sansinterligne"/>
              <w:spacing w:after="100"/>
              <w:rPr>
                <w:rFonts w:ascii="Verdana" w:hAnsi="Verdana"/>
                <w:lang w:eastAsia="fr-FR"/>
              </w:rPr>
            </w:pPr>
          </w:p>
        </w:tc>
        <w:tc>
          <w:tcPr>
            <w:tcW w:w="1093" w:type="dxa"/>
          </w:tcPr>
          <w:p w14:paraId="276D0C39" w14:textId="77777777" w:rsidR="00662879" w:rsidRPr="001B0CB8" w:rsidRDefault="00662879" w:rsidP="00C57E5E">
            <w:pPr>
              <w:pStyle w:val="Sansinterligne"/>
              <w:spacing w:after="100"/>
              <w:rPr>
                <w:rFonts w:ascii="Verdana" w:hAnsi="Verdana"/>
                <w:lang w:eastAsia="fr-FR"/>
              </w:rPr>
            </w:pPr>
          </w:p>
        </w:tc>
        <w:tc>
          <w:tcPr>
            <w:tcW w:w="4330" w:type="dxa"/>
            <w:tcBorders>
              <w:top w:val="dotted" w:sz="4" w:space="0" w:color="auto"/>
            </w:tcBorders>
          </w:tcPr>
          <w:p w14:paraId="1D7AB65C" w14:textId="77777777" w:rsidR="00662879" w:rsidRPr="001B0CB8" w:rsidRDefault="00662879" w:rsidP="00C57E5E">
            <w:pPr>
              <w:pStyle w:val="Sansinterligne"/>
              <w:spacing w:after="100"/>
              <w:rPr>
                <w:rFonts w:ascii="Verdana" w:hAnsi="Verdana"/>
                <w:lang w:eastAsia="fr-FR"/>
              </w:rPr>
            </w:pPr>
            <w:r w:rsidRPr="001B0CB8">
              <w:rPr>
                <w:lang w:eastAsia="fr-FR"/>
              </w:rPr>
              <w:t>Signature :</w:t>
            </w:r>
          </w:p>
        </w:tc>
      </w:tr>
      <w:tr w:rsidR="00260AC0" w:rsidRPr="001B0CB8" w14:paraId="7EF780E8" w14:textId="77777777" w:rsidTr="00C57E5E">
        <w:trPr>
          <w:gridAfter w:val="1"/>
          <w:wAfter w:w="21" w:type="dxa"/>
          <w:trHeight w:val="254"/>
        </w:trPr>
        <w:tc>
          <w:tcPr>
            <w:tcW w:w="927" w:type="dxa"/>
          </w:tcPr>
          <w:p w14:paraId="6A68D5AA"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52D9C2C2" w14:textId="77777777" w:rsidR="00662879" w:rsidRPr="001B0CB8" w:rsidRDefault="00662879" w:rsidP="00C57E5E">
            <w:pPr>
              <w:pStyle w:val="Sansinterligne"/>
              <w:spacing w:after="100"/>
              <w:rPr>
                <w:rFonts w:ascii="Verdana" w:hAnsi="Verdana"/>
                <w:lang w:eastAsia="fr-FR"/>
              </w:rPr>
            </w:pPr>
          </w:p>
        </w:tc>
        <w:tc>
          <w:tcPr>
            <w:tcW w:w="1093" w:type="dxa"/>
          </w:tcPr>
          <w:p w14:paraId="07116AD1" w14:textId="77777777" w:rsidR="00662879" w:rsidRPr="001B0CB8" w:rsidRDefault="00662879" w:rsidP="00C57E5E">
            <w:pPr>
              <w:pStyle w:val="Sansinterligne"/>
              <w:spacing w:after="100"/>
              <w:rPr>
                <w:rFonts w:ascii="Verdana" w:hAnsi="Verdana"/>
                <w:lang w:eastAsia="fr-FR"/>
              </w:rPr>
            </w:pPr>
          </w:p>
        </w:tc>
        <w:tc>
          <w:tcPr>
            <w:tcW w:w="4330" w:type="dxa"/>
            <w:vMerge w:val="restart"/>
          </w:tcPr>
          <w:p w14:paraId="423B7B57" w14:textId="77777777" w:rsidR="00662879" w:rsidRPr="001B0CB8" w:rsidRDefault="00662879" w:rsidP="00C57E5E">
            <w:pPr>
              <w:pStyle w:val="Sansinterligne"/>
              <w:spacing w:after="100"/>
              <w:rPr>
                <w:rFonts w:ascii="Verdana" w:hAnsi="Verdana"/>
                <w:lang w:eastAsia="fr-FR"/>
              </w:rPr>
            </w:pPr>
            <w:r w:rsidRPr="001B0CB8">
              <w:rPr>
                <w:b/>
                <w:lang w:eastAsia="fr-FR"/>
              </w:rPr>
              <w:t>Autorisation de publication et de mise en ligne sur un site de diffusion de documents actuariels</w:t>
            </w:r>
            <w:r w:rsidRPr="001B0CB8">
              <w:rPr>
                <w:lang w:eastAsia="fr-FR"/>
              </w:rPr>
              <w:t xml:space="preserve"> (après expiration de l’éventuel délai de confidentialité)</w:t>
            </w:r>
          </w:p>
        </w:tc>
      </w:tr>
      <w:tr w:rsidR="00260AC0" w:rsidRPr="001B0CB8" w14:paraId="74666232" w14:textId="77777777" w:rsidTr="00C57E5E">
        <w:trPr>
          <w:gridAfter w:val="1"/>
          <w:wAfter w:w="21" w:type="dxa"/>
          <w:trHeight w:val="234"/>
        </w:trPr>
        <w:tc>
          <w:tcPr>
            <w:tcW w:w="927" w:type="dxa"/>
          </w:tcPr>
          <w:p w14:paraId="78194F58"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7E05E7F7" w14:textId="77777777" w:rsidR="00662879" w:rsidRPr="001B0CB8" w:rsidRDefault="00662879" w:rsidP="00C57E5E">
            <w:pPr>
              <w:pStyle w:val="Sansinterligne"/>
              <w:spacing w:after="100"/>
              <w:rPr>
                <w:rFonts w:ascii="Verdana" w:hAnsi="Verdana"/>
                <w:lang w:eastAsia="fr-FR"/>
              </w:rPr>
            </w:pPr>
          </w:p>
        </w:tc>
        <w:tc>
          <w:tcPr>
            <w:tcW w:w="1093" w:type="dxa"/>
          </w:tcPr>
          <w:p w14:paraId="43A0D874" w14:textId="77777777" w:rsidR="00662879" w:rsidRPr="001B0CB8" w:rsidRDefault="00662879" w:rsidP="00C57E5E">
            <w:pPr>
              <w:pStyle w:val="Sansinterligne"/>
              <w:spacing w:after="100"/>
              <w:rPr>
                <w:rFonts w:ascii="Verdana" w:hAnsi="Verdana"/>
                <w:lang w:eastAsia="fr-FR"/>
              </w:rPr>
            </w:pPr>
          </w:p>
        </w:tc>
        <w:tc>
          <w:tcPr>
            <w:tcW w:w="4330" w:type="dxa"/>
            <w:vMerge/>
          </w:tcPr>
          <w:p w14:paraId="0C9CBF5F" w14:textId="77777777" w:rsidR="00662879" w:rsidRPr="001B0CB8" w:rsidRDefault="00662879" w:rsidP="00C57E5E">
            <w:pPr>
              <w:pStyle w:val="Sansinterligne"/>
              <w:spacing w:after="100"/>
              <w:rPr>
                <w:rFonts w:ascii="Verdana" w:hAnsi="Verdana"/>
                <w:lang w:eastAsia="fr-FR"/>
              </w:rPr>
            </w:pPr>
          </w:p>
        </w:tc>
      </w:tr>
      <w:tr w:rsidR="00260AC0" w:rsidRPr="001B0CB8" w14:paraId="5661F383" w14:textId="77777777" w:rsidTr="00C57E5E">
        <w:trPr>
          <w:gridAfter w:val="1"/>
          <w:wAfter w:w="21" w:type="dxa"/>
          <w:trHeight w:val="201"/>
        </w:trPr>
        <w:tc>
          <w:tcPr>
            <w:tcW w:w="927" w:type="dxa"/>
          </w:tcPr>
          <w:p w14:paraId="16D20B55"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13097667" w14:textId="77777777" w:rsidR="00662879" w:rsidRPr="001B0CB8" w:rsidRDefault="00662879" w:rsidP="00C57E5E">
            <w:pPr>
              <w:pStyle w:val="Sansinterligne"/>
              <w:spacing w:after="100"/>
              <w:rPr>
                <w:rFonts w:ascii="Verdana" w:hAnsi="Verdana"/>
                <w:lang w:eastAsia="fr-FR"/>
              </w:rPr>
            </w:pPr>
          </w:p>
        </w:tc>
        <w:tc>
          <w:tcPr>
            <w:tcW w:w="1093" w:type="dxa"/>
          </w:tcPr>
          <w:p w14:paraId="6D0FFB92" w14:textId="77777777" w:rsidR="00662879" w:rsidRPr="001B0CB8" w:rsidRDefault="00662879" w:rsidP="00C57E5E">
            <w:pPr>
              <w:pStyle w:val="Sansinterligne"/>
              <w:spacing w:after="100"/>
              <w:rPr>
                <w:rFonts w:ascii="Verdana" w:hAnsi="Verdana"/>
                <w:lang w:eastAsia="fr-FR"/>
              </w:rPr>
            </w:pPr>
          </w:p>
        </w:tc>
        <w:tc>
          <w:tcPr>
            <w:tcW w:w="4330" w:type="dxa"/>
            <w:vMerge/>
          </w:tcPr>
          <w:p w14:paraId="19330C0C" w14:textId="77777777" w:rsidR="00662879" w:rsidRPr="001B0CB8" w:rsidRDefault="00662879" w:rsidP="00C57E5E">
            <w:pPr>
              <w:pStyle w:val="Sansinterligne"/>
              <w:spacing w:after="100"/>
              <w:rPr>
                <w:rFonts w:ascii="Verdana" w:hAnsi="Verdana"/>
                <w:lang w:eastAsia="fr-FR"/>
              </w:rPr>
            </w:pPr>
          </w:p>
        </w:tc>
      </w:tr>
      <w:tr w:rsidR="00260AC0" w:rsidRPr="001B0CB8" w14:paraId="5314388E" w14:textId="77777777" w:rsidTr="00C57E5E">
        <w:trPr>
          <w:gridAfter w:val="1"/>
          <w:wAfter w:w="21" w:type="dxa"/>
          <w:trHeight w:val="234"/>
        </w:trPr>
        <w:tc>
          <w:tcPr>
            <w:tcW w:w="927" w:type="dxa"/>
          </w:tcPr>
          <w:p w14:paraId="06C7C98D"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398BDB59" w14:textId="77777777" w:rsidR="00662879" w:rsidRPr="001B0CB8" w:rsidRDefault="00662879" w:rsidP="00C57E5E">
            <w:pPr>
              <w:pStyle w:val="Sansinterligne"/>
              <w:spacing w:after="100"/>
              <w:rPr>
                <w:rFonts w:ascii="Verdana" w:hAnsi="Verdana"/>
                <w:lang w:eastAsia="fr-FR"/>
              </w:rPr>
            </w:pPr>
          </w:p>
        </w:tc>
        <w:tc>
          <w:tcPr>
            <w:tcW w:w="1093" w:type="dxa"/>
          </w:tcPr>
          <w:p w14:paraId="456AB6DB" w14:textId="77777777" w:rsidR="00662879" w:rsidRPr="001B0CB8" w:rsidRDefault="00662879" w:rsidP="00C57E5E">
            <w:pPr>
              <w:pStyle w:val="Sansinterligne"/>
              <w:spacing w:after="100"/>
              <w:rPr>
                <w:rFonts w:ascii="Verdana" w:hAnsi="Verdana"/>
                <w:lang w:eastAsia="fr-FR"/>
              </w:rPr>
            </w:pPr>
          </w:p>
        </w:tc>
        <w:tc>
          <w:tcPr>
            <w:tcW w:w="4330" w:type="dxa"/>
            <w:vMerge/>
          </w:tcPr>
          <w:p w14:paraId="29F5BB03" w14:textId="77777777" w:rsidR="00662879" w:rsidRPr="001B0CB8" w:rsidRDefault="00662879" w:rsidP="00C57E5E">
            <w:pPr>
              <w:pStyle w:val="Sansinterligne"/>
              <w:spacing w:after="100"/>
              <w:rPr>
                <w:rFonts w:ascii="Verdana" w:hAnsi="Verdana"/>
                <w:lang w:eastAsia="fr-FR"/>
              </w:rPr>
            </w:pPr>
          </w:p>
        </w:tc>
      </w:tr>
      <w:tr w:rsidR="00260AC0" w:rsidRPr="001B0CB8" w14:paraId="12E7556D" w14:textId="77777777" w:rsidTr="00C57E5E">
        <w:trPr>
          <w:gridAfter w:val="1"/>
          <w:wAfter w:w="21" w:type="dxa"/>
          <w:trHeight w:val="254"/>
        </w:trPr>
        <w:tc>
          <w:tcPr>
            <w:tcW w:w="927" w:type="dxa"/>
          </w:tcPr>
          <w:p w14:paraId="49CA90F4"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7B27B3A8" w14:textId="77777777" w:rsidR="00662879" w:rsidRPr="001B0CB8" w:rsidRDefault="00662879" w:rsidP="00C57E5E">
            <w:pPr>
              <w:pStyle w:val="Sansinterligne"/>
              <w:spacing w:after="100"/>
              <w:rPr>
                <w:rFonts w:ascii="Verdana" w:hAnsi="Verdana"/>
                <w:lang w:eastAsia="fr-FR"/>
              </w:rPr>
            </w:pPr>
          </w:p>
        </w:tc>
        <w:tc>
          <w:tcPr>
            <w:tcW w:w="1093" w:type="dxa"/>
          </w:tcPr>
          <w:p w14:paraId="3D243E20" w14:textId="77777777" w:rsidR="00662879" w:rsidRPr="001B0CB8" w:rsidRDefault="00662879" w:rsidP="00C57E5E">
            <w:pPr>
              <w:pStyle w:val="Sansinterligne"/>
              <w:spacing w:after="100"/>
              <w:rPr>
                <w:rFonts w:ascii="Verdana" w:hAnsi="Verdana"/>
                <w:lang w:eastAsia="fr-FR"/>
              </w:rPr>
            </w:pPr>
          </w:p>
        </w:tc>
        <w:tc>
          <w:tcPr>
            <w:tcW w:w="4330" w:type="dxa"/>
            <w:tcBorders>
              <w:bottom w:val="single" w:sz="4" w:space="0" w:color="auto"/>
            </w:tcBorders>
          </w:tcPr>
          <w:p w14:paraId="32702279" w14:textId="77777777" w:rsidR="00662879" w:rsidRPr="001B0CB8" w:rsidRDefault="00662879" w:rsidP="00C57E5E">
            <w:pPr>
              <w:pStyle w:val="Sansinterligne"/>
              <w:spacing w:after="100"/>
              <w:rPr>
                <w:rFonts w:ascii="Verdana" w:hAnsi="Verdana"/>
                <w:lang w:eastAsia="fr-FR"/>
              </w:rPr>
            </w:pPr>
            <w:r w:rsidRPr="001B0CB8">
              <w:rPr>
                <w:lang w:eastAsia="fr-FR"/>
              </w:rPr>
              <w:t>Signature du responsable entreprise</w:t>
            </w:r>
          </w:p>
        </w:tc>
      </w:tr>
      <w:tr w:rsidR="00260AC0" w:rsidRPr="001B0CB8" w14:paraId="7330E454" w14:textId="77777777" w:rsidTr="00C57E5E">
        <w:trPr>
          <w:gridAfter w:val="1"/>
          <w:wAfter w:w="21" w:type="dxa"/>
          <w:trHeight w:val="254"/>
        </w:trPr>
        <w:tc>
          <w:tcPr>
            <w:tcW w:w="927" w:type="dxa"/>
          </w:tcPr>
          <w:p w14:paraId="4FC4E56D"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4FA27497" w14:textId="77777777" w:rsidR="00662879" w:rsidRPr="001B0CB8" w:rsidRDefault="00662879" w:rsidP="00C57E5E">
            <w:pPr>
              <w:pStyle w:val="Sansinterligne"/>
              <w:spacing w:after="100"/>
              <w:rPr>
                <w:rFonts w:ascii="Verdana" w:hAnsi="Verdana"/>
                <w:lang w:eastAsia="fr-FR"/>
              </w:rPr>
            </w:pPr>
          </w:p>
        </w:tc>
        <w:tc>
          <w:tcPr>
            <w:tcW w:w="1093" w:type="dxa"/>
            <w:tcBorders>
              <w:right w:val="single" w:sz="4" w:space="0" w:color="auto"/>
            </w:tcBorders>
          </w:tcPr>
          <w:p w14:paraId="265FB793" w14:textId="77777777" w:rsidR="00662879" w:rsidRPr="001B0CB8" w:rsidRDefault="00662879" w:rsidP="00C57E5E">
            <w:pPr>
              <w:pStyle w:val="Sansinterligne"/>
              <w:spacing w:after="100"/>
              <w:rPr>
                <w:rFonts w:ascii="Verdana" w:hAnsi="Verdana"/>
                <w:lang w:eastAsia="fr-FR"/>
              </w:rPr>
            </w:pPr>
          </w:p>
        </w:tc>
        <w:tc>
          <w:tcPr>
            <w:tcW w:w="4330" w:type="dxa"/>
            <w:vMerge w:val="restart"/>
            <w:tcBorders>
              <w:top w:val="single" w:sz="4" w:space="0" w:color="auto"/>
              <w:left w:val="single" w:sz="4" w:space="0" w:color="auto"/>
              <w:bottom w:val="single" w:sz="4" w:space="0" w:color="auto"/>
              <w:right w:val="single" w:sz="4" w:space="0" w:color="auto"/>
            </w:tcBorders>
          </w:tcPr>
          <w:p w14:paraId="41123966" w14:textId="77777777" w:rsidR="00662879" w:rsidRPr="001B0CB8" w:rsidRDefault="00662879" w:rsidP="00C57E5E">
            <w:pPr>
              <w:pStyle w:val="Sansinterligne"/>
              <w:spacing w:after="100"/>
              <w:rPr>
                <w:lang w:eastAsia="fr-FR"/>
              </w:rPr>
            </w:pPr>
          </w:p>
        </w:tc>
      </w:tr>
      <w:tr w:rsidR="00260AC0" w:rsidRPr="001B0CB8" w14:paraId="3515627B" w14:textId="77777777" w:rsidTr="00C57E5E">
        <w:trPr>
          <w:gridAfter w:val="1"/>
          <w:wAfter w:w="21" w:type="dxa"/>
          <w:trHeight w:val="275"/>
        </w:trPr>
        <w:tc>
          <w:tcPr>
            <w:tcW w:w="927" w:type="dxa"/>
          </w:tcPr>
          <w:p w14:paraId="35B46865"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6515CA86" w14:textId="77777777" w:rsidR="00662879" w:rsidRPr="001B0CB8" w:rsidRDefault="00662879" w:rsidP="00C57E5E">
            <w:pPr>
              <w:pStyle w:val="Sansinterligne"/>
              <w:spacing w:after="100"/>
              <w:rPr>
                <w:rFonts w:ascii="Verdana" w:hAnsi="Verdana"/>
                <w:lang w:eastAsia="fr-FR"/>
              </w:rPr>
            </w:pPr>
          </w:p>
        </w:tc>
        <w:tc>
          <w:tcPr>
            <w:tcW w:w="1093" w:type="dxa"/>
            <w:tcBorders>
              <w:right w:val="single" w:sz="4" w:space="0" w:color="auto"/>
            </w:tcBorders>
          </w:tcPr>
          <w:p w14:paraId="10075CBC" w14:textId="77777777" w:rsidR="00662879" w:rsidRPr="001B0CB8" w:rsidRDefault="00662879" w:rsidP="00C57E5E">
            <w:pPr>
              <w:pStyle w:val="Sansinterligne"/>
              <w:spacing w:after="100"/>
              <w:rPr>
                <w:rFonts w:ascii="Verdana" w:hAnsi="Verdana"/>
                <w:lang w:eastAsia="fr-FR"/>
              </w:rPr>
            </w:pPr>
          </w:p>
        </w:tc>
        <w:tc>
          <w:tcPr>
            <w:tcW w:w="4330" w:type="dxa"/>
            <w:vMerge/>
            <w:tcBorders>
              <w:left w:val="single" w:sz="4" w:space="0" w:color="auto"/>
              <w:bottom w:val="single" w:sz="4" w:space="0" w:color="auto"/>
              <w:right w:val="single" w:sz="4" w:space="0" w:color="auto"/>
            </w:tcBorders>
          </w:tcPr>
          <w:p w14:paraId="057D5AE9" w14:textId="77777777" w:rsidR="00662879" w:rsidRPr="001B0CB8" w:rsidRDefault="00662879" w:rsidP="00C57E5E">
            <w:pPr>
              <w:pStyle w:val="Sansinterligne"/>
              <w:spacing w:after="100"/>
              <w:rPr>
                <w:rFonts w:ascii="Verdana" w:hAnsi="Verdana"/>
                <w:lang w:eastAsia="fr-FR"/>
              </w:rPr>
            </w:pPr>
          </w:p>
        </w:tc>
      </w:tr>
      <w:tr w:rsidR="00260AC0" w:rsidRPr="001B0CB8" w14:paraId="5D454E69" w14:textId="77777777" w:rsidTr="00C57E5E">
        <w:trPr>
          <w:gridAfter w:val="1"/>
          <w:wAfter w:w="21" w:type="dxa"/>
          <w:trHeight w:val="234"/>
        </w:trPr>
        <w:tc>
          <w:tcPr>
            <w:tcW w:w="4094" w:type="dxa"/>
            <w:gridSpan w:val="3"/>
          </w:tcPr>
          <w:p w14:paraId="106FC740" w14:textId="77777777" w:rsidR="00662879" w:rsidRPr="001B0CB8" w:rsidRDefault="00662879" w:rsidP="00C57E5E">
            <w:pPr>
              <w:pStyle w:val="Sansinterligne"/>
              <w:spacing w:after="100"/>
              <w:rPr>
                <w:rFonts w:ascii="Verdana" w:hAnsi="Verdana"/>
                <w:lang w:eastAsia="fr-FR"/>
              </w:rPr>
            </w:pPr>
          </w:p>
        </w:tc>
        <w:tc>
          <w:tcPr>
            <w:tcW w:w="1093" w:type="dxa"/>
            <w:tcBorders>
              <w:right w:val="single" w:sz="4" w:space="0" w:color="auto"/>
            </w:tcBorders>
          </w:tcPr>
          <w:p w14:paraId="2B3BAF6E" w14:textId="77777777" w:rsidR="00662879" w:rsidRPr="001B0CB8" w:rsidRDefault="00662879" w:rsidP="00C57E5E">
            <w:pPr>
              <w:pStyle w:val="Sansinterligne"/>
              <w:spacing w:after="100"/>
              <w:rPr>
                <w:rFonts w:ascii="Verdana" w:hAnsi="Verdana"/>
                <w:lang w:eastAsia="fr-FR"/>
              </w:rPr>
            </w:pPr>
          </w:p>
        </w:tc>
        <w:tc>
          <w:tcPr>
            <w:tcW w:w="4330" w:type="dxa"/>
            <w:vMerge/>
            <w:tcBorders>
              <w:left w:val="single" w:sz="4" w:space="0" w:color="auto"/>
              <w:bottom w:val="single" w:sz="4" w:space="0" w:color="auto"/>
              <w:right w:val="single" w:sz="4" w:space="0" w:color="auto"/>
            </w:tcBorders>
          </w:tcPr>
          <w:p w14:paraId="2BC5C5E3" w14:textId="77777777" w:rsidR="00662879" w:rsidRPr="001B0CB8" w:rsidRDefault="00662879" w:rsidP="00C57E5E">
            <w:pPr>
              <w:pStyle w:val="Sansinterligne"/>
              <w:spacing w:after="100"/>
              <w:rPr>
                <w:rFonts w:ascii="Verdana" w:hAnsi="Verdana"/>
                <w:lang w:eastAsia="fr-FR"/>
              </w:rPr>
            </w:pPr>
          </w:p>
        </w:tc>
      </w:tr>
      <w:tr w:rsidR="00260AC0" w:rsidRPr="001B0CB8" w14:paraId="38BB3C64" w14:textId="77777777" w:rsidTr="00C57E5E">
        <w:trPr>
          <w:gridAfter w:val="1"/>
          <w:wAfter w:w="21" w:type="dxa"/>
          <w:trHeight w:val="254"/>
        </w:trPr>
        <w:tc>
          <w:tcPr>
            <w:tcW w:w="4094" w:type="dxa"/>
            <w:gridSpan w:val="3"/>
          </w:tcPr>
          <w:p w14:paraId="46DDEDC8" w14:textId="77777777" w:rsidR="00662879" w:rsidRPr="001B0CB8" w:rsidRDefault="00662879" w:rsidP="00C57E5E">
            <w:pPr>
              <w:pStyle w:val="Sansinterligne"/>
              <w:spacing w:after="100"/>
              <w:rPr>
                <w:rFonts w:ascii="Verdana" w:hAnsi="Verdana"/>
                <w:lang w:eastAsia="fr-FR"/>
              </w:rPr>
            </w:pPr>
          </w:p>
        </w:tc>
        <w:tc>
          <w:tcPr>
            <w:tcW w:w="1093" w:type="dxa"/>
          </w:tcPr>
          <w:p w14:paraId="4AF7F11D" w14:textId="77777777" w:rsidR="00662879" w:rsidRPr="001B0CB8" w:rsidRDefault="00662879" w:rsidP="00C57E5E">
            <w:pPr>
              <w:pStyle w:val="Sansinterligne"/>
              <w:spacing w:after="100"/>
              <w:rPr>
                <w:rFonts w:ascii="Verdana" w:hAnsi="Verdana"/>
                <w:lang w:eastAsia="fr-FR"/>
              </w:rPr>
            </w:pPr>
          </w:p>
        </w:tc>
        <w:tc>
          <w:tcPr>
            <w:tcW w:w="4330" w:type="dxa"/>
            <w:tcBorders>
              <w:top w:val="single" w:sz="4" w:space="0" w:color="auto"/>
              <w:bottom w:val="single" w:sz="4" w:space="0" w:color="auto"/>
            </w:tcBorders>
          </w:tcPr>
          <w:p w14:paraId="24E9CF1C" w14:textId="77777777" w:rsidR="00662879" w:rsidRPr="001B0CB8" w:rsidRDefault="00662879" w:rsidP="00C57E5E">
            <w:pPr>
              <w:pStyle w:val="Sansinterligne"/>
              <w:spacing w:after="100"/>
              <w:rPr>
                <w:rFonts w:ascii="Verdana" w:hAnsi="Verdana"/>
                <w:lang w:eastAsia="fr-FR"/>
              </w:rPr>
            </w:pPr>
            <w:r w:rsidRPr="001B0CB8">
              <w:rPr>
                <w:lang w:eastAsia="fr-FR"/>
              </w:rPr>
              <w:t>Signature du candidat</w:t>
            </w:r>
          </w:p>
        </w:tc>
      </w:tr>
      <w:tr w:rsidR="00260AC0" w:rsidRPr="001B0CB8" w14:paraId="197CD15B" w14:textId="77777777" w:rsidTr="00C57E5E">
        <w:trPr>
          <w:gridAfter w:val="1"/>
          <w:wAfter w:w="21" w:type="dxa"/>
          <w:trHeight w:val="234"/>
        </w:trPr>
        <w:tc>
          <w:tcPr>
            <w:tcW w:w="927" w:type="dxa"/>
          </w:tcPr>
          <w:p w14:paraId="02088C4B" w14:textId="77777777" w:rsidR="00662879" w:rsidRPr="001B0CB8" w:rsidRDefault="00662879" w:rsidP="00C57E5E">
            <w:pPr>
              <w:pStyle w:val="Sansinterligne"/>
              <w:spacing w:after="100"/>
              <w:rPr>
                <w:rFonts w:ascii="Verdana" w:hAnsi="Verdana"/>
                <w:lang w:eastAsia="fr-FR"/>
              </w:rPr>
            </w:pPr>
          </w:p>
        </w:tc>
        <w:tc>
          <w:tcPr>
            <w:tcW w:w="3167" w:type="dxa"/>
            <w:gridSpan w:val="2"/>
          </w:tcPr>
          <w:p w14:paraId="1CFAC30F" w14:textId="77777777" w:rsidR="00662879" w:rsidRPr="001B0CB8" w:rsidRDefault="00662879" w:rsidP="00C57E5E">
            <w:pPr>
              <w:pStyle w:val="Sansinterligne"/>
              <w:spacing w:after="100"/>
              <w:rPr>
                <w:rFonts w:ascii="Verdana" w:hAnsi="Verdana"/>
                <w:lang w:eastAsia="fr-FR"/>
              </w:rPr>
            </w:pPr>
          </w:p>
        </w:tc>
        <w:tc>
          <w:tcPr>
            <w:tcW w:w="1093" w:type="dxa"/>
            <w:tcBorders>
              <w:right w:val="single" w:sz="4" w:space="0" w:color="auto"/>
            </w:tcBorders>
          </w:tcPr>
          <w:p w14:paraId="5B19D790" w14:textId="77777777" w:rsidR="00662879" w:rsidRPr="001B0CB8" w:rsidRDefault="00662879" w:rsidP="00C57E5E">
            <w:pPr>
              <w:pStyle w:val="Sansinterligne"/>
              <w:spacing w:after="100"/>
              <w:rPr>
                <w:rFonts w:ascii="Verdana" w:hAnsi="Verdana"/>
                <w:lang w:eastAsia="fr-FR"/>
              </w:rPr>
            </w:pPr>
          </w:p>
        </w:tc>
        <w:tc>
          <w:tcPr>
            <w:tcW w:w="4330" w:type="dxa"/>
            <w:vMerge w:val="restart"/>
            <w:tcBorders>
              <w:top w:val="single" w:sz="4" w:space="0" w:color="auto"/>
              <w:left w:val="single" w:sz="4" w:space="0" w:color="auto"/>
              <w:bottom w:val="single" w:sz="4" w:space="0" w:color="auto"/>
              <w:right w:val="single" w:sz="4" w:space="0" w:color="auto"/>
            </w:tcBorders>
          </w:tcPr>
          <w:p w14:paraId="096F9A3D" w14:textId="77777777" w:rsidR="00662879" w:rsidRPr="001B0CB8" w:rsidRDefault="00662879" w:rsidP="00C57E5E">
            <w:pPr>
              <w:pStyle w:val="Sansinterligne"/>
              <w:spacing w:after="100"/>
              <w:rPr>
                <w:rFonts w:ascii="Verdana" w:hAnsi="Verdana"/>
                <w:lang w:eastAsia="fr-FR"/>
              </w:rPr>
            </w:pPr>
          </w:p>
        </w:tc>
      </w:tr>
      <w:tr w:rsidR="00260AC0" w:rsidRPr="001B0CB8" w14:paraId="1CEC28DB" w14:textId="77777777" w:rsidTr="00C57E5E">
        <w:trPr>
          <w:gridAfter w:val="1"/>
          <w:wAfter w:w="21" w:type="dxa"/>
          <w:trHeight w:val="254"/>
        </w:trPr>
        <w:tc>
          <w:tcPr>
            <w:tcW w:w="4094" w:type="dxa"/>
            <w:gridSpan w:val="3"/>
          </w:tcPr>
          <w:p w14:paraId="64785690" w14:textId="77777777" w:rsidR="00662879" w:rsidRPr="001B0CB8" w:rsidRDefault="00662879" w:rsidP="00C57E5E">
            <w:pPr>
              <w:pStyle w:val="Sansinterligne"/>
              <w:spacing w:after="100"/>
              <w:rPr>
                <w:rFonts w:ascii="Verdana" w:hAnsi="Verdana"/>
                <w:lang w:eastAsia="fr-FR"/>
              </w:rPr>
            </w:pPr>
          </w:p>
        </w:tc>
        <w:tc>
          <w:tcPr>
            <w:tcW w:w="1093" w:type="dxa"/>
            <w:tcBorders>
              <w:left w:val="nil"/>
              <w:right w:val="single" w:sz="4" w:space="0" w:color="auto"/>
            </w:tcBorders>
          </w:tcPr>
          <w:p w14:paraId="779DCF97" w14:textId="77777777" w:rsidR="00662879" w:rsidRPr="001B0CB8" w:rsidRDefault="00662879" w:rsidP="00C57E5E">
            <w:pPr>
              <w:pStyle w:val="Sansinterligne"/>
              <w:spacing w:after="100"/>
              <w:rPr>
                <w:rFonts w:ascii="Verdana" w:hAnsi="Verdana"/>
                <w:lang w:eastAsia="fr-FR"/>
              </w:rPr>
            </w:pPr>
          </w:p>
        </w:tc>
        <w:tc>
          <w:tcPr>
            <w:tcW w:w="4330" w:type="dxa"/>
            <w:vMerge/>
            <w:tcBorders>
              <w:left w:val="single" w:sz="4" w:space="0" w:color="auto"/>
              <w:bottom w:val="single" w:sz="4" w:space="0" w:color="auto"/>
              <w:right w:val="single" w:sz="4" w:space="0" w:color="auto"/>
            </w:tcBorders>
          </w:tcPr>
          <w:p w14:paraId="7C31C8AA" w14:textId="77777777" w:rsidR="00662879" w:rsidRPr="001B0CB8" w:rsidRDefault="00662879" w:rsidP="00C57E5E">
            <w:pPr>
              <w:pStyle w:val="Sansinterligne"/>
              <w:spacing w:after="100"/>
              <w:rPr>
                <w:rFonts w:ascii="Verdana" w:hAnsi="Verdana"/>
                <w:lang w:eastAsia="fr-FR"/>
              </w:rPr>
            </w:pPr>
          </w:p>
        </w:tc>
      </w:tr>
      <w:tr w:rsidR="00260AC0" w:rsidRPr="001B0CB8" w14:paraId="237CF083" w14:textId="77777777" w:rsidTr="00C57E5E">
        <w:trPr>
          <w:gridAfter w:val="1"/>
          <w:wAfter w:w="21" w:type="dxa"/>
          <w:cantSplit/>
          <w:trHeight w:val="234"/>
        </w:trPr>
        <w:tc>
          <w:tcPr>
            <w:tcW w:w="927" w:type="dxa"/>
          </w:tcPr>
          <w:p w14:paraId="2AE82038" w14:textId="77777777" w:rsidR="00662879" w:rsidRPr="001B0CB8" w:rsidRDefault="00662879" w:rsidP="00C57E5E">
            <w:pPr>
              <w:spacing w:after="100"/>
              <w:rPr>
                <w:rFonts w:ascii="Verdana" w:hAnsi="Verdana"/>
                <w:color w:val="3366FF"/>
                <w:lang w:eastAsia="fr-FR"/>
              </w:rPr>
            </w:pPr>
          </w:p>
        </w:tc>
        <w:tc>
          <w:tcPr>
            <w:tcW w:w="3167" w:type="dxa"/>
            <w:gridSpan w:val="2"/>
          </w:tcPr>
          <w:p w14:paraId="2628C2D6" w14:textId="77777777" w:rsidR="00662879" w:rsidRPr="001B0CB8" w:rsidRDefault="00662879" w:rsidP="00C57E5E">
            <w:pPr>
              <w:spacing w:after="100"/>
              <w:rPr>
                <w:rFonts w:ascii="Verdana" w:hAnsi="Verdana"/>
                <w:color w:val="3366FF"/>
                <w:lang w:eastAsia="fr-FR"/>
              </w:rPr>
            </w:pPr>
          </w:p>
        </w:tc>
        <w:tc>
          <w:tcPr>
            <w:tcW w:w="1093" w:type="dxa"/>
            <w:tcBorders>
              <w:right w:val="single" w:sz="4" w:space="0" w:color="auto"/>
            </w:tcBorders>
          </w:tcPr>
          <w:p w14:paraId="04C751F4" w14:textId="77777777" w:rsidR="00662879" w:rsidRPr="001B0CB8" w:rsidRDefault="00662879" w:rsidP="00C57E5E">
            <w:pPr>
              <w:spacing w:after="100"/>
              <w:rPr>
                <w:rFonts w:ascii="Verdana" w:hAnsi="Verdana"/>
                <w:lang w:eastAsia="fr-FR"/>
              </w:rPr>
            </w:pPr>
          </w:p>
        </w:tc>
        <w:tc>
          <w:tcPr>
            <w:tcW w:w="4330" w:type="dxa"/>
            <w:vMerge/>
            <w:tcBorders>
              <w:left w:val="single" w:sz="4" w:space="0" w:color="auto"/>
              <w:bottom w:val="single" w:sz="4" w:space="0" w:color="auto"/>
              <w:right w:val="single" w:sz="4" w:space="0" w:color="auto"/>
            </w:tcBorders>
          </w:tcPr>
          <w:p w14:paraId="6D9FB8AF" w14:textId="77777777" w:rsidR="00662879" w:rsidRPr="001B0CB8" w:rsidRDefault="00662879" w:rsidP="00C57E5E">
            <w:pPr>
              <w:spacing w:after="100"/>
              <w:rPr>
                <w:rFonts w:ascii="Verdana" w:hAnsi="Verdana"/>
                <w:lang w:eastAsia="fr-FR"/>
              </w:rPr>
            </w:pPr>
          </w:p>
        </w:tc>
      </w:tr>
    </w:tbl>
    <w:p w14:paraId="5953041D" w14:textId="77777777" w:rsidR="0085582F" w:rsidRDefault="0085582F" w:rsidP="00C57E5E">
      <w:pPr>
        <w:pStyle w:val="Titre1"/>
        <w:jc w:val="center"/>
      </w:pPr>
    </w:p>
    <w:p w14:paraId="2B17106D" w14:textId="77777777" w:rsidR="002E04D4" w:rsidRDefault="002E04D4">
      <w:pPr>
        <w:jc w:val="left"/>
      </w:pPr>
    </w:p>
    <w:p w14:paraId="153B81C2" w14:textId="77777777" w:rsidR="002E04D4" w:rsidRDefault="002E04D4">
      <w:pPr>
        <w:jc w:val="left"/>
      </w:pPr>
    </w:p>
    <w:p w14:paraId="094011E6" w14:textId="77777777" w:rsidR="002E04D4" w:rsidRDefault="002E04D4">
      <w:pPr>
        <w:jc w:val="left"/>
      </w:pPr>
    </w:p>
    <w:p w14:paraId="12CFE08C" w14:textId="481C533D" w:rsidR="002E04D4" w:rsidRDefault="002E04D4" w:rsidP="002E04D4">
      <w:pPr>
        <w:pStyle w:val="Titre"/>
        <w:jc w:val="center"/>
        <w:rPr>
          <w:rFonts w:ascii="Cambria" w:hAnsi="Cambria"/>
          <w:b/>
          <w:bCs/>
          <w:sz w:val="72"/>
          <w:szCs w:val="72"/>
        </w:rPr>
      </w:pPr>
      <w:r w:rsidRPr="002E04D4">
        <w:rPr>
          <w:rFonts w:ascii="Cambria" w:hAnsi="Cambria"/>
          <w:b/>
          <w:bCs/>
          <w:sz w:val="72"/>
          <w:szCs w:val="72"/>
        </w:rPr>
        <w:t>Mémoire de master :</w:t>
      </w:r>
    </w:p>
    <w:p w14:paraId="01B22621" w14:textId="77777777" w:rsidR="002E04D4" w:rsidRPr="002E04D4" w:rsidRDefault="002E04D4" w:rsidP="002E04D4"/>
    <w:p w14:paraId="4FFDDEFA" w14:textId="256A3A9C" w:rsidR="002E04D4" w:rsidRDefault="002E04D4" w:rsidP="002E04D4">
      <w:pPr>
        <w:pStyle w:val="Titre"/>
        <w:jc w:val="center"/>
        <w:rPr>
          <w:rFonts w:ascii="Times New Roman" w:hAnsi="Times New Roman" w:cs="Times New Roman"/>
        </w:rPr>
      </w:pPr>
      <w:r w:rsidRPr="002E04D4">
        <w:rPr>
          <w:rFonts w:ascii="Times New Roman" w:hAnsi="Times New Roman" w:cs="Times New Roman"/>
        </w:rPr>
        <w:t>Modélisation de l’absentéisme sur un portefeuille d’assurance collective</w:t>
      </w:r>
    </w:p>
    <w:p w14:paraId="7757356E" w14:textId="67A9B718" w:rsidR="002E04D4" w:rsidRDefault="002E04D4" w:rsidP="002E04D4"/>
    <w:p w14:paraId="74E1F08D" w14:textId="540657F0" w:rsidR="002E04D4" w:rsidRDefault="002E04D4" w:rsidP="002E04D4">
      <w:pPr>
        <w:jc w:val="center"/>
      </w:pPr>
      <w:r>
        <w:t>Khalil DATSI</w:t>
      </w:r>
    </w:p>
    <w:p w14:paraId="12687386" w14:textId="77777777" w:rsidR="002E04D4" w:rsidRPr="002E04D4" w:rsidRDefault="002E04D4" w:rsidP="002E04D4">
      <w:pPr>
        <w:jc w:val="center"/>
      </w:pPr>
    </w:p>
    <w:p w14:paraId="1A45893D" w14:textId="2491C650" w:rsidR="002E04D4" w:rsidRDefault="002E04D4" w:rsidP="002E04D4">
      <w:pPr>
        <w:pStyle w:val="Sansinterligne"/>
        <w:jc w:val="center"/>
      </w:pPr>
    </w:p>
    <w:p w14:paraId="075312F0" w14:textId="5FC96BE7" w:rsidR="002E04D4" w:rsidRPr="002E04D4" w:rsidRDefault="002E04D4" w:rsidP="002E04D4">
      <w:pPr>
        <w:pStyle w:val="Sansinterligne"/>
        <w:jc w:val="center"/>
      </w:pPr>
      <w:r>
        <w:rPr>
          <w:rFonts w:ascii="Tms Rmn" w:hAnsi="Tms Rmn"/>
          <w:noProof/>
          <w:lang w:eastAsia="fr-FR"/>
        </w:rPr>
        <w:drawing>
          <wp:anchor distT="0" distB="0" distL="114300" distR="114300" simplePos="0" relativeHeight="251659264" behindDoc="1" locked="0" layoutInCell="1" allowOverlap="1" wp14:anchorId="5DC76A5E" wp14:editId="7159EC0B">
            <wp:simplePos x="0" y="0"/>
            <wp:positionH relativeFrom="column">
              <wp:posOffset>641262</wp:posOffset>
            </wp:positionH>
            <wp:positionV relativeFrom="paragraph">
              <wp:posOffset>1107602</wp:posOffset>
            </wp:positionV>
            <wp:extent cx="1303020" cy="480060"/>
            <wp:effectExtent l="0" t="0" r="0" b="0"/>
            <wp:wrapTight wrapText="bothSides">
              <wp:wrapPolygon edited="0">
                <wp:start x="0" y="0"/>
                <wp:lineTo x="0" y="20571"/>
                <wp:lineTo x="21158" y="20571"/>
                <wp:lineTo x="21158"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3020" cy="480060"/>
                    </a:xfrm>
                    <a:prstGeom prst="rect">
                      <a:avLst/>
                    </a:prstGeom>
                    <a:noFill/>
                    <a:ln>
                      <a:noFill/>
                    </a:ln>
                  </pic:spPr>
                </pic:pic>
              </a:graphicData>
            </a:graphic>
          </wp:anchor>
        </w:drawing>
      </w:r>
      <w:r>
        <w:rPr>
          <w:rFonts w:ascii="CG Omega" w:hAnsi="CG Omega"/>
          <w:noProof/>
          <w:sz w:val="20"/>
          <w:szCs w:val="20"/>
          <w:lang w:eastAsia="fr-FR"/>
        </w:rPr>
        <w:drawing>
          <wp:anchor distT="0" distB="0" distL="114300" distR="114300" simplePos="0" relativeHeight="251658240" behindDoc="1" locked="0" layoutInCell="1" allowOverlap="1" wp14:anchorId="2E363C98" wp14:editId="45672678">
            <wp:simplePos x="0" y="0"/>
            <wp:positionH relativeFrom="column">
              <wp:posOffset>3693249</wp:posOffset>
            </wp:positionH>
            <wp:positionV relativeFrom="paragraph">
              <wp:posOffset>757392</wp:posOffset>
            </wp:positionV>
            <wp:extent cx="1524000" cy="1127760"/>
            <wp:effectExtent l="0" t="0" r="0" b="0"/>
            <wp:wrapTight wrapText="bothSides">
              <wp:wrapPolygon edited="0">
                <wp:start x="0" y="0"/>
                <wp:lineTo x="0" y="21162"/>
                <wp:lineTo x="21330" y="21162"/>
                <wp:lineTo x="21330" y="0"/>
                <wp:lineTo x="0" y="0"/>
              </wp:wrapPolygon>
            </wp:wrapTight>
            <wp:docPr id="20" name="Image 20" descr="logo-uc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b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127760"/>
                    </a:xfrm>
                    <a:prstGeom prst="rect">
                      <a:avLst/>
                    </a:prstGeom>
                    <a:noFill/>
                    <a:ln>
                      <a:noFill/>
                    </a:ln>
                  </pic:spPr>
                </pic:pic>
              </a:graphicData>
            </a:graphic>
          </wp:anchor>
        </w:drawing>
      </w:r>
      <w:r w:rsidR="00260AC0" w:rsidRPr="002E04D4">
        <w:br w:type="page"/>
      </w:r>
    </w:p>
    <w:p w14:paraId="094E8665" w14:textId="7B4872D4" w:rsidR="000C387D" w:rsidRPr="00260AC0" w:rsidRDefault="000C387D" w:rsidP="000C387D">
      <w:pPr>
        <w:pStyle w:val="Titre1"/>
        <w:jc w:val="center"/>
      </w:pPr>
      <w:bookmarkStart w:id="0" w:name="_Toc112883437"/>
      <w:r>
        <w:lastRenderedPageBreak/>
        <w:t>Résumé</w:t>
      </w:r>
      <w:bookmarkEnd w:id="0"/>
    </w:p>
    <w:p w14:paraId="396C0CD6" w14:textId="013536BA" w:rsidR="000C387D" w:rsidRDefault="000C387D" w:rsidP="000C387D">
      <w:pPr>
        <w:pStyle w:val="Sansinterligne"/>
      </w:pPr>
    </w:p>
    <w:p w14:paraId="71812DE5" w14:textId="77777777" w:rsidR="000C387D" w:rsidRDefault="000C387D" w:rsidP="000C387D">
      <w:pPr>
        <w:pStyle w:val="Sansinterligne"/>
      </w:pPr>
    </w:p>
    <w:p w14:paraId="51080DB6" w14:textId="77777777" w:rsidR="0097744D" w:rsidRDefault="0097744D" w:rsidP="000C387D">
      <w:pPr>
        <w:pStyle w:val="Sansinterligne"/>
      </w:pPr>
    </w:p>
    <w:p w14:paraId="31EAF96F" w14:textId="77777777" w:rsidR="0097744D" w:rsidRDefault="0097744D" w:rsidP="000C387D">
      <w:pPr>
        <w:pStyle w:val="Sansinterligne"/>
      </w:pPr>
    </w:p>
    <w:p w14:paraId="475B6BBD" w14:textId="77777777" w:rsidR="0097744D" w:rsidRDefault="0097744D" w:rsidP="000C387D">
      <w:pPr>
        <w:pStyle w:val="Sansinterligne"/>
      </w:pPr>
    </w:p>
    <w:p w14:paraId="5F48E2E8" w14:textId="19411E62" w:rsidR="0097744D" w:rsidRDefault="0097744D" w:rsidP="000C387D">
      <w:pPr>
        <w:pStyle w:val="Sansinterligne"/>
      </w:pPr>
      <w:r>
        <w:t xml:space="preserve">L’absentéisme est en constante hausse ces dernières années dans le monde de l’entreprise. Cette notion complexe est très importante pour l’assureur du fait qu’il intervient dans la couverture des arrêts de travail. </w:t>
      </w:r>
    </w:p>
    <w:p w14:paraId="43939A34" w14:textId="64C01154" w:rsidR="0097744D" w:rsidRDefault="000605D4" w:rsidP="0097744D">
      <w:pPr>
        <w:pStyle w:val="Sansinterligne"/>
        <w:spacing w:before="240"/>
      </w:pPr>
      <w:r>
        <w:t>P</w:t>
      </w:r>
      <w:r w:rsidR="0097744D">
        <w:t>our pouvoir cerner ce phénomène, il faudra d’abord</w:t>
      </w:r>
      <w:r w:rsidR="000C387D">
        <w:t xml:space="preserve"> rappel</w:t>
      </w:r>
      <w:r w:rsidR="0097744D">
        <w:t>er</w:t>
      </w:r>
      <w:r w:rsidR="000C387D">
        <w:t xml:space="preserve"> le cadre de la protection sociale en France, </w:t>
      </w:r>
      <w:r w:rsidR="0097744D">
        <w:t>expliciter les différentes notions du</w:t>
      </w:r>
      <w:r w:rsidR="000C387D">
        <w:t xml:space="preserve"> risque arrêt de travail et</w:t>
      </w:r>
      <w:r w:rsidR="0097744D">
        <w:t xml:space="preserve"> caractériser</w:t>
      </w:r>
      <w:r w:rsidR="000C387D">
        <w:t xml:space="preserve"> l’absentéisme en entreprise</w:t>
      </w:r>
      <w:r w:rsidR="0097744D">
        <w:t xml:space="preserve"> via les méthodes de mesure, son coût sur les entreprises et les assureurs.</w:t>
      </w:r>
      <w:r w:rsidR="000C387D">
        <w:t xml:space="preserve"> </w:t>
      </w:r>
    </w:p>
    <w:p w14:paraId="43ECE6FB" w14:textId="7930F81B" w:rsidR="0097744D" w:rsidRDefault="0097744D" w:rsidP="0097744D">
      <w:pPr>
        <w:pStyle w:val="Sansinterligne"/>
        <w:spacing w:before="240"/>
      </w:pPr>
      <w:r>
        <w:t>N</w:t>
      </w:r>
      <w:r w:rsidR="000C387D">
        <w:t>ous tacherons</w:t>
      </w:r>
      <w:r>
        <w:t xml:space="preserve"> ensuite</w:t>
      </w:r>
      <w:r w:rsidR="000C387D">
        <w:t xml:space="preserve"> d’étudier l’absentéisme sur </w:t>
      </w:r>
      <w:r>
        <w:t>notre</w:t>
      </w:r>
      <w:r w:rsidR="000C387D">
        <w:t xml:space="preserve"> portefeuille collectif</w:t>
      </w:r>
      <w:r>
        <w:t>, celui</w:t>
      </w:r>
      <w:r w:rsidR="000C387D">
        <w:t xml:space="preserve"> de Generali </w:t>
      </w:r>
      <w:r>
        <w:t xml:space="preserve">Vie </w:t>
      </w:r>
      <w:r w:rsidR="000C387D">
        <w:t>composé de plus de 600 000 assurés,</w:t>
      </w:r>
      <w:r>
        <w:t xml:space="preserve"> portefeuille qui évolue année après année.</w:t>
      </w:r>
      <w:r w:rsidR="000C387D">
        <w:t xml:space="preserve"> </w:t>
      </w:r>
      <w:r>
        <w:t>Pour ce faire, nous</w:t>
      </w:r>
      <w:r w:rsidR="000C387D">
        <w:t xml:space="preserve"> effectu</w:t>
      </w:r>
      <w:r>
        <w:t>erons</w:t>
      </w:r>
      <w:r w:rsidR="000C387D">
        <w:t xml:space="preserve"> dans un premier temps une analyse descriptive du portefeuille prévoyance</w:t>
      </w:r>
      <w:r>
        <w:t xml:space="preserve"> en étudiant l’évolution de l’absentéisme sur les dernières années, les différentes caractéristiques des arrêts de travail (saisonnalité, type d’arrêt, rechute, …) et le calcul de taux d’absentéisme sur le portefeuille.</w:t>
      </w:r>
      <w:r w:rsidR="000C387D">
        <w:t xml:space="preserve"> </w:t>
      </w:r>
    </w:p>
    <w:p w14:paraId="65CF1206" w14:textId="3797819E" w:rsidR="000C387D" w:rsidRDefault="0097744D" w:rsidP="0097744D">
      <w:pPr>
        <w:pStyle w:val="Sansinterligne"/>
        <w:spacing w:before="240"/>
      </w:pPr>
      <w:r>
        <w:t>Ensuite, nous</w:t>
      </w:r>
      <w:r w:rsidR="000C387D">
        <w:t xml:space="preserve"> modélis</w:t>
      </w:r>
      <w:r>
        <w:t>erons</w:t>
      </w:r>
      <w:r w:rsidR="000C387D">
        <w:t xml:space="preserve"> l’absentéisme via des modèles linéaires généralisés</w:t>
      </w:r>
      <w:r>
        <w:t xml:space="preserve">, pour cela il faudra d’abord rappeler </w:t>
      </w:r>
      <w:r w:rsidR="0017422A">
        <w:t>le principe théorique de ces modèles, puis construire une base de données appropriée pour notre modélisation, ensuite modéliser l’absentéisme sur le portefeuille et vérifier la cohérence du modèle.</w:t>
      </w:r>
    </w:p>
    <w:p w14:paraId="3BD6CBCB" w14:textId="35C44A49" w:rsidR="000C387D" w:rsidRDefault="000C387D" w:rsidP="009E7804">
      <w:pPr>
        <w:jc w:val="left"/>
        <w:rPr>
          <w:rFonts w:eastAsiaTheme="majorEastAsia" w:cstheme="majorBidi"/>
          <w:b/>
          <w:color w:val="7030A0"/>
          <w:sz w:val="32"/>
          <w:szCs w:val="32"/>
        </w:rPr>
      </w:pPr>
      <w:r>
        <w:br w:type="page"/>
      </w:r>
    </w:p>
    <w:p w14:paraId="006C5CC6" w14:textId="301BF6C6" w:rsidR="00260AC0" w:rsidRPr="00260AC0" w:rsidRDefault="00260AC0" w:rsidP="00260AC0">
      <w:pPr>
        <w:pStyle w:val="Titre1"/>
        <w:jc w:val="center"/>
      </w:pPr>
      <w:bookmarkStart w:id="1" w:name="_Toc112883438"/>
      <w:r>
        <w:lastRenderedPageBreak/>
        <w:t>Remerciement</w:t>
      </w:r>
      <w:bookmarkEnd w:id="1"/>
    </w:p>
    <w:p w14:paraId="7E7EE632" w14:textId="52A275BE" w:rsidR="00260AC0" w:rsidRDefault="00260AC0">
      <w:pPr>
        <w:jc w:val="left"/>
      </w:pPr>
    </w:p>
    <w:p w14:paraId="3D8BE40C" w14:textId="77777777" w:rsidR="0085582F" w:rsidRDefault="0085582F">
      <w:pPr>
        <w:jc w:val="left"/>
      </w:pPr>
    </w:p>
    <w:p w14:paraId="7BEAA76E" w14:textId="77777777" w:rsidR="009E7804" w:rsidRDefault="009E7804" w:rsidP="009E7804">
      <w:pPr>
        <w:pStyle w:val="Sansinterligne"/>
      </w:pPr>
    </w:p>
    <w:p w14:paraId="7F30ABF7" w14:textId="131C17AA" w:rsidR="00F62E54" w:rsidRDefault="009E7804" w:rsidP="009E7804">
      <w:pPr>
        <w:pStyle w:val="Sansinterligne"/>
      </w:pPr>
      <w:r>
        <w:t>Je tiens tout d’abord à remercier particulièrement Bertrand FONTAINE</w:t>
      </w:r>
      <w:r w:rsidR="00F62E54">
        <w:t xml:space="preserve"> mon manager</w:t>
      </w:r>
      <w:r>
        <w:t xml:space="preserve"> pour m’avoir accueilli au sein de l’équipe grands comptes de Generali Vie, </w:t>
      </w:r>
      <w:r w:rsidR="00F62E54">
        <w:t>pour sa pédagogie, sa disponibilité et pour toutes les connaissances qu’il m’a transmises.</w:t>
      </w:r>
    </w:p>
    <w:p w14:paraId="37C4859D" w14:textId="77777777" w:rsidR="00F62E54" w:rsidRDefault="00F62E54" w:rsidP="009E7804">
      <w:pPr>
        <w:pStyle w:val="Sansinterligne"/>
      </w:pPr>
    </w:p>
    <w:p w14:paraId="17EAB861" w14:textId="0AB8CEA5" w:rsidR="00F62E54" w:rsidRDefault="00F62E54" w:rsidP="009E7804">
      <w:pPr>
        <w:pStyle w:val="Sansinterligne"/>
      </w:pPr>
      <w:r>
        <w:t xml:space="preserve">Je tiens </w:t>
      </w:r>
      <w:r w:rsidR="000605D4">
        <w:t>ensuite</w:t>
      </w:r>
      <w:r>
        <w:t xml:space="preserve"> à remercier chaleureusement mon tuteur Selim BELHOUSSE pour ses précieux conseils pour la réalisation de ce mémoire, son suivi et son aide tout au long de l’année sur l’ensemble des missions de souscription qui m’ont été confié.  </w:t>
      </w:r>
    </w:p>
    <w:p w14:paraId="591476C5" w14:textId="037CC3A6" w:rsidR="00F62E54" w:rsidRDefault="00F62E54" w:rsidP="009E7804">
      <w:pPr>
        <w:pStyle w:val="Sansinterligne"/>
      </w:pPr>
    </w:p>
    <w:p w14:paraId="646A64EF" w14:textId="148E299F" w:rsidR="006476E8" w:rsidRDefault="006476E8" w:rsidP="009E7804">
      <w:pPr>
        <w:pStyle w:val="Sansinterligne"/>
      </w:pPr>
      <w:r>
        <w:t>Je remercie également mon tuteur pédagogique Denys POMMERET pour ses conseils avisés, sa disponibilité et son suivi.</w:t>
      </w:r>
    </w:p>
    <w:p w14:paraId="2CDF6C64" w14:textId="77777777" w:rsidR="006476E8" w:rsidRDefault="006476E8" w:rsidP="009E7804">
      <w:pPr>
        <w:pStyle w:val="Sansinterligne"/>
      </w:pPr>
    </w:p>
    <w:p w14:paraId="5339658D" w14:textId="77777777" w:rsidR="006476E8" w:rsidRDefault="00F62E54" w:rsidP="009E7804">
      <w:pPr>
        <w:pStyle w:val="Sansinterligne"/>
      </w:pPr>
      <w:r>
        <w:t xml:space="preserve">J’adresse aussi mes remerciements à l’ensemble de mon équipe pour leur bienveillance, leurs conseils et leur bonne humeur au quotidien. </w:t>
      </w:r>
    </w:p>
    <w:p w14:paraId="12A9E63D" w14:textId="77777777" w:rsidR="006476E8" w:rsidRDefault="006476E8" w:rsidP="009E7804">
      <w:pPr>
        <w:pStyle w:val="Sansinterligne"/>
      </w:pPr>
    </w:p>
    <w:p w14:paraId="4F73C2C4" w14:textId="30E37151" w:rsidR="00F71898" w:rsidRPr="00F71898" w:rsidRDefault="006476E8" w:rsidP="009E7804">
      <w:pPr>
        <w:pStyle w:val="Sansinterligne"/>
      </w:pPr>
      <w:r>
        <w:t>Enfin je tiens à remercier ceux qui sont pour moi ma motivation, mes parents, pour leur amour, leur soutien indéfectible et leurs encouragements depuis toujours.</w:t>
      </w:r>
      <w:r w:rsidR="00260AC0">
        <w:br w:type="page"/>
      </w:r>
    </w:p>
    <w:sdt>
      <w:sdtPr>
        <w:rPr>
          <w:rFonts w:eastAsiaTheme="minorHAnsi" w:cstheme="minorBidi"/>
          <w:b w:val="0"/>
          <w:color w:val="auto"/>
          <w:sz w:val="22"/>
          <w:szCs w:val="22"/>
          <w:lang w:eastAsia="en-US"/>
        </w:rPr>
        <w:id w:val="2006010196"/>
        <w:docPartObj>
          <w:docPartGallery w:val="Table of Contents"/>
          <w:docPartUnique/>
        </w:docPartObj>
      </w:sdtPr>
      <w:sdtEndPr>
        <w:rPr>
          <w:bCs/>
        </w:rPr>
      </w:sdtEndPr>
      <w:sdtContent>
        <w:p w14:paraId="72311E71" w14:textId="418763C1" w:rsidR="00A103B7" w:rsidRDefault="00A103B7" w:rsidP="006E5444">
          <w:pPr>
            <w:pStyle w:val="En-ttedetabledesmatires"/>
            <w:jc w:val="center"/>
          </w:pPr>
          <w:r>
            <w:t>Table des matières</w:t>
          </w:r>
        </w:p>
        <w:p w14:paraId="020AB05E" w14:textId="77777777" w:rsidR="006E5444" w:rsidRPr="006E5444" w:rsidRDefault="006E5444" w:rsidP="006E5444">
          <w:pPr>
            <w:rPr>
              <w:lang w:eastAsia="fr-FR"/>
            </w:rPr>
          </w:pPr>
        </w:p>
        <w:p w14:paraId="544F50D0" w14:textId="631B6518" w:rsidR="009E7804" w:rsidRDefault="00A103B7">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12883437" w:history="1">
            <w:r w:rsidR="009E7804" w:rsidRPr="00107418">
              <w:rPr>
                <w:rStyle w:val="Lienhypertexte"/>
                <w:noProof/>
              </w:rPr>
              <w:t>Résumé</w:t>
            </w:r>
            <w:r w:rsidR="009E7804">
              <w:rPr>
                <w:noProof/>
                <w:webHidden/>
              </w:rPr>
              <w:tab/>
            </w:r>
            <w:r w:rsidR="009E7804">
              <w:rPr>
                <w:noProof/>
                <w:webHidden/>
              </w:rPr>
              <w:fldChar w:fldCharType="begin"/>
            </w:r>
            <w:r w:rsidR="009E7804">
              <w:rPr>
                <w:noProof/>
                <w:webHidden/>
              </w:rPr>
              <w:instrText xml:space="preserve"> PAGEREF _Toc112883437 \h </w:instrText>
            </w:r>
            <w:r w:rsidR="009E7804">
              <w:rPr>
                <w:noProof/>
                <w:webHidden/>
              </w:rPr>
            </w:r>
            <w:r w:rsidR="009E7804">
              <w:rPr>
                <w:noProof/>
                <w:webHidden/>
              </w:rPr>
              <w:fldChar w:fldCharType="separate"/>
            </w:r>
            <w:r w:rsidR="009E7804">
              <w:rPr>
                <w:noProof/>
                <w:webHidden/>
              </w:rPr>
              <w:t>3</w:t>
            </w:r>
            <w:r w:rsidR="009E7804">
              <w:rPr>
                <w:noProof/>
                <w:webHidden/>
              </w:rPr>
              <w:fldChar w:fldCharType="end"/>
            </w:r>
          </w:hyperlink>
        </w:p>
        <w:p w14:paraId="01DC1328" w14:textId="51435E50" w:rsidR="009E7804" w:rsidRDefault="009E7804">
          <w:pPr>
            <w:pStyle w:val="TM1"/>
            <w:tabs>
              <w:tab w:val="right" w:leader="dot" w:pos="9062"/>
            </w:tabs>
            <w:rPr>
              <w:rFonts w:asciiTheme="minorHAnsi" w:eastAsiaTheme="minorEastAsia" w:hAnsiTheme="minorHAnsi"/>
              <w:noProof/>
              <w:lang w:eastAsia="fr-FR"/>
            </w:rPr>
          </w:pPr>
          <w:hyperlink w:anchor="_Toc112883438" w:history="1">
            <w:r w:rsidRPr="00107418">
              <w:rPr>
                <w:rStyle w:val="Lienhypertexte"/>
                <w:noProof/>
              </w:rPr>
              <w:t>Remerciement</w:t>
            </w:r>
            <w:r>
              <w:rPr>
                <w:noProof/>
                <w:webHidden/>
              </w:rPr>
              <w:tab/>
            </w:r>
            <w:r>
              <w:rPr>
                <w:noProof/>
                <w:webHidden/>
              </w:rPr>
              <w:fldChar w:fldCharType="begin"/>
            </w:r>
            <w:r>
              <w:rPr>
                <w:noProof/>
                <w:webHidden/>
              </w:rPr>
              <w:instrText xml:space="preserve"> PAGEREF _Toc112883438 \h </w:instrText>
            </w:r>
            <w:r>
              <w:rPr>
                <w:noProof/>
                <w:webHidden/>
              </w:rPr>
            </w:r>
            <w:r>
              <w:rPr>
                <w:noProof/>
                <w:webHidden/>
              </w:rPr>
              <w:fldChar w:fldCharType="separate"/>
            </w:r>
            <w:r>
              <w:rPr>
                <w:noProof/>
                <w:webHidden/>
              </w:rPr>
              <w:t>4</w:t>
            </w:r>
            <w:r>
              <w:rPr>
                <w:noProof/>
                <w:webHidden/>
              </w:rPr>
              <w:fldChar w:fldCharType="end"/>
            </w:r>
          </w:hyperlink>
        </w:p>
        <w:p w14:paraId="72D7A5F8" w14:textId="2E254ED9" w:rsidR="009E7804" w:rsidRDefault="009E7804">
          <w:pPr>
            <w:pStyle w:val="TM1"/>
            <w:tabs>
              <w:tab w:val="right" w:leader="dot" w:pos="9062"/>
            </w:tabs>
            <w:rPr>
              <w:rFonts w:asciiTheme="minorHAnsi" w:eastAsiaTheme="minorEastAsia" w:hAnsiTheme="minorHAnsi"/>
              <w:noProof/>
              <w:lang w:eastAsia="fr-FR"/>
            </w:rPr>
          </w:pPr>
          <w:hyperlink w:anchor="_Toc112883439" w:history="1">
            <w:r w:rsidRPr="00107418">
              <w:rPr>
                <w:rStyle w:val="Lienhypertexte"/>
                <w:noProof/>
              </w:rPr>
              <w:t>Introduction</w:t>
            </w:r>
            <w:r>
              <w:rPr>
                <w:noProof/>
                <w:webHidden/>
              </w:rPr>
              <w:tab/>
            </w:r>
            <w:r>
              <w:rPr>
                <w:noProof/>
                <w:webHidden/>
              </w:rPr>
              <w:fldChar w:fldCharType="begin"/>
            </w:r>
            <w:r>
              <w:rPr>
                <w:noProof/>
                <w:webHidden/>
              </w:rPr>
              <w:instrText xml:space="preserve"> PAGEREF _Toc112883439 \h </w:instrText>
            </w:r>
            <w:r>
              <w:rPr>
                <w:noProof/>
                <w:webHidden/>
              </w:rPr>
            </w:r>
            <w:r>
              <w:rPr>
                <w:noProof/>
                <w:webHidden/>
              </w:rPr>
              <w:fldChar w:fldCharType="separate"/>
            </w:r>
            <w:r>
              <w:rPr>
                <w:noProof/>
                <w:webHidden/>
              </w:rPr>
              <w:t>7</w:t>
            </w:r>
            <w:r>
              <w:rPr>
                <w:noProof/>
                <w:webHidden/>
              </w:rPr>
              <w:fldChar w:fldCharType="end"/>
            </w:r>
          </w:hyperlink>
        </w:p>
        <w:p w14:paraId="5606FD07" w14:textId="04624EAB" w:rsidR="009E7804" w:rsidRDefault="009E7804">
          <w:pPr>
            <w:pStyle w:val="TM1"/>
            <w:tabs>
              <w:tab w:val="right" w:leader="dot" w:pos="9062"/>
            </w:tabs>
            <w:rPr>
              <w:rFonts w:asciiTheme="minorHAnsi" w:eastAsiaTheme="minorEastAsia" w:hAnsiTheme="minorHAnsi"/>
              <w:noProof/>
              <w:lang w:eastAsia="fr-FR"/>
            </w:rPr>
          </w:pPr>
          <w:hyperlink w:anchor="_Toc112883440" w:history="1">
            <w:r w:rsidRPr="00107418">
              <w:rPr>
                <w:rStyle w:val="Lienhypertexte"/>
                <w:noProof/>
              </w:rPr>
              <w:t>Le risque arrêt de travail dans le contexte de l’assurance collective</w:t>
            </w:r>
            <w:r>
              <w:rPr>
                <w:noProof/>
                <w:webHidden/>
              </w:rPr>
              <w:tab/>
            </w:r>
            <w:r>
              <w:rPr>
                <w:noProof/>
                <w:webHidden/>
              </w:rPr>
              <w:fldChar w:fldCharType="begin"/>
            </w:r>
            <w:r>
              <w:rPr>
                <w:noProof/>
                <w:webHidden/>
              </w:rPr>
              <w:instrText xml:space="preserve"> PAGEREF _Toc112883440 \h </w:instrText>
            </w:r>
            <w:r>
              <w:rPr>
                <w:noProof/>
                <w:webHidden/>
              </w:rPr>
            </w:r>
            <w:r>
              <w:rPr>
                <w:noProof/>
                <w:webHidden/>
              </w:rPr>
              <w:fldChar w:fldCharType="separate"/>
            </w:r>
            <w:r>
              <w:rPr>
                <w:noProof/>
                <w:webHidden/>
              </w:rPr>
              <w:t>8</w:t>
            </w:r>
            <w:r>
              <w:rPr>
                <w:noProof/>
                <w:webHidden/>
              </w:rPr>
              <w:fldChar w:fldCharType="end"/>
            </w:r>
          </w:hyperlink>
        </w:p>
        <w:p w14:paraId="6525CF88" w14:textId="042C0317" w:rsidR="009E7804" w:rsidRDefault="009E7804">
          <w:pPr>
            <w:pStyle w:val="TM2"/>
            <w:tabs>
              <w:tab w:val="right" w:leader="dot" w:pos="9062"/>
            </w:tabs>
            <w:rPr>
              <w:rFonts w:asciiTheme="minorHAnsi" w:eastAsiaTheme="minorEastAsia" w:hAnsiTheme="minorHAnsi"/>
              <w:noProof/>
              <w:lang w:eastAsia="fr-FR"/>
            </w:rPr>
          </w:pPr>
          <w:hyperlink w:anchor="_Toc112883441" w:history="1">
            <w:r w:rsidRPr="00107418">
              <w:rPr>
                <w:rStyle w:val="Lienhypertexte"/>
                <w:noProof/>
              </w:rPr>
              <w:t>Présentation de la protection sociale en France : régime de base et régime complémentaire.</w:t>
            </w:r>
            <w:r>
              <w:rPr>
                <w:noProof/>
                <w:webHidden/>
              </w:rPr>
              <w:tab/>
            </w:r>
            <w:r>
              <w:rPr>
                <w:noProof/>
                <w:webHidden/>
              </w:rPr>
              <w:fldChar w:fldCharType="begin"/>
            </w:r>
            <w:r>
              <w:rPr>
                <w:noProof/>
                <w:webHidden/>
              </w:rPr>
              <w:instrText xml:space="preserve"> PAGEREF _Toc112883441 \h </w:instrText>
            </w:r>
            <w:r>
              <w:rPr>
                <w:noProof/>
                <w:webHidden/>
              </w:rPr>
            </w:r>
            <w:r>
              <w:rPr>
                <w:noProof/>
                <w:webHidden/>
              </w:rPr>
              <w:fldChar w:fldCharType="separate"/>
            </w:r>
            <w:r>
              <w:rPr>
                <w:noProof/>
                <w:webHidden/>
              </w:rPr>
              <w:t>8</w:t>
            </w:r>
            <w:r>
              <w:rPr>
                <w:noProof/>
                <w:webHidden/>
              </w:rPr>
              <w:fldChar w:fldCharType="end"/>
            </w:r>
          </w:hyperlink>
        </w:p>
        <w:p w14:paraId="76977403" w14:textId="3A248B30" w:rsidR="009E7804" w:rsidRDefault="009E7804">
          <w:pPr>
            <w:pStyle w:val="TM3"/>
            <w:tabs>
              <w:tab w:val="right" w:leader="dot" w:pos="9062"/>
            </w:tabs>
            <w:rPr>
              <w:rFonts w:asciiTheme="minorHAnsi" w:eastAsiaTheme="minorEastAsia" w:hAnsiTheme="minorHAnsi"/>
              <w:noProof/>
              <w:lang w:eastAsia="fr-FR"/>
            </w:rPr>
          </w:pPr>
          <w:hyperlink w:anchor="_Toc112883442" w:history="1">
            <w:r w:rsidRPr="00107418">
              <w:rPr>
                <w:rStyle w:val="Lienhypertexte"/>
                <w:noProof/>
              </w:rPr>
              <w:t>Histoire de la protection sociale</w:t>
            </w:r>
            <w:r>
              <w:rPr>
                <w:noProof/>
                <w:webHidden/>
              </w:rPr>
              <w:tab/>
            </w:r>
            <w:r>
              <w:rPr>
                <w:noProof/>
                <w:webHidden/>
              </w:rPr>
              <w:fldChar w:fldCharType="begin"/>
            </w:r>
            <w:r>
              <w:rPr>
                <w:noProof/>
                <w:webHidden/>
              </w:rPr>
              <w:instrText xml:space="preserve"> PAGEREF _Toc112883442 \h </w:instrText>
            </w:r>
            <w:r>
              <w:rPr>
                <w:noProof/>
                <w:webHidden/>
              </w:rPr>
            </w:r>
            <w:r>
              <w:rPr>
                <w:noProof/>
                <w:webHidden/>
              </w:rPr>
              <w:fldChar w:fldCharType="separate"/>
            </w:r>
            <w:r>
              <w:rPr>
                <w:noProof/>
                <w:webHidden/>
              </w:rPr>
              <w:t>8</w:t>
            </w:r>
            <w:r>
              <w:rPr>
                <w:noProof/>
                <w:webHidden/>
              </w:rPr>
              <w:fldChar w:fldCharType="end"/>
            </w:r>
          </w:hyperlink>
        </w:p>
        <w:p w14:paraId="2B4A8E9A" w14:textId="58381C8F" w:rsidR="009E7804" w:rsidRDefault="009E7804">
          <w:pPr>
            <w:pStyle w:val="TM3"/>
            <w:tabs>
              <w:tab w:val="right" w:leader="dot" w:pos="9062"/>
            </w:tabs>
            <w:rPr>
              <w:rFonts w:asciiTheme="minorHAnsi" w:eastAsiaTheme="minorEastAsia" w:hAnsiTheme="minorHAnsi"/>
              <w:noProof/>
              <w:lang w:eastAsia="fr-FR"/>
            </w:rPr>
          </w:pPr>
          <w:hyperlink w:anchor="_Toc112883443" w:history="1">
            <w:r w:rsidRPr="00107418">
              <w:rPr>
                <w:rStyle w:val="Lienhypertexte"/>
                <w:noProof/>
              </w:rPr>
              <w:t>Organisation fonctionnelle</w:t>
            </w:r>
            <w:r>
              <w:rPr>
                <w:noProof/>
                <w:webHidden/>
              </w:rPr>
              <w:tab/>
            </w:r>
            <w:r>
              <w:rPr>
                <w:noProof/>
                <w:webHidden/>
              </w:rPr>
              <w:fldChar w:fldCharType="begin"/>
            </w:r>
            <w:r>
              <w:rPr>
                <w:noProof/>
                <w:webHidden/>
              </w:rPr>
              <w:instrText xml:space="preserve"> PAGEREF _Toc112883443 \h </w:instrText>
            </w:r>
            <w:r>
              <w:rPr>
                <w:noProof/>
                <w:webHidden/>
              </w:rPr>
            </w:r>
            <w:r>
              <w:rPr>
                <w:noProof/>
                <w:webHidden/>
              </w:rPr>
              <w:fldChar w:fldCharType="separate"/>
            </w:r>
            <w:r>
              <w:rPr>
                <w:noProof/>
                <w:webHidden/>
              </w:rPr>
              <w:t>9</w:t>
            </w:r>
            <w:r>
              <w:rPr>
                <w:noProof/>
                <w:webHidden/>
              </w:rPr>
              <w:fldChar w:fldCharType="end"/>
            </w:r>
          </w:hyperlink>
        </w:p>
        <w:p w14:paraId="664D78FE" w14:textId="5D615A21" w:rsidR="009E7804" w:rsidRDefault="009E7804">
          <w:pPr>
            <w:pStyle w:val="TM3"/>
            <w:tabs>
              <w:tab w:val="right" w:leader="dot" w:pos="9062"/>
            </w:tabs>
            <w:rPr>
              <w:rFonts w:asciiTheme="minorHAnsi" w:eastAsiaTheme="minorEastAsia" w:hAnsiTheme="minorHAnsi"/>
              <w:noProof/>
              <w:lang w:eastAsia="fr-FR"/>
            </w:rPr>
          </w:pPr>
          <w:hyperlink w:anchor="_Toc112883444" w:history="1">
            <w:r w:rsidRPr="00107418">
              <w:rPr>
                <w:rStyle w:val="Lienhypertexte"/>
                <w:noProof/>
              </w:rPr>
              <w:t>Détails de l’offre proposée par le régime de base</w:t>
            </w:r>
            <w:r>
              <w:rPr>
                <w:noProof/>
                <w:webHidden/>
              </w:rPr>
              <w:tab/>
            </w:r>
            <w:r>
              <w:rPr>
                <w:noProof/>
                <w:webHidden/>
              </w:rPr>
              <w:fldChar w:fldCharType="begin"/>
            </w:r>
            <w:r>
              <w:rPr>
                <w:noProof/>
                <w:webHidden/>
              </w:rPr>
              <w:instrText xml:space="preserve"> PAGEREF _Toc112883444 \h </w:instrText>
            </w:r>
            <w:r>
              <w:rPr>
                <w:noProof/>
                <w:webHidden/>
              </w:rPr>
            </w:r>
            <w:r>
              <w:rPr>
                <w:noProof/>
                <w:webHidden/>
              </w:rPr>
              <w:fldChar w:fldCharType="separate"/>
            </w:r>
            <w:r>
              <w:rPr>
                <w:noProof/>
                <w:webHidden/>
              </w:rPr>
              <w:t>9</w:t>
            </w:r>
            <w:r>
              <w:rPr>
                <w:noProof/>
                <w:webHidden/>
              </w:rPr>
              <w:fldChar w:fldCharType="end"/>
            </w:r>
          </w:hyperlink>
        </w:p>
        <w:p w14:paraId="45279A50" w14:textId="0FC451B8" w:rsidR="009E7804" w:rsidRDefault="009E7804">
          <w:pPr>
            <w:pStyle w:val="TM3"/>
            <w:tabs>
              <w:tab w:val="right" w:leader="dot" w:pos="9062"/>
            </w:tabs>
            <w:rPr>
              <w:rFonts w:asciiTheme="minorHAnsi" w:eastAsiaTheme="minorEastAsia" w:hAnsiTheme="minorHAnsi"/>
              <w:noProof/>
              <w:lang w:eastAsia="fr-FR"/>
            </w:rPr>
          </w:pPr>
          <w:hyperlink w:anchor="_Toc112883445" w:history="1">
            <w:r w:rsidRPr="00107418">
              <w:rPr>
                <w:rStyle w:val="Lienhypertexte"/>
                <w:noProof/>
              </w:rPr>
              <w:t>Panorama de l’offre de couverture complémentaire</w:t>
            </w:r>
            <w:r>
              <w:rPr>
                <w:noProof/>
                <w:webHidden/>
              </w:rPr>
              <w:tab/>
            </w:r>
            <w:r>
              <w:rPr>
                <w:noProof/>
                <w:webHidden/>
              </w:rPr>
              <w:fldChar w:fldCharType="begin"/>
            </w:r>
            <w:r>
              <w:rPr>
                <w:noProof/>
                <w:webHidden/>
              </w:rPr>
              <w:instrText xml:space="preserve"> PAGEREF _Toc112883445 \h </w:instrText>
            </w:r>
            <w:r>
              <w:rPr>
                <w:noProof/>
                <w:webHidden/>
              </w:rPr>
            </w:r>
            <w:r>
              <w:rPr>
                <w:noProof/>
                <w:webHidden/>
              </w:rPr>
              <w:fldChar w:fldCharType="separate"/>
            </w:r>
            <w:r>
              <w:rPr>
                <w:noProof/>
                <w:webHidden/>
              </w:rPr>
              <w:t>13</w:t>
            </w:r>
            <w:r>
              <w:rPr>
                <w:noProof/>
                <w:webHidden/>
              </w:rPr>
              <w:fldChar w:fldCharType="end"/>
            </w:r>
          </w:hyperlink>
        </w:p>
        <w:p w14:paraId="1B57DA70" w14:textId="6E9230A0" w:rsidR="009E7804" w:rsidRDefault="009E7804">
          <w:pPr>
            <w:pStyle w:val="TM2"/>
            <w:tabs>
              <w:tab w:val="right" w:leader="dot" w:pos="9062"/>
            </w:tabs>
            <w:rPr>
              <w:rFonts w:asciiTheme="minorHAnsi" w:eastAsiaTheme="minorEastAsia" w:hAnsiTheme="minorHAnsi"/>
              <w:noProof/>
              <w:lang w:eastAsia="fr-FR"/>
            </w:rPr>
          </w:pPr>
          <w:hyperlink w:anchor="_Toc112883446" w:history="1">
            <w:r w:rsidRPr="00107418">
              <w:rPr>
                <w:rStyle w:val="Lienhypertexte"/>
                <w:noProof/>
              </w:rPr>
              <w:t>Qu’est-ce que la prévoyance collective ?</w:t>
            </w:r>
            <w:r>
              <w:rPr>
                <w:noProof/>
                <w:webHidden/>
              </w:rPr>
              <w:tab/>
            </w:r>
            <w:r>
              <w:rPr>
                <w:noProof/>
                <w:webHidden/>
              </w:rPr>
              <w:fldChar w:fldCharType="begin"/>
            </w:r>
            <w:r>
              <w:rPr>
                <w:noProof/>
                <w:webHidden/>
              </w:rPr>
              <w:instrText xml:space="preserve"> PAGEREF _Toc112883446 \h </w:instrText>
            </w:r>
            <w:r>
              <w:rPr>
                <w:noProof/>
                <w:webHidden/>
              </w:rPr>
            </w:r>
            <w:r>
              <w:rPr>
                <w:noProof/>
                <w:webHidden/>
              </w:rPr>
              <w:fldChar w:fldCharType="separate"/>
            </w:r>
            <w:r>
              <w:rPr>
                <w:noProof/>
                <w:webHidden/>
              </w:rPr>
              <w:t>15</w:t>
            </w:r>
            <w:r>
              <w:rPr>
                <w:noProof/>
                <w:webHidden/>
              </w:rPr>
              <w:fldChar w:fldCharType="end"/>
            </w:r>
          </w:hyperlink>
        </w:p>
        <w:p w14:paraId="1463B955" w14:textId="4A2206A9" w:rsidR="009E7804" w:rsidRDefault="009E7804">
          <w:pPr>
            <w:pStyle w:val="TM2"/>
            <w:tabs>
              <w:tab w:val="right" w:leader="dot" w:pos="9062"/>
            </w:tabs>
            <w:rPr>
              <w:rFonts w:asciiTheme="minorHAnsi" w:eastAsiaTheme="minorEastAsia" w:hAnsiTheme="minorHAnsi"/>
              <w:noProof/>
              <w:lang w:eastAsia="fr-FR"/>
            </w:rPr>
          </w:pPr>
          <w:hyperlink w:anchor="_Toc112883447" w:history="1">
            <w:r w:rsidRPr="00107418">
              <w:rPr>
                <w:rStyle w:val="Lienhypertexte"/>
                <w:noProof/>
              </w:rPr>
              <w:t>Le risque arrêt de travail en France</w:t>
            </w:r>
            <w:r>
              <w:rPr>
                <w:noProof/>
                <w:webHidden/>
              </w:rPr>
              <w:tab/>
            </w:r>
            <w:r>
              <w:rPr>
                <w:noProof/>
                <w:webHidden/>
              </w:rPr>
              <w:fldChar w:fldCharType="begin"/>
            </w:r>
            <w:r>
              <w:rPr>
                <w:noProof/>
                <w:webHidden/>
              </w:rPr>
              <w:instrText xml:space="preserve"> PAGEREF _Toc112883447 \h </w:instrText>
            </w:r>
            <w:r>
              <w:rPr>
                <w:noProof/>
                <w:webHidden/>
              </w:rPr>
            </w:r>
            <w:r>
              <w:rPr>
                <w:noProof/>
                <w:webHidden/>
              </w:rPr>
              <w:fldChar w:fldCharType="separate"/>
            </w:r>
            <w:r>
              <w:rPr>
                <w:noProof/>
                <w:webHidden/>
              </w:rPr>
              <w:t>16</w:t>
            </w:r>
            <w:r>
              <w:rPr>
                <w:noProof/>
                <w:webHidden/>
              </w:rPr>
              <w:fldChar w:fldCharType="end"/>
            </w:r>
          </w:hyperlink>
        </w:p>
        <w:p w14:paraId="50C99FA9" w14:textId="7618043D" w:rsidR="009E7804" w:rsidRDefault="009E7804">
          <w:pPr>
            <w:pStyle w:val="TM3"/>
            <w:tabs>
              <w:tab w:val="right" w:leader="dot" w:pos="9062"/>
            </w:tabs>
            <w:rPr>
              <w:rFonts w:asciiTheme="minorHAnsi" w:eastAsiaTheme="minorEastAsia" w:hAnsiTheme="minorHAnsi"/>
              <w:noProof/>
              <w:lang w:eastAsia="fr-FR"/>
            </w:rPr>
          </w:pPr>
          <w:hyperlink w:anchor="_Toc112883448" w:history="1">
            <w:r w:rsidRPr="00107418">
              <w:rPr>
                <w:rStyle w:val="Lienhypertexte"/>
                <w:noProof/>
              </w:rPr>
              <w:t>Contexte général</w:t>
            </w:r>
            <w:r>
              <w:rPr>
                <w:noProof/>
                <w:webHidden/>
              </w:rPr>
              <w:tab/>
            </w:r>
            <w:r>
              <w:rPr>
                <w:noProof/>
                <w:webHidden/>
              </w:rPr>
              <w:fldChar w:fldCharType="begin"/>
            </w:r>
            <w:r>
              <w:rPr>
                <w:noProof/>
                <w:webHidden/>
              </w:rPr>
              <w:instrText xml:space="preserve"> PAGEREF _Toc112883448 \h </w:instrText>
            </w:r>
            <w:r>
              <w:rPr>
                <w:noProof/>
                <w:webHidden/>
              </w:rPr>
            </w:r>
            <w:r>
              <w:rPr>
                <w:noProof/>
                <w:webHidden/>
              </w:rPr>
              <w:fldChar w:fldCharType="separate"/>
            </w:r>
            <w:r>
              <w:rPr>
                <w:noProof/>
                <w:webHidden/>
              </w:rPr>
              <w:t>16</w:t>
            </w:r>
            <w:r>
              <w:rPr>
                <w:noProof/>
                <w:webHidden/>
              </w:rPr>
              <w:fldChar w:fldCharType="end"/>
            </w:r>
          </w:hyperlink>
        </w:p>
        <w:p w14:paraId="61FEEF8F" w14:textId="1327C284" w:rsidR="009E7804" w:rsidRDefault="009E7804">
          <w:pPr>
            <w:pStyle w:val="TM3"/>
            <w:tabs>
              <w:tab w:val="right" w:leader="dot" w:pos="9062"/>
            </w:tabs>
            <w:rPr>
              <w:rFonts w:asciiTheme="minorHAnsi" w:eastAsiaTheme="minorEastAsia" w:hAnsiTheme="minorHAnsi"/>
              <w:noProof/>
              <w:lang w:eastAsia="fr-FR"/>
            </w:rPr>
          </w:pPr>
          <w:hyperlink w:anchor="_Toc112883449" w:history="1">
            <w:r w:rsidRPr="00107418">
              <w:rPr>
                <w:rStyle w:val="Lienhypertexte"/>
                <w:noProof/>
              </w:rPr>
              <w:t>Environnement juridique</w:t>
            </w:r>
            <w:r>
              <w:rPr>
                <w:noProof/>
                <w:webHidden/>
              </w:rPr>
              <w:tab/>
            </w:r>
            <w:r>
              <w:rPr>
                <w:noProof/>
                <w:webHidden/>
              </w:rPr>
              <w:fldChar w:fldCharType="begin"/>
            </w:r>
            <w:r>
              <w:rPr>
                <w:noProof/>
                <w:webHidden/>
              </w:rPr>
              <w:instrText xml:space="preserve"> PAGEREF _Toc112883449 \h </w:instrText>
            </w:r>
            <w:r>
              <w:rPr>
                <w:noProof/>
                <w:webHidden/>
              </w:rPr>
            </w:r>
            <w:r>
              <w:rPr>
                <w:noProof/>
                <w:webHidden/>
              </w:rPr>
              <w:fldChar w:fldCharType="separate"/>
            </w:r>
            <w:r>
              <w:rPr>
                <w:noProof/>
                <w:webHidden/>
              </w:rPr>
              <w:t>17</w:t>
            </w:r>
            <w:r>
              <w:rPr>
                <w:noProof/>
                <w:webHidden/>
              </w:rPr>
              <w:fldChar w:fldCharType="end"/>
            </w:r>
          </w:hyperlink>
        </w:p>
        <w:p w14:paraId="0C3920A3" w14:textId="3E0F0855" w:rsidR="009E7804" w:rsidRDefault="009E7804">
          <w:pPr>
            <w:pStyle w:val="TM1"/>
            <w:tabs>
              <w:tab w:val="right" w:leader="dot" w:pos="9062"/>
            </w:tabs>
            <w:rPr>
              <w:rFonts w:asciiTheme="minorHAnsi" w:eastAsiaTheme="minorEastAsia" w:hAnsiTheme="minorHAnsi"/>
              <w:noProof/>
              <w:lang w:eastAsia="fr-FR"/>
            </w:rPr>
          </w:pPr>
          <w:hyperlink w:anchor="_Toc112883450" w:history="1">
            <w:r w:rsidRPr="00107418">
              <w:rPr>
                <w:rStyle w:val="Lienhypertexte"/>
                <w:noProof/>
              </w:rPr>
              <w:t>L’absentéisme en entreprise en France</w:t>
            </w:r>
            <w:r>
              <w:rPr>
                <w:noProof/>
                <w:webHidden/>
              </w:rPr>
              <w:tab/>
            </w:r>
            <w:r>
              <w:rPr>
                <w:noProof/>
                <w:webHidden/>
              </w:rPr>
              <w:fldChar w:fldCharType="begin"/>
            </w:r>
            <w:r>
              <w:rPr>
                <w:noProof/>
                <w:webHidden/>
              </w:rPr>
              <w:instrText xml:space="preserve"> PAGEREF _Toc112883450 \h </w:instrText>
            </w:r>
            <w:r>
              <w:rPr>
                <w:noProof/>
                <w:webHidden/>
              </w:rPr>
            </w:r>
            <w:r>
              <w:rPr>
                <w:noProof/>
                <w:webHidden/>
              </w:rPr>
              <w:fldChar w:fldCharType="separate"/>
            </w:r>
            <w:r>
              <w:rPr>
                <w:noProof/>
                <w:webHidden/>
              </w:rPr>
              <w:t>19</w:t>
            </w:r>
            <w:r>
              <w:rPr>
                <w:noProof/>
                <w:webHidden/>
              </w:rPr>
              <w:fldChar w:fldCharType="end"/>
            </w:r>
          </w:hyperlink>
        </w:p>
        <w:p w14:paraId="06A5BEF9" w14:textId="5433716E" w:rsidR="009E7804" w:rsidRDefault="009E7804">
          <w:pPr>
            <w:pStyle w:val="TM2"/>
            <w:tabs>
              <w:tab w:val="right" w:leader="dot" w:pos="9062"/>
            </w:tabs>
            <w:rPr>
              <w:rFonts w:asciiTheme="minorHAnsi" w:eastAsiaTheme="minorEastAsia" w:hAnsiTheme="minorHAnsi"/>
              <w:noProof/>
              <w:lang w:eastAsia="fr-FR"/>
            </w:rPr>
          </w:pPr>
          <w:hyperlink w:anchor="_Toc112883451" w:history="1">
            <w:r w:rsidRPr="00107418">
              <w:rPr>
                <w:rStyle w:val="Lienhypertexte"/>
                <w:noProof/>
              </w:rPr>
              <w:t>Qu’est-ce que l’absentéisme ?</w:t>
            </w:r>
            <w:r>
              <w:rPr>
                <w:noProof/>
                <w:webHidden/>
              </w:rPr>
              <w:tab/>
            </w:r>
            <w:r>
              <w:rPr>
                <w:noProof/>
                <w:webHidden/>
              </w:rPr>
              <w:fldChar w:fldCharType="begin"/>
            </w:r>
            <w:r>
              <w:rPr>
                <w:noProof/>
                <w:webHidden/>
              </w:rPr>
              <w:instrText xml:space="preserve"> PAGEREF _Toc112883451 \h </w:instrText>
            </w:r>
            <w:r>
              <w:rPr>
                <w:noProof/>
                <w:webHidden/>
              </w:rPr>
            </w:r>
            <w:r>
              <w:rPr>
                <w:noProof/>
                <w:webHidden/>
              </w:rPr>
              <w:fldChar w:fldCharType="separate"/>
            </w:r>
            <w:r>
              <w:rPr>
                <w:noProof/>
                <w:webHidden/>
              </w:rPr>
              <w:t>19</w:t>
            </w:r>
            <w:r>
              <w:rPr>
                <w:noProof/>
                <w:webHidden/>
              </w:rPr>
              <w:fldChar w:fldCharType="end"/>
            </w:r>
          </w:hyperlink>
        </w:p>
        <w:p w14:paraId="1F9BFAF3" w14:textId="57051596" w:rsidR="009E7804" w:rsidRDefault="009E7804">
          <w:pPr>
            <w:pStyle w:val="TM2"/>
            <w:tabs>
              <w:tab w:val="right" w:leader="dot" w:pos="9062"/>
            </w:tabs>
            <w:rPr>
              <w:rFonts w:asciiTheme="minorHAnsi" w:eastAsiaTheme="minorEastAsia" w:hAnsiTheme="minorHAnsi"/>
              <w:noProof/>
              <w:lang w:eastAsia="fr-FR"/>
            </w:rPr>
          </w:pPr>
          <w:hyperlink w:anchor="_Toc112883452" w:history="1">
            <w:r w:rsidRPr="00107418">
              <w:rPr>
                <w:rStyle w:val="Lienhypertexte"/>
                <w:noProof/>
              </w:rPr>
              <w:t>Quelles sont les causes de l’absentéisme ?</w:t>
            </w:r>
            <w:r>
              <w:rPr>
                <w:noProof/>
                <w:webHidden/>
              </w:rPr>
              <w:tab/>
            </w:r>
            <w:r>
              <w:rPr>
                <w:noProof/>
                <w:webHidden/>
              </w:rPr>
              <w:fldChar w:fldCharType="begin"/>
            </w:r>
            <w:r>
              <w:rPr>
                <w:noProof/>
                <w:webHidden/>
              </w:rPr>
              <w:instrText xml:space="preserve"> PAGEREF _Toc112883452 \h </w:instrText>
            </w:r>
            <w:r>
              <w:rPr>
                <w:noProof/>
                <w:webHidden/>
              </w:rPr>
            </w:r>
            <w:r>
              <w:rPr>
                <w:noProof/>
                <w:webHidden/>
              </w:rPr>
              <w:fldChar w:fldCharType="separate"/>
            </w:r>
            <w:r>
              <w:rPr>
                <w:noProof/>
                <w:webHidden/>
              </w:rPr>
              <w:t>19</w:t>
            </w:r>
            <w:r>
              <w:rPr>
                <w:noProof/>
                <w:webHidden/>
              </w:rPr>
              <w:fldChar w:fldCharType="end"/>
            </w:r>
          </w:hyperlink>
        </w:p>
        <w:p w14:paraId="3DF7015D" w14:textId="592862A2" w:rsidR="009E7804" w:rsidRDefault="009E7804">
          <w:pPr>
            <w:pStyle w:val="TM2"/>
            <w:tabs>
              <w:tab w:val="right" w:leader="dot" w:pos="9062"/>
            </w:tabs>
            <w:rPr>
              <w:rFonts w:asciiTheme="minorHAnsi" w:eastAsiaTheme="minorEastAsia" w:hAnsiTheme="minorHAnsi"/>
              <w:noProof/>
              <w:lang w:eastAsia="fr-FR"/>
            </w:rPr>
          </w:pPr>
          <w:hyperlink w:anchor="_Toc112883453" w:history="1">
            <w:r w:rsidRPr="00107418">
              <w:rPr>
                <w:rStyle w:val="Lienhypertexte"/>
                <w:noProof/>
              </w:rPr>
              <w:t>Comment mesurer l’absentéisme en entreprise ?</w:t>
            </w:r>
            <w:r>
              <w:rPr>
                <w:noProof/>
                <w:webHidden/>
              </w:rPr>
              <w:tab/>
            </w:r>
            <w:r>
              <w:rPr>
                <w:noProof/>
                <w:webHidden/>
              </w:rPr>
              <w:fldChar w:fldCharType="begin"/>
            </w:r>
            <w:r>
              <w:rPr>
                <w:noProof/>
                <w:webHidden/>
              </w:rPr>
              <w:instrText xml:space="preserve"> PAGEREF _Toc112883453 \h </w:instrText>
            </w:r>
            <w:r>
              <w:rPr>
                <w:noProof/>
                <w:webHidden/>
              </w:rPr>
            </w:r>
            <w:r>
              <w:rPr>
                <w:noProof/>
                <w:webHidden/>
              </w:rPr>
              <w:fldChar w:fldCharType="separate"/>
            </w:r>
            <w:r>
              <w:rPr>
                <w:noProof/>
                <w:webHidden/>
              </w:rPr>
              <w:t>21</w:t>
            </w:r>
            <w:r>
              <w:rPr>
                <w:noProof/>
                <w:webHidden/>
              </w:rPr>
              <w:fldChar w:fldCharType="end"/>
            </w:r>
          </w:hyperlink>
        </w:p>
        <w:p w14:paraId="47FC1265" w14:textId="0EF7C85F" w:rsidR="009E7804" w:rsidRDefault="009E7804">
          <w:pPr>
            <w:pStyle w:val="TM2"/>
            <w:tabs>
              <w:tab w:val="right" w:leader="dot" w:pos="9062"/>
            </w:tabs>
            <w:rPr>
              <w:rFonts w:asciiTheme="minorHAnsi" w:eastAsiaTheme="minorEastAsia" w:hAnsiTheme="minorHAnsi"/>
              <w:noProof/>
              <w:lang w:eastAsia="fr-FR"/>
            </w:rPr>
          </w:pPr>
          <w:hyperlink w:anchor="_Toc112883454" w:history="1">
            <w:r w:rsidRPr="00107418">
              <w:rPr>
                <w:rStyle w:val="Lienhypertexte"/>
                <w:noProof/>
              </w:rPr>
              <w:t>Quel est son coût réel sur les entreprises ?</w:t>
            </w:r>
            <w:r>
              <w:rPr>
                <w:noProof/>
                <w:webHidden/>
              </w:rPr>
              <w:tab/>
            </w:r>
            <w:r>
              <w:rPr>
                <w:noProof/>
                <w:webHidden/>
              </w:rPr>
              <w:fldChar w:fldCharType="begin"/>
            </w:r>
            <w:r>
              <w:rPr>
                <w:noProof/>
                <w:webHidden/>
              </w:rPr>
              <w:instrText xml:space="preserve"> PAGEREF _Toc112883454 \h </w:instrText>
            </w:r>
            <w:r>
              <w:rPr>
                <w:noProof/>
                <w:webHidden/>
              </w:rPr>
            </w:r>
            <w:r>
              <w:rPr>
                <w:noProof/>
                <w:webHidden/>
              </w:rPr>
              <w:fldChar w:fldCharType="separate"/>
            </w:r>
            <w:r>
              <w:rPr>
                <w:noProof/>
                <w:webHidden/>
              </w:rPr>
              <w:t>23</w:t>
            </w:r>
            <w:r>
              <w:rPr>
                <w:noProof/>
                <w:webHidden/>
              </w:rPr>
              <w:fldChar w:fldCharType="end"/>
            </w:r>
          </w:hyperlink>
        </w:p>
        <w:p w14:paraId="2C5A7CB7" w14:textId="3DED710C" w:rsidR="009E7804" w:rsidRDefault="009E7804">
          <w:pPr>
            <w:pStyle w:val="TM1"/>
            <w:tabs>
              <w:tab w:val="right" w:leader="dot" w:pos="9062"/>
            </w:tabs>
            <w:rPr>
              <w:rFonts w:asciiTheme="minorHAnsi" w:eastAsiaTheme="minorEastAsia" w:hAnsiTheme="minorHAnsi"/>
              <w:noProof/>
              <w:lang w:eastAsia="fr-FR"/>
            </w:rPr>
          </w:pPr>
          <w:hyperlink w:anchor="_Toc112883455" w:history="1">
            <w:r w:rsidRPr="00107418">
              <w:rPr>
                <w:rStyle w:val="Lienhypertexte"/>
                <w:noProof/>
              </w:rPr>
              <w:t>Présentation de la base données</w:t>
            </w:r>
            <w:r>
              <w:rPr>
                <w:noProof/>
                <w:webHidden/>
              </w:rPr>
              <w:tab/>
            </w:r>
            <w:r>
              <w:rPr>
                <w:noProof/>
                <w:webHidden/>
              </w:rPr>
              <w:fldChar w:fldCharType="begin"/>
            </w:r>
            <w:r>
              <w:rPr>
                <w:noProof/>
                <w:webHidden/>
              </w:rPr>
              <w:instrText xml:space="preserve"> PAGEREF _Toc112883455 \h </w:instrText>
            </w:r>
            <w:r>
              <w:rPr>
                <w:noProof/>
                <w:webHidden/>
              </w:rPr>
            </w:r>
            <w:r>
              <w:rPr>
                <w:noProof/>
                <w:webHidden/>
              </w:rPr>
              <w:fldChar w:fldCharType="separate"/>
            </w:r>
            <w:r>
              <w:rPr>
                <w:noProof/>
                <w:webHidden/>
              </w:rPr>
              <w:t>24</w:t>
            </w:r>
            <w:r>
              <w:rPr>
                <w:noProof/>
                <w:webHidden/>
              </w:rPr>
              <w:fldChar w:fldCharType="end"/>
            </w:r>
          </w:hyperlink>
        </w:p>
        <w:p w14:paraId="266F5206" w14:textId="2593824C" w:rsidR="009E7804" w:rsidRDefault="009E7804">
          <w:pPr>
            <w:pStyle w:val="TM2"/>
            <w:tabs>
              <w:tab w:val="right" w:leader="dot" w:pos="9062"/>
            </w:tabs>
            <w:rPr>
              <w:rFonts w:asciiTheme="minorHAnsi" w:eastAsiaTheme="minorEastAsia" w:hAnsiTheme="minorHAnsi"/>
              <w:noProof/>
              <w:lang w:eastAsia="fr-FR"/>
            </w:rPr>
          </w:pPr>
          <w:hyperlink w:anchor="_Toc112883456" w:history="1">
            <w:r w:rsidRPr="00107418">
              <w:rPr>
                <w:rStyle w:val="Lienhypertexte"/>
                <w:noProof/>
              </w:rPr>
              <w:t>Extraction de la base de données</w:t>
            </w:r>
            <w:r>
              <w:rPr>
                <w:noProof/>
                <w:webHidden/>
              </w:rPr>
              <w:tab/>
            </w:r>
            <w:r>
              <w:rPr>
                <w:noProof/>
                <w:webHidden/>
              </w:rPr>
              <w:fldChar w:fldCharType="begin"/>
            </w:r>
            <w:r>
              <w:rPr>
                <w:noProof/>
                <w:webHidden/>
              </w:rPr>
              <w:instrText xml:space="preserve"> PAGEREF _Toc112883456 \h </w:instrText>
            </w:r>
            <w:r>
              <w:rPr>
                <w:noProof/>
                <w:webHidden/>
              </w:rPr>
            </w:r>
            <w:r>
              <w:rPr>
                <w:noProof/>
                <w:webHidden/>
              </w:rPr>
              <w:fldChar w:fldCharType="separate"/>
            </w:r>
            <w:r>
              <w:rPr>
                <w:noProof/>
                <w:webHidden/>
              </w:rPr>
              <w:t>24</w:t>
            </w:r>
            <w:r>
              <w:rPr>
                <w:noProof/>
                <w:webHidden/>
              </w:rPr>
              <w:fldChar w:fldCharType="end"/>
            </w:r>
          </w:hyperlink>
        </w:p>
        <w:p w14:paraId="17AA65FB" w14:textId="295BA54C" w:rsidR="009E7804" w:rsidRDefault="009E7804">
          <w:pPr>
            <w:pStyle w:val="TM2"/>
            <w:tabs>
              <w:tab w:val="right" w:leader="dot" w:pos="9062"/>
            </w:tabs>
            <w:rPr>
              <w:rFonts w:asciiTheme="minorHAnsi" w:eastAsiaTheme="minorEastAsia" w:hAnsiTheme="minorHAnsi"/>
              <w:noProof/>
              <w:lang w:eastAsia="fr-FR"/>
            </w:rPr>
          </w:pPr>
          <w:hyperlink w:anchor="_Toc112883457" w:history="1">
            <w:r w:rsidRPr="00107418">
              <w:rPr>
                <w:rStyle w:val="Lienhypertexte"/>
                <w:noProof/>
              </w:rPr>
              <w:t>Quelle est la structure de la base de données d’étude ?</w:t>
            </w:r>
            <w:r>
              <w:rPr>
                <w:noProof/>
                <w:webHidden/>
              </w:rPr>
              <w:tab/>
            </w:r>
            <w:r>
              <w:rPr>
                <w:noProof/>
                <w:webHidden/>
              </w:rPr>
              <w:fldChar w:fldCharType="begin"/>
            </w:r>
            <w:r>
              <w:rPr>
                <w:noProof/>
                <w:webHidden/>
              </w:rPr>
              <w:instrText xml:space="preserve"> PAGEREF _Toc112883457 \h </w:instrText>
            </w:r>
            <w:r>
              <w:rPr>
                <w:noProof/>
                <w:webHidden/>
              </w:rPr>
            </w:r>
            <w:r>
              <w:rPr>
                <w:noProof/>
                <w:webHidden/>
              </w:rPr>
              <w:fldChar w:fldCharType="separate"/>
            </w:r>
            <w:r>
              <w:rPr>
                <w:noProof/>
                <w:webHidden/>
              </w:rPr>
              <w:t>24</w:t>
            </w:r>
            <w:r>
              <w:rPr>
                <w:noProof/>
                <w:webHidden/>
              </w:rPr>
              <w:fldChar w:fldCharType="end"/>
            </w:r>
          </w:hyperlink>
        </w:p>
        <w:p w14:paraId="7F1711B1" w14:textId="32FFFC3C" w:rsidR="009E7804" w:rsidRDefault="009E7804">
          <w:pPr>
            <w:pStyle w:val="TM1"/>
            <w:tabs>
              <w:tab w:val="right" w:leader="dot" w:pos="9062"/>
            </w:tabs>
            <w:rPr>
              <w:rFonts w:asciiTheme="minorHAnsi" w:eastAsiaTheme="minorEastAsia" w:hAnsiTheme="minorHAnsi"/>
              <w:noProof/>
              <w:lang w:eastAsia="fr-FR"/>
            </w:rPr>
          </w:pPr>
          <w:hyperlink w:anchor="_Toc112883458" w:history="1">
            <w:r w:rsidRPr="00107418">
              <w:rPr>
                <w:rStyle w:val="Lienhypertexte"/>
                <w:noProof/>
              </w:rPr>
              <w:t>Traitement de la donnée</w:t>
            </w:r>
            <w:r>
              <w:rPr>
                <w:noProof/>
                <w:webHidden/>
              </w:rPr>
              <w:tab/>
            </w:r>
            <w:r>
              <w:rPr>
                <w:noProof/>
                <w:webHidden/>
              </w:rPr>
              <w:fldChar w:fldCharType="begin"/>
            </w:r>
            <w:r>
              <w:rPr>
                <w:noProof/>
                <w:webHidden/>
              </w:rPr>
              <w:instrText xml:space="preserve"> PAGEREF _Toc112883458 \h </w:instrText>
            </w:r>
            <w:r>
              <w:rPr>
                <w:noProof/>
                <w:webHidden/>
              </w:rPr>
            </w:r>
            <w:r>
              <w:rPr>
                <w:noProof/>
                <w:webHidden/>
              </w:rPr>
              <w:fldChar w:fldCharType="separate"/>
            </w:r>
            <w:r>
              <w:rPr>
                <w:noProof/>
                <w:webHidden/>
              </w:rPr>
              <w:t>26</w:t>
            </w:r>
            <w:r>
              <w:rPr>
                <w:noProof/>
                <w:webHidden/>
              </w:rPr>
              <w:fldChar w:fldCharType="end"/>
            </w:r>
          </w:hyperlink>
        </w:p>
        <w:p w14:paraId="330EA664" w14:textId="5A7F1E9D" w:rsidR="009E7804" w:rsidRDefault="009E7804">
          <w:pPr>
            <w:pStyle w:val="TM2"/>
            <w:tabs>
              <w:tab w:val="right" w:leader="dot" w:pos="9062"/>
            </w:tabs>
            <w:rPr>
              <w:rFonts w:asciiTheme="minorHAnsi" w:eastAsiaTheme="minorEastAsia" w:hAnsiTheme="minorHAnsi"/>
              <w:noProof/>
              <w:lang w:eastAsia="fr-FR"/>
            </w:rPr>
          </w:pPr>
          <w:hyperlink w:anchor="_Toc112883459" w:history="1">
            <w:r w:rsidRPr="00107418">
              <w:rPr>
                <w:rStyle w:val="Lienhypertexte"/>
                <w:noProof/>
              </w:rPr>
              <w:t>Ciblage sur le risque arrêt de travail</w:t>
            </w:r>
            <w:r>
              <w:rPr>
                <w:noProof/>
                <w:webHidden/>
              </w:rPr>
              <w:tab/>
            </w:r>
            <w:r>
              <w:rPr>
                <w:noProof/>
                <w:webHidden/>
              </w:rPr>
              <w:fldChar w:fldCharType="begin"/>
            </w:r>
            <w:r>
              <w:rPr>
                <w:noProof/>
                <w:webHidden/>
              </w:rPr>
              <w:instrText xml:space="preserve"> PAGEREF _Toc112883459 \h </w:instrText>
            </w:r>
            <w:r>
              <w:rPr>
                <w:noProof/>
                <w:webHidden/>
              </w:rPr>
            </w:r>
            <w:r>
              <w:rPr>
                <w:noProof/>
                <w:webHidden/>
              </w:rPr>
              <w:fldChar w:fldCharType="separate"/>
            </w:r>
            <w:r>
              <w:rPr>
                <w:noProof/>
                <w:webHidden/>
              </w:rPr>
              <w:t>26</w:t>
            </w:r>
            <w:r>
              <w:rPr>
                <w:noProof/>
                <w:webHidden/>
              </w:rPr>
              <w:fldChar w:fldCharType="end"/>
            </w:r>
          </w:hyperlink>
        </w:p>
        <w:p w14:paraId="5412242B" w14:textId="320164BE" w:rsidR="009E7804" w:rsidRDefault="009E7804">
          <w:pPr>
            <w:pStyle w:val="TM2"/>
            <w:tabs>
              <w:tab w:val="right" w:leader="dot" w:pos="9062"/>
            </w:tabs>
            <w:rPr>
              <w:rFonts w:asciiTheme="minorHAnsi" w:eastAsiaTheme="minorEastAsia" w:hAnsiTheme="minorHAnsi"/>
              <w:noProof/>
              <w:lang w:eastAsia="fr-FR"/>
            </w:rPr>
          </w:pPr>
          <w:hyperlink w:anchor="_Toc112883460" w:history="1">
            <w:r w:rsidRPr="00107418">
              <w:rPr>
                <w:rStyle w:val="Lienhypertexte"/>
                <w:noProof/>
              </w:rPr>
              <w:t>Quels choix a-t-on effectué pour le nettoyage de la base de données ?</w:t>
            </w:r>
            <w:r>
              <w:rPr>
                <w:noProof/>
                <w:webHidden/>
              </w:rPr>
              <w:tab/>
            </w:r>
            <w:r>
              <w:rPr>
                <w:noProof/>
                <w:webHidden/>
              </w:rPr>
              <w:fldChar w:fldCharType="begin"/>
            </w:r>
            <w:r>
              <w:rPr>
                <w:noProof/>
                <w:webHidden/>
              </w:rPr>
              <w:instrText xml:space="preserve"> PAGEREF _Toc112883460 \h </w:instrText>
            </w:r>
            <w:r>
              <w:rPr>
                <w:noProof/>
                <w:webHidden/>
              </w:rPr>
            </w:r>
            <w:r>
              <w:rPr>
                <w:noProof/>
                <w:webHidden/>
              </w:rPr>
              <w:fldChar w:fldCharType="separate"/>
            </w:r>
            <w:r>
              <w:rPr>
                <w:noProof/>
                <w:webHidden/>
              </w:rPr>
              <w:t>26</w:t>
            </w:r>
            <w:r>
              <w:rPr>
                <w:noProof/>
                <w:webHidden/>
              </w:rPr>
              <w:fldChar w:fldCharType="end"/>
            </w:r>
          </w:hyperlink>
        </w:p>
        <w:p w14:paraId="5702574B" w14:textId="55C72F42" w:rsidR="009E7804" w:rsidRDefault="009E7804">
          <w:pPr>
            <w:pStyle w:val="TM2"/>
            <w:tabs>
              <w:tab w:val="right" w:leader="dot" w:pos="9062"/>
            </w:tabs>
            <w:rPr>
              <w:rFonts w:asciiTheme="minorHAnsi" w:eastAsiaTheme="minorEastAsia" w:hAnsiTheme="minorHAnsi"/>
              <w:noProof/>
              <w:lang w:eastAsia="fr-FR"/>
            </w:rPr>
          </w:pPr>
          <w:hyperlink w:anchor="_Toc112883461" w:history="1">
            <w:r w:rsidRPr="00107418">
              <w:rPr>
                <w:rStyle w:val="Lienhypertexte"/>
                <w:noProof/>
              </w:rPr>
              <w:t>Variables d’étude à calculer</w:t>
            </w:r>
            <w:r>
              <w:rPr>
                <w:noProof/>
                <w:webHidden/>
              </w:rPr>
              <w:tab/>
            </w:r>
            <w:r>
              <w:rPr>
                <w:noProof/>
                <w:webHidden/>
              </w:rPr>
              <w:fldChar w:fldCharType="begin"/>
            </w:r>
            <w:r>
              <w:rPr>
                <w:noProof/>
                <w:webHidden/>
              </w:rPr>
              <w:instrText xml:space="preserve"> PAGEREF _Toc112883461 \h </w:instrText>
            </w:r>
            <w:r>
              <w:rPr>
                <w:noProof/>
                <w:webHidden/>
              </w:rPr>
            </w:r>
            <w:r>
              <w:rPr>
                <w:noProof/>
                <w:webHidden/>
              </w:rPr>
              <w:fldChar w:fldCharType="separate"/>
            </w:r>
            <w:r>
              <w:rPr>
                <w:noProof/>
                <w:webHidden/>
              </w:rPr>
              <w:t>27</w:t>
            </w:r>
            <w:r>
              <w:rPr>
                <w:noProof/>
                <w:webHidden/>
              </w:rPr>
              <w:fldChar w:fldCharType="end"/>
            </w:r>
          </w:hyperlink>
        </w:p>
        <w:p w14:paraId="0FDBB1A4" w14:textId="31A1229F" w:rsidR="009E7804" w:rsidRDefault="009E7804">
          <w:pPr>
            <w:pStyle w:val="TM3"/>
            <w:tabs>
              <w:tab w:val="right" w:leader="dot" w:pos="9062"/>
            </w:tabs>
            <w:rPr>
              <w:rFonts w:asciiTheme="minorHAnsi" w:eastAsiaTheme="minorEastAsia" w:hAnsiTheme="minorHAnsi"/>
              <w:noProof/>
              <w:lang w:eastAsia="fr-FR"/>
            </w:rPr>
          </w:pPr>
          <w:hyperlink w:anchor="_Toc112883462" w:history="1">
            <w:r w:rsidRPr="00107418">
              <w:rPr>
                <w:rStyle w:val="Lienhypertexte"/>
                <w:noProof/>
              </w:rPr>
              <w:t>Durée de l’arrêt de travail</w:t>
            </w:r>
            <w:r>
              <w:rPr>
                <w:noProof/>
                <w:webHidden/>
              </w:rPr>
              <w:tab/>
            </w:r>
            <w:r>
              <w:rPr>
                <w:noProof/>
                <w:webHidden/>
              </w:rPr>
              <w:fldChar w:fldCharType="begin"/>
            </w:r>
            <w:r>
              <w:rPr>
                <w:noProof/>
                <w:webHidden/>
              </w:rPr>
              <w:instrText xml:space="preserve"> PAGEREF _Toc112883462 \h </w:instrText>
            </w:r>
            <w:r>
              <w:rPr>
                <w:noProof/>
                <w:webHidden/>
              </w:rPr>
            </w:r>
            <w:r>
              <w:rPr>
                <w:noProof/>
                <w:webHidden/>
              </w:rPr>
              <w:fldChar w:fldCharType="separate"/>
            </w:r>
            <w:r>
              <w:rPr>
                <w:noProof/>
                <w:webHidden/>
              </w:rPr>
              <w:t>27</w:t>
            </w:r>
            <w:r>
              <w:rPr>
                <w:noProof/>
                <w:webHidden/>
              </w:rPr>
              <w:fldChar w:fldCharType="end"/>
            </w:r>
          </w:hyperlink>
        </w:p>
        <w:p w14:paraId="7A3A8870" w14:textId="48DDC5B6" w:rsidR="009E7804" w:rsidRDefault="009E7804">
          <w:pPr>
            <w:pStyle w:val="TM3"/>
            <w:tabs>
              <w:tab w:val="right" w:leader="dot" w:pos="9062"/>
            </w:tabs>
            <w:rPr>
              <w:rFonts w:asciiTheme="minorHAnsi" w:eastAsiaTheme="minorEastAsia" w:hAnsiTheme="minorHAnsi"/>
              <w:noProof/>
              <w:lang w:eastAsia="fr-FR"/>
            </w:rPr>
          </w:pPr>
          <w:hyperlink w:anchor="_Toc112883463" w:history="1">
            <w:r w:rsidRPr="00107418">
              <w:rPr>
                <w:rStyle w:val="Lienhypertexte"/>
                <w:noProof/>
              </w:rPr>
              <w:t>Taux d’absentéisme</w:t>
            </w:r>
            <w:r>
              <w:rPr>
                <w:noProof/>
                <w:webHidden/>
              </w:rPr>
              <w:tab/>
            </w:r>
            <w:r>
              <w:rPr>
                <w:noProof/>
                <w:webHidden/>
              </w:rPr>
              <w:fldChar w:fldCharType="begin"/>
            </w:r>
            <w:r>
              <w:rPr>
                <w:noProof/>
                <w:webHidden/>
              </w:rPr>
              <w:instrText xml:space="preserve"> PAGEREF _Toc112883463 \h </w:instrText>
            </w:r>
            <w:r>
              <w:rPr>
                <w:noProof/>
                <w:webHidden/>
              </w:rPr>
            </w:r>
            <w:r>
              <w:rPr>
                <w:noProof/>
                <w:webHidden/>
              </w:rPr>
              <w:fldChar w:fldCharType="separate"/>
            </w:r>
            <w:r>
              <w:rPr>
                <w:noProof/>
                <w:webHidden/>
              </w:rPr>
              <w:t>27</w:t>
            </w:r>
            <w:r>
              <w:rPr>
                <w:noProof/>
                <w:webHidden/>
              </w:rPr>
              <w:fldChar w:fldCharType="end"/>
            </w:r>
          </w:hyperlink>
        </w:p>
        <w:p w14:paraId="329122CE" w14:textId="195D9B15" w:rsidR="009E7804" w:rsidRDefault="009E7804">
          <w:pPr>
            <w:pStyle w:val="TM1"/>
            <w:tabs>
              <w:tab w:val="right" w:leader="dot" w:pos="9062"/>
            </w:tabs>
            <w:rPr>
              <w:rFonts w:asciiTheme="minorHAnsi" w:eastAsiaTheme="minorEastAsia" w:hAnsiTheme="minorHAnsi"/>
              <w:noProof/>
              <w:lang w:eastAsia="fr-FR"/>
            </w:rPr>
          </w:pPr>
          <w:hyperlink w:anchor="_Toc112883464" w:history="1">
            <w:r w:rsidRPr="00107418">
              <w:rPr>
                <w:rStyle w:val="Lienhypertexte"/>
                <w:noProof/>
              </w:rPr>
              <w:t>Analyse descriptive</w:t>
            </w:r>
            <w:r>
              <w:rPr>
                <w:noProof/>
                <w:webHidden/>
              </w:rPr>
              <w:tab/>
            </w:r>
            <w:r>
              <w:rPr>
                <w:noProof/>
                <w:webHidden/>
              </w:rPr>
              <w:fldChar w:fldCharType="begin"/>
            </w:r>
            <w:r>
              <w:rPr>
                <w:noProof/>
                <w:webHidden/>
              </w:rPr>
              <w:instrText xml:space="preserve"> PAGEREF _Toc112883464 \h </w:instrText>
            </w:r>
            <w:r>
              <w:rPr>
                <w:noProof/>
                <w:webHidden/>
              </w:rPr>
            </w:r>
            <w:r>
              <w:rPr>
                <w:noProof/>
                <w:webHidden/>
              </w:rPr>
              <w:fldChar w:fldCharType="separate"/>
            </w:r>
            <w:r>
              <w:rPr>
                <w:noProof/>
                <w:webHidden/>
              </w:rPr>
              <w:t>28</w:t>
            </w:r>
            <w:r>
              <w:rPr>
                <w:noProof/>
                <w:webHidden/>
              </w:rPr>
              <w:fldChar w:fldCharType="end"/>
            </w:r>
          </w:hyperlink>
        </w:p>
        <w:p w14:paraId="04F104E4" w14:textId="1CA948FA" w:rsidR="009E7804" w:rsidRDefault="009E7804">
          <w:pPr>
            <w:pStyle w:val="TM2"/>
            <w:tabs>
              <w:tab w:val="right" w:leader="dot" w:pos="9062"/>
            </w:tabs>
            <w:rPr>
              <w:rFonts w:asciiTheme="minorHAnsi" w:eastAsiaTheme="minorEastAsia" w:hAnsiTheme="minorHAnsi"/>
              <w:noProof/>
              <w:lang w:eastAsia="fr-FR"/>
            </w:rPr>
          </w:pPr>
          <w:hyperlink w:anchor="_Toc112883465" w:history="1">
            <w:r w:rsidRPr="00107418">
              <w:rPr>
                <w:rStyle w:val="Lienhypertexte"/>
                <w:noProof/>
              </w:rPr>
              <w:t>Evolution du risque arrêt de travail sur les dernières années</w:t>
            </w:r>
            <w:r>
              <w:rPr>
                <w:noProof/>
                <w:webHidden/>
              </w:rPr>
              <w:tab/>
            </w:r>
            <w:r>
              <w:rPr>
                <w:noProof/>
                <w:webHidden/>
              </w:rPr>
              <w:fldChar w:fldCharType="begin"/>
            </w:r>
            <w:r>
              <w:rPr>
                <w:noProof/>
                <w:webHidden/>
              </w:rPr>
              <w:instrText xml:space="preserve"> PAGEREF _Toc112883465 \h </w:instrText>
            </w:r>
            <w:r>
              <w:rPr>
                <w:noProof/>
                <w:webHidden/>
              </w:rPr>
            </w:r>
            <w:r>
              <w:rPr>
                <w:noProof/>
                <w:webHidden/>
              </w:rPr>
              <w:fldChar w:fldCharType="separate"/>
            </w:r>
            <w:r>
              <w:rPr>
                <w:noProof/>
                <w:webHidden/>
              </w:rPr>
              <w:t>28</w:t>
            </w:r>
            <w:r>
              <w:rPr>
                <w:noProof/>
                <w:webHidden/>
              </w:rPr>
              <w:fldChar w:fldCharType="end"/>
            </w:r>
          </w:hyperlink>
        </w:p>
        <w:p w14:paraId="2D556051" w14:textId="1B6F0B43" w:rsidR="009E7804" w:rsidRDefault="009E7804">
          <w:pPr>
            <w:pStyle w:val="TM3"/>
            <w:tabs>
              <w:tab w:val="right" w:leader="dot" w:pos="9062"/>
            </w:tabs>
            <w:rPr>
              <w:rFonts w:asciiTheme="minorHAnsi" w:eastAsiaTheme="minorEastAsia" w:hAnsiTheme="minorHAnsi"/>
              <w:noProof/>
              <w:lang w:eastAsia="fr-FR"/>
            </w:rPr>
          </w:pPr>
          <w:hyperlink w:anchor="_Toc112883466" w:history="1">
            <w:r w:rsidRPr="00107418">
              <w:rPr>
                <w:rStyle w:val="Lienhypertexte"/>
                <w:noProof/>
              </w:rPr>
              <w:t>Evolution globale du portefeuille arrêt de travail</w:t>
            </w:r>
            <w:r>
              <w:rPr>
                <w:noProof/>
                <w:webHidden/>
              </w:rPr>
              <w:tab/>
            </w:r>
            <w:r>
              <w:rPr>
                <w:noProof/>
                <w:webHidden/>
              </w:rPr>
              <w:fldChar w:fldCharType="begin"/>
            </w:r>
            <w:r>
              <w:rPr>
                <w:noProof/>
                <w:webHidden/>
              </w:rPr>
              <w:instrText xml:space="preserve"> PAGEREF _Toc112883466 \h </w:instrText>
            </w:r>
            <w:r>
              <w:rPr>
                <w:noProof/>
                <w:webHidden/>
              </w:rPr>
            </w:r>
            <w:r>
              <w:rPr>
                <w:noProof/>
                <w:webHidden/>
              </w:rPr>
              <w:fldChar w:fldCharType="separate"/>
            </w:r>
            <w:r>
              <w:rPr>
                <w:noProof/>
                <w:webHidden/>
              </w:rPr>
              <w:t>28</w:t>
            </w:r>
            <w:r>
              <w:rPr>
                <w:noProof/>
                <w:webHidden/>
              </w:rPr>
              <w:fldChar w:fldCharType="end"/>
            </w:r>
          </w:hyperlink>
        </w:p>
        <w:p w14:paraId="3F5CD3D3" w14:textId="5E93A1C0" w:rsidR="009E7804" w:rsidRDefault="009E7804">
          <w:pPr>
            <w:pStyle w:val="TM3"/>
            <w:tabs>
              <w:tab w:val="right" w:leader="dot" w:pos="9062"/>
            </w:tabs>
            <w:rPr>
              <w:rFonts w:asciiTheme="minorHAnsi" w:eastAsiaTheme="minorEastAsia" w:hAnsiTheme="minorHAnsi"/>
              <w:noProof/>
              <w:lang w:eastAsia="fr-FR"/>
            </w:rPr>
          </w:pPr>
          <w:hyperlink w:anchor="_Toc112883467" w:history="1">
            <w:r w:rsidRPr="00107418">
              <w:rPr>
                <w:rStyle w:val="Lienhypertexte"/>
                <w:noProof/>
              </w:rPr>
              <w:t>Saisonnalité des arrêts de travail et mise en valeur d’un effet COVID sur 2020</w:t>
            </w:r>
            <w:r>
              <w:rPr>
                <w:noProof/>
                <w:webHidden/>
              </w:rPr>
              <w:tab/>
            </w:r>
            <w:r>
              <w:rPr>
                <w:noProof/>
                <w:webHidden/>
              </w:rPr>
              <w:fldChar w:fldCharType="begin"/>
            </w:r>
            <w:r>
              <w:rPr>
                <w:noProof/>
                <w:webHidden/>
              </w:rPr>
              <w:instrText xml:space="preserve"> PAGEREF _Toc112883467 \h </w:instrText>
            </w:r>
            <w:r>
              <w:rPr>
                <w:noProof/>
                <w:webHidden/>
              </w:rPr>
            </w:r>
            <w:r>
              <w:rPr>
                <w:noProof/>
                <w:webHidden/>
              </w:rPr>
              <w:fldChar w:fldCharType="separate"/>
            </w:r>
            <w:r>
              <w:rPr>
                <w:noProof/>
                <w:webHidden/>
              </w:rPr>
              <w:t>29</w:t>
            </w:r>
            <w:r>
              <w:rPr>
                <w:noProof/>
                <w:webHidden/>
              </w:rPr>
              <w:fldChar w:fldCharType="end"/>
            </w:r>
          </w:hyperlink>
        </w:p>
        <w:p w14:paraId="67371BAB" w14:textId="57E15801" w:rsidR="009E7804" w:rsidRDefault="009E7804">
          <w:pPr>
            <w:pStyle w:val="TM3"/>
            <w:tabs>
              <w:tab w:val="right" w:leader="dot" w:pos="9062"/>
            </w:tabs>
            <w:rPr>
              <w:rFonts w:asciiTheme="minorHAnsi" w:eastAsiaTheme="minorEastAsia" w:hAnsiTheme="minorHAnsi"/>
              <w:noProof/>
              <w:lang w:eastAsia="fr-FR"/>
            </w:rPr>
          </w:pPr>
          <w:hyperlink w:anchor="_Toc112883468" w:history="1">
            <w:r w:rsidRPr="00107418">
              <w:rPr>
                <w:rStyle w:val="Lienhypertexte"/>
                <w:noProof/>
              </w:rPr>
              <w:t>Effet COVID sur l’année 2020</w:t>
            </w:r>
            <w:r>
              <w:rPr>
                <w:noProof/>
                <w:webHidden/>
              </w:rPr>
              <w:tab/>
            </w:r>
            <w:r>
              <w:rPr>
                <w:noProof/>
                <w:webHidden/>
              </w:rPr>
              <w:fldChar w:fldCharType="begin"/>
            </w:r>
            <w:r>
              <w:rPr>
                <w:noProof/>
                <w:webHidden/>
              </w:rPr>
              <w:instrText xml:space="preserve"> PAGEREF _Toc112883468 \h </w:instrText>
            </w:r>
            <w:r>
              <w:rPr>
                <w:noProof/>
                <w:webHidden/>
              </w:rPr>
            </w:r>
            <w:r>
              <w:rPr>
                <w:noProof/>
                <w:webHidden/>
              </w:rPr>
              <w:fldChar w:fldCharType="separate"/>
            </w:r>
            <w:r>
              <w:rPr>
                <w:noProof/>
                <w:webHidden/>
              </w:rPr>
              <w:t>31</w:t>
            </w:r>
            <w:r>
              <w:rPr>
                <w:noProof/>
                <w:webHidden/>
              </w:rPr>
              <w:fldChar w:fldCharType="end"/>
            </w:r>
          </w:hyperlink>
        </w:p>
        <w:p w14:paraId="482D5D0A" w14:textId="2D1B997E" w:rsidR="009E7804" w:rsidRDefault="009E7804">
          <w:pPr>
            <w:pStyle w:val="TM1"/>
            <w:tabs>
              <w:tab w:val="right" w:leader="dot" w:pos="9062"/>
            </w:tabs>
            <w:rPr>
              <w:rFonts w:asciiTheme="minorHAnsi" w:eastAsiaTheme="minorEastAsia" w:hAnsiTheme="minorHAnsi"/>
              <w:noProof/>
              <w:lang w:eastAsia="fr-FR"/>
            </w:rPr>
          </w:pPr>
          <w:hyperlink w:anchor="_Toc112883469" w:history="1">
            <w:r w:rsidRPr="00107418">
              <w:rPr>
                <w:rStyle w:val="Lienhypertexte"/>
                <w:noProof/>
              </w:rPr>
              <w:t>Construction d’une base de données agrégée en vue du calcul du taux d’absentéisme</w:t>
            </w:r>
            <w:r>
              <w:rPr>
                <w:noProof/>
                <w:webHidden/>
              </w:rPr>
              <w:tab/>
            </w:r>
            <w:r>
              <w:rPr>
                <w:noProof/>
                <w:webHidden/>
              </w:rPr>
              <w:fldChar w:fldCharType="begin"/>
            </w:r>
            <w:r>
              <w:rPr>
                <w:noProof/>
                <w:webHidden/>
              </w:rPr>
              <w:instrText xml:space="preserve"> PAGEREF _Toc112883469 \h </w:instrText>
            </w:r>
            <w:r>
              <w:rPr>
                <w:noProof/>
                <w:webHidden/>
              </w:rPr>
            </w:r>
            <w:r>
              <w:rPr>
                <w:noProof/>
                <w:webHidden/>
              </w:rPr>
              <w:fldChar w:fldCharType="separate"/>
            </w:r>
            <w:r>
              <w:rPr>
                <w:noProof/>
                <w:webHidden/>
              </w:rPr>
              <w:t>32</w:t>
            </w:r>
            <w:r>
              <w:rPr>
                <w:noProof/>
                <w:webHidden/>
              </w:rPr>
              <w:fldChar w:fldCharType="end"/>
            </w:r>
          </w:hyperlink>
        </w:p>
        <w:p w14:paraId="0F573462" w14:textId="3EF67216" w:rsidR="009E7804" w:rsidRDefault="009E7804">
          <w:pPr>
            <w:pStyle w:val="TM1"/>
            <w:tabs>
              <w:tab w:val="right" w:leader="dot" w:pos="9062"/>
            </w:tabs>
            <w:rPr>
              <w:rFonts w:asciiTheme="minorHAnsi" w:eastAsiaTheme="minorEastAsia" w:hAnsiTheme="minorHAnsi"/>
              <w:noProof/>
              <w:lang w:eastAsia="fr-FR"/>
            </w:rPr>
          </w:pPr>
          <w:hyperlink w:anchor="_Toc112883470" w:history="1">
            <w:r w:rsidRPr="00107418">
              <w:rPr>
                <w:rStyle w:val="Lienhypertexte"/>
                <w:noProof/>
              </w:rPr>
              <w:t>Aspect théorique des modèles linéaires généralisés</w:t>
            </w:r>
            <w:r>
              <w:rPr>
                <w:noProof/>
                <w:webHidden/>
              </w:rPr>
              <w:tab/>
            </w:r>
            <w:r>
              <w:rPr>
                <w:noProof/>
                <w:webHidden/>
              </w:rPr>
              <w:fldChar w:fldCharType="begin"/>
            </w:r>
            <w:r>
              <w:rPr>
                <w:noProof/>
                <w:webHidden/>
              </w:rPr>
              <w:instrText xml:space="preserve"> PAGEREF _Toc112883470 \h </w:instrText>
            </w:r>
            <w:r>
              <w:rPr>
                <w:noProof/>
                <w:webHidden/>
              </w:rPr>
            </w:r>
            <w:r>
              <w:rPr>
                <w:noProof/>
                <w:webHidden/>
              </w:rPr>
              <w:fldChar w:fldCharType="separate"/>
            </w:r>
            <w:r>
              <w:rPr>
                <w:noProof/>
                <w:webHidden/>
              </w:rPr>
              <w:t>33</w:t>
            </w:r>
            <w:r>
              <w:rPr>
                <w:noProof/>
                <w:webHidden/>
              </w:rPr>
              <w:fldChar w:fldCharType="end"/>
            </w:r>
          </w:hyperlink>
        </w:p>
        <w:p w14:paraId="1F814EB9" w14:textId="0769BBF2" w:rsidR="009E7804" w:rsidRDefault="009E7804">
          <w:pPr>
            <w:pStyle w:val="TM2"/>
            <w:tabs>
              <w:tab w:val="right" w:leader="dot" w:pos="9062"/>
            </w:tabs>
            <w:rPr>
              <w:rFonts w:asciiTheme="minorHAnsi" w:eastAsiaTheme="minorEastAsia" w:hAnsiTheme="minorHAnsi"/>
              <w:noProof/>
              <w:lang w:eastAsia="fr-FR"/>
            </w:rPr>
          </w:pPr>
          <w:hyperlink w:anchor="_Toc112883471" w:history="1">
            <w:r w:rsidRPr="00107418">
              <w:rPr>
                <w:rStyle w:val="Lienhypertexte"/>
                <w:noProof/>
              </w:rPr>
              <w:t>Intérêt des modèles linéaires généralisés</w:t>
            </w:r>
            <w:r>
              <w:rPr>
                <w:noProof/>
                <w:webHidden/>
              </w:rPr>
              <w:tab/>
            </w:r>
            <w:r>
              <w:rPr>
                <w:noProof/>
                <w:webHidden/>
              </w:rPr>
              <w:fldChar w:fldCharType="begin"/>
            </w:r>
            <w:r>
              <w:rPr>
                <w:noProof/>
                <w:webHidden/>
              </w:rPr>
              <w:instrText xml:space="preserve"> PAGEREF _Toc112883471 \h </w:instrText>
            </w:r>
            <w:r>
              <w:rPr>
                <w:noProof/>
                <w:webHidden/>
              </w:rPr>
            </w:r>
            <w:r>
              <w:rPr>
                <w:noProof/>
                <w:webHidden/>
              </w:rPr>
              <w:fldChar w:fldCharType="separate"/>
            </w:r>
            <w:r>
              <w:rPr>
                <w:noProof/>
                <w:webHidden/>
              </w:rPr>
              <w:t>33</w:t>
            </w:r>
            <w:r>
              <w:rPr>
                <w:noProof/>
                <w:webHidden/>
              </w:rPr>
              <w:fldChar w:fldCharType="end"/>
            </w:r>
          </w:hyperlink>
        </w:p>
        <w:p w14:paraId="3EB5CEBF" w14:textId="71EE488E" w:rsidR="009E7804" w:rsidRDefault="009E7804">
          <w:pPr>
            <w:pStyle w:val="TM2"/>
            <w:tabs>
              <w:tab w:val="right" w:leader="dot" w:pos="9062"/>
            </w:tabs>
            <w:rPr>
              <w:rFonts w:asciiTheme="minorHAnsi" w:eastAsiaTheme="minorEastAsia" w:hAnsiTheme="minorHAnsi"/>
              <w:noProof/>
              <w:lang w:eastAsia="fr-FR"/>
            </w:rPr>
          </w:pPr>
          <w:hyperlink w:anchor="_Toc112883472" w:history="1">
            <w:r w:rsidRPr="00107418">
              <w:rPr>
                <w:rStyle w:val="Lienhypertexte"/>
                <w:noProof/>
              </w:rPr>
              <w:t>Principe des GLM</w:t>
            </w:r>
            <w:r>
              <w:rPr>
                <w:noProof/>
                <w:webHidden/>
              </w:rPr>
              <w:tab/>
            </w:r>
            <w:r>
              <w:rPr>
                <w:noProof/>
                <w:webHidden/>
              </w:rPr>
              <w:fldChar w:fldCharType="begin"/>
            </w:r>
            <w:r>
              <w:rPr>
                <w:noProof/>
                <w:webHidden/>
              </w:rPr>
              <w:instrText xml:space="preserve"> PAGEREF _Toc112883472 \h </w:instrText>
            </w:r>
            <w:r>
              <w:rPr>
                <w:noProof/>
                <w:webHidden/>
              </w:rPr>
            </w:r>
            <w:r>
              <w:rPr>
                <w:noProof/>
                <w:webHidden/>
              </w:rPr>
              <w:fldChar w:fldCharType="separate"/>
            </w:r>
            <w:r>
              <w:rPr>
                <w:noProof/>
                <w:webHidden/>
              </w:rPr>
              <w:t>34</w:t>
            </w:r>
            <w:r>
              <w:rPr>
                <w:noProof/>
                <w:webHidden/>
              </w:rPr>
              <w:fldChar w:fldCharType="end"/>
            </w:r>
          </w:hyperlink>
        </w:p>
        <w:p w14:paraId="5FC9506C" w14:textId="6CA0E0E9" w:rsidR="009E7804" w:rsidRDefault="009E7804">
          <w:pPr>
            <w:pStyle w:val="TM3"/>
            <w:tabs>
              <w:tab w:val="right" w:leader="dot" w:pos="9062"/>
            </w:tabs>
            <w:rPr>
              <w:rFonts w:asciiTheme="minorHAnsi" w:eastAsiaTheme="minorEastAsia" w:hAnsiTheme="minorHAnsi"/>
              <w:noProof/>
              <w:lang w:eastAsia="fr-FR"/>
            </w:rPr>
          </w:pPr>
          <w:hyperlink w:anchor="_Toc112883473" w:history="1">
            <w:r w:rsidRPr="00107418">
              <w:rPr>
                <w:rStyle w:val="Lienhypertexte"/>
                <w:noProof/>
              </w:rPr>
              <w:t>Composant d’un GLM :</w:t>
            </w:r>
            <w:r>
              <w:rPr>
                <w:noProof/>
                <w:webHidden/>
              </w:rPr>
              <w:tab/>
            </w:r>
            <w:r>
              <w:rPr>
                <w:noProof/>
                <w:webHidden/>
              </w:rPr>
              <w:fldChar w:fldCharType="begin"/>
            </w:r>
            <w:r>
              <w:rPr>
                <w:noProof/>
                <w:webHidden/>
              </w:rPr>
              <w:instrText xml:space="preserve"> PAGEREF _Toc112883473 \h </w:instrText>
            </w:r>
            <w:r>
              <w:rPr>
                <w:noProof/>
                <w:webHidden/>
              </w:rPr>
            </w:r>
            <w:r>
              <w:rPr>
                <w:noProof/>
                <w:webHidden/>
              </w:rPr>
              <w:fldChar w:fldCharType="separate"/>
            </w:r>
            <w:r>
              <w:rPr>
                <w:noProof/>
                <w:webHidden/>
              </w:rPr>
              <w:t>34</w:t>
            </w:r>
            <w:r>
              <w:rPr>
                <w:noProof/>
                <w:webHidden/>
              </w:rPr>
              <w:fldChar w:fldCharType="end"/>
            </w:r>
          </w:hyperlink>
        </w:p>
        <w:p w14:paraId="491F33AC" w14:textId="19CDA691" w:rsidR="009E7804" w:rsidRDefault="009E7804">
          <w:pPr>
            <w:pStyle w:val="TM3"/>
            <w:tabs>
              <w:tab w:val="right" w:leader="dot" w:pos="9062"/>
            </w:tabs>
            <w:rPr>
              <w:rFonts w:asciiTheme="minorHAnsi" w:eastAsiaTheme="minorEastAsia" w:hAnsiTheme="minorHAnsi"/>
              <w:noProof/>
              <w:lang w:eastAsia="fr-FR"/>
            </w:rPr>
          </w:pPr>
          <w:hyperlink w:anchor="_Toc112883474" w:history="1">
            <w:r w:rsidRPr="00107418">
              <w:rPr>
                <w:rStyle w:val="Lienhypertexte"/>
                <w:noProof/>
              </w:rPr>
              <w:t>Modèle gaussien :</w:t>
            </w:r>
            <w:r>
              <w:rPr>
                <w:noProof/>
                <w:webHidden/>
              </w:rPr>
              <w:tab/>
            </w:r>
            <w:r>
              <w:rPr>
                <w:noProof/>
                <w:webHidden/>
              </w:rPr>
              <w:fldChar w:fldCharType="begin"/>
            </w:r>
            <w:r>
              <w:rPr>
                <w:noProof/>
                <w:webHidden/>
              </w:rPr>
              <w:instrText xml:space="preserve"> PAGEREF _Toc112883474 \h </w:instrText>
            </w:r>
            <w:r>
              <w:rPr>
                <w:noProof/>
                <w:webHidden/>
              </w:rPr>
            </w:r>
            <w:r>
              <w:rPr>
                <w:noProof/>
                <w:webHidden/>
              </w:rPr>
              <w:fldChar w:fldCharType="separate"/>
            </w:r>
            <w:r>
              <w:rPr>
                <w:noProof/>
                <w:webHidden/>
              </w:rPr>
              <w:t>35</w:t>
            </w:r>
            <w:r>
              <w:rPr>
                <w:noProof/>
                <w:webHidden/>
              </w:rPr>
              <w:fldChar w:fldCharType="end"/>
            </w:r>
          </w:hyperlink>
        </w:p>
        <w:p w14:paraId="4D0E31AA" w14:textId="2E9FD529" w:rsidR="009E7804" w:rsidRDefault="009E7804">
          <w:pPr>
            <w:pStyle w:val="TM3"/>
            <w:tabs>
              <w:tab w:val="right" w:leader="dot" w:pos="9062"/>
            </w:tabs>
            <w:rPr>
              <w:rFonts w:asciiTheme="minorHAnsi" w:eastAsiaTheme="minorEastAsia" w:hAnsiTheme="minorHAnsi"/>
              <w:noProof/>
              <w:lang w:eastAsia="fr-FR"/>
            </w:rPr>
          </w:pPr>
          <w:hyperlink w:anchor="_Toc112883475" w:history="1">
            <w:r w:rsidRPr="00107418">
              <w:rPr>
                <w:rStyle w:val="Lienhypertexte"/>
                <w:noProof/>
              </w:rPr>
              <w:t>Modèle de Poisson :</w:t>
            </w:r>
            <w:r>
              <w:rPr>
                <w:noProof/>
                <w:webHidden/>
              </w:rPr>
              <w:tab/>
            </w:r>
            <w:r>
              <w:rPr>
                <w:noProof/>
                <w:webHidden/>
              </w:rPr>
              <w:fldChar w:fldCharType="begin"/>
            </w:r>
            <w:r>
              <w:rPr>
                <w:noProof/>
                <w:webHidden/>
              </w:rPr>
              <w:instrText xml:space="preserve"> PAGEREF _Toc112883475 \h </w:instrText>
            </w:r>
            <w:r>
              <w:rPr>
                <w:noProof/>
                <w:webHidden/>
              </w:rPr>
            </w:r>
            <w:r>
              <w:rPr>
                <w:noProof/>
                <w:webHidden/>
              </w:rPr>
              <w:fldChar w:fldCharType="separate"/>
            </w:r>
            <w:r>
              <w:rPr>
                <w:noProof/>
                <w:webHidden/>
              </w:rPr>
              <w:t>36</w:t>
            </w:r>
            <w:r>
              <w:rPr>
                <w:noProof/>
                <w:webHidden/>
              </w:rPr>
              <w:fldChar w:fldCharType="end"/>
            </w:r>
          </w:hyperlink>
        </w:p>
        <w:p w14:paraId="34941AFA" w14:textId="374D3B58" w:rsidR="009E7804" w:rsidRDefault="009E7804">
          <w:pPr>
            <w:pStyle w:val="TM3"/>
            <w:tabs>
              <w:tab w:val="right" w:leader="dot" w:pos="9062"/>
            </w:tabs>
            <w:rPr>
              <w:rFonts w:asciiTheme="minorHAnsi" w:eastAsiaTheme="minorEastAsia" w:hAnsiTheme="minorHAnsi"/>
              <w:noProof/>
              <w:lang w:eastAsia="fr-FR"/>
            </w:rPr>
          </w:pPr>
          <w:hyperlink w:anchor="_Toc112883476" w:history="1">
            <w:r w:rsidRPr="00107418">
              <w:rPr>
                <w:rStyle w:val="Lienhypertexte"/>
                <w:noProof/>
              </w:rPr>
              <w:t>Modèle Tweedie :</w:t>
            </w:r>
            <w:r>
              <w:rPr>
                <w:noProof/>
                <w:webHidden/>
              </w:rPr>
              <w:tab/>
            </w:r>
            <w:r>
              <w:rPr>
                <w:noProof/>
                <w:webHidden/>
              </w:rPr>
              <w:fldChar w:fldCharType="begin"/>
            </w:r>
            <w:r>
              <w:rPr>
                <w:noProof/>
                <w:webHidden/>
              </w:rPr>
              <w:instrText xml:space="preserve"> PAGEREF _Toc112883476 \h </w:instrText>
            </w:r>
            <w:r>
              <w:rPr>
                <w:noProof/>
                <w:webHidden/>
              </w:rPr>
            </w:r>
            <w:r>
              <w:rPr>
                <w:noProof/>
                <w:webHidden/>
              </w:rPr>
              <w:fldChar w:fldCharType="separate"/>
            </w:r>
            <w:r>
              <w:rPr>
                <w:noProof/>
                <w:webHidden/>
              </w:rPr>
              <w:t>37</w:t>
            </w:r>
            <w:r>
              <w:rPr>
                <w:noProof/>
                <w:webHidden/>
              </w:rPr>
              <w:fldChar w:fldCharType="end"/>
            </w:r>
          </w:hyperlink>
        </w:p>
        <w:p w14:paraId="30DBC8F4" w14:textId="600B9D29" w:rsidR="009E7804" w:rsidRDefault="009E7804">
          <w:pPr>
            <w:pStyle w:val="TM2"/>
            <w:tabs>
              <w:tab w:val="right" w:leader="dot" w:pos="9062"/>
            </w:tabs>
            <w:rPr>
              <w:rFonts w:asciiTheme="minorHAnsi" w:eastAsiaTheme="minorEastAsia" w:hAnsiTheme="minorHAnsi"/>
              <w:noProof/>
              <w:lang w:eastAsia="fr-FR"/>
            </w:rPr>
          </w:pPr>
          <w:hyperlink w:anchor="_Toc112883477" w:history="1">
            <w:r w:rsidRPr="00107418">
              <w:rPr>
                <w:rStyle w:val="Lienhypertexte"/>
                <w:noProof/>
              </w:rPr>
              <w:t>Validation d’un modèle GLM :</w:t>
            </w:r>
            <w:r>
              <w:rPr>
                <w:noProof/>
                <w:webHidden/>
              </w:rPr>
              <w:tab/>
            </w:r>
            <w:r>
              <w:rPr>
                <w:noProof/>
                <w:webHidden/>
              </w:rPr>
              <w:fldChar w:fldCharType="begin"/>
            </w:r>
            <w:r>
              <w:rPr>
                <w:noProof/>
                <w:webHidden/>
              </w:rPr>
              <w:instrText xml:space="preserve"> PAGEREF _Toc112883477 \h </w:instrText>
            </w:r>
            <w:r>
              <w:rPr>
                <w:noProof/>
                <w:webHidden/>
              </w:rPr>
            </w:r>
            <w:r>
              <w:rPr>
                <w:noProof/>
                <w:webHidden/>
              </w:rPr>
              <w:fldChar w:fldCharType="separate"/>
            </w:r>
            <w:r>
              <w:rPr>
                <w:noProof/>
                <w:webHidden/>
              </w:rPr>
              <w:t>38</w:t>
            </w:r>
            <w:r>
              <w:rPr>
                <w:noProof/>
                <w:webHidden/>
              </w:rPr>
              <w:fldChar w:fldCharType="end"/>
            </w:r>
          </w:hyperlink>
        </w:p>
        <w:p w14:paraId="7AB91433" w14:textId="33ECC9C9" w:rsidR="009E7804" w:rsidRDefault="009E7804">
          <w:pPr>
            <w:pStyle w:val="TM3"/>
            <w:tabs>
              <w:tab w:val="right" w:leader="dot" w:pos="9062"/>
            </w:tabs>
            <w:rPr>
              <w:rFonts w:asciiTheme="minorHAnsi" w:eastAsiaTheme="minorEastAsia" w:hAnsiTheme="minorHAnsi"/>
              <w:noProof/>
              <w:lang w:eastAsia="fr-FR"/>
            </w:rPr>
          </w:pPr>
          <w:hyperlink w:anchor="_Toc112883478" w:history="1">
            <w:r w:rsidRPr="00107418">
              <w:rPr>
                <w:rStyle w:val="Lienhypertexte"/>
                <w:noProof/>
              </w:rPr>
              <w:t>Validation croisée (k-fold)</w:t>
            </w:r>
            <w:r>
              <w:rPr>
                <w:noProof/>
                <w:webHidden/>
              </w:rPr>
              <w:tab/>
            </w:r>
            <w:r>
              <w:rPr>
                <w:noProof/>
                <w:webHidden/>
              </w:rPr>
              <w:fldChar w:fldCharType="begin"/>
            </w:r>
            <w:r>
              <w:rPr>
                <w:noProof/>
                <w:webHidden/>
              </w:rPr>
              <w:instrText xml:space="preserve"> PAGEREF _Toc112883478 \h </w:instrText>
            </w:r>
            <w:r>
              <w:rPr>
                <w:noProof/>
                <w:webHidden/>
              </w:rPr>
            </w:r>
            <w:r>
              <w:rPr>
                <w:noProof/>
                <w:webHidden/>
              </w:rPr>
              <w:fldChar w:fldCharType="separate"/>
            </w:r>
            <w:r>
              <w:rPr>
                <w:noProof/>
                <w:webHidden/>
              </w:rPr>
              <w:t>38</w:t>
            </w:r>
            <w:r>
              <w:rPr>
                <w:noProof/>
                <w:webHidden/>
              </w:rPr>
              <w:fldChar w:fldCharType="end"/>
            </w:r>
          </w:hyperlink>
        </w:p>
        <w:p w14:paraId="2948E762" w14:textId="3D44C4CD" w:rsidR="009E7804" w:rsidRDefault="009E7804">
          <w:pPr>
            <w:pStyle w:val="TM3"/>
            <w:tabs>
              <w:tab w:val="right" w:leader="dot" w:pos="9062"/>
            </w:tabs>
            <w:rPr>
              <w:rFonts w:asciiTheme="minorHAnsi" w:eastAsiaTheme="minorEastAsia" w:hAnsiTheme="minorHAnsi"/>
              <w:noProof/>
              <w:lang w:eastAsia="fr-FR"/>
            </w:rPr>
          </w:pPr>
          <w:hyperlink w:anchor="_Toc112883479" w:history="1">
            <w:r w:rsidRPr="00107418">
              <w:rPr>
                <w:rStyle w:val="Lienhypertexte"/>
                <w:noProof/>
              </w:rPr>
              <w:t>Validation de la significativité globale du modèle</w:t>
            </w:r>
            <w:r>
              <w:rPr>
                <w:noProof/>
                <w:webHidden/>
              </w:rPr>
              <w:tab/>
            </w:r>
            <w:r>
              <w:rPr>
                <w:noProof/>
                <w:webHidden/>
              </w:rPr>
              <w:fldChar w:fldCharType="begin"/>
            </w:r>
            <w:r>
              <w:rPr>
                <w:noProof/>
                <w:webHidden/>
              </w:rPr>
              <w:instrText xml:space="preserve"> PAGEREF _Toc112883479 \h </w:instrText>
            </w:r>
            <w:r>
              <w:rPr>
                <w:noProof/>
                <w:webHidden/>
              </w:rPr>
            </w:r>
            <w:r>
              <w:rPr>
                <w:noProof/>
                <w:webHidden/>
              </w:rPr>
              <w:fldChar w:fldCharType="separate"/>
            </w:r>
            <w:r>
              <w:rPr>
                <w:noProof/>
                <w:webHidden/>
              </w:rPr>
              <w:t>39</w:t>
            </w:r>
            <w:r>
              <w:rPr>
                <w:noProof/>
                <w:webHidden/>
              </w:rPr>
              <w:fldChar w:fldCharType="end"/>
            </w:r>
          </w:hyperlink>
        </w:p>
        <w:p w14:paraId="6CE16201" w14:textId="2E2CBB56" w:rsidR="009E7804" w:rsidRDefault="009E7804">
          <w:pPr>
            <w:pStyle w:val="TM3"/>
            <w:tabs>
              <w:tab w:val="right" w:leader="dot" w:pos="9062"/>
            </w:tabs>
            <w:rPr>
              <w:rFonts w:asciiTheme="minorHAnsi" w:eastAsiaTheme="minorEastAsia" w:hAnsiTheme="minorHAnsi"/>
              <w:noProof/>
              <w:lang w:eastAsia="fr-FR"/>
            </w:rPr>
          </w:pPr>
          <w:hyperlink w:anchor="_Toc112883480" w:history="1">
            <w:r w:rsidRPr="00107418">
              <w:rPr>
                <w:rStyle w:val="Lienhypertexte"/>
                <w:noProof/>
              </w:rPr>
              <w:t>Validation de la significativité individuelle des coefficients de la régression</w:t>
            </w:r>
            <w:r>
              <w:rPr>
                <w:noProof/>
                <w:webHidden/>
              </w:rPr>
              <w:tab/>
            </w:r>
            <w:r>
              <w:rPr>
                <w:noProof/>
                <w:webHidden/>
              </w:rPr>
              <w:fldChar w:fldCharType="begin"/>
            </w:r>
            <w:r>
              <w:rPr>
                <w:noProof/>
                <w:webHidden/>
              </w:rPr>
              <w:instrText xml:space="preserve"> PAGEREF _Toc112883480 \h </w:instrText>
            </w:r>
            <w:r>
              <w:rPr>
                <w:noProof/>
                <w:webHidden/>
              </w:rPr>
            </w:r>
            <w:r>
              <w:rPr>
                <w:noProof/>
                <w:webHidden/>
              </w:rPr>
              <w:fldChar w:fldCharType="separate"/>
            </w:r>
            <w:r>
              <w:rPr>
                <w:noProof/>
                <w:webHidden/>
              </w:rPr>
              <w:t>40</w:t>
            </w:r>
            <w:r>
              <w:rPr>
                <w:noProof/>
                <w:webHidden/>
              </w:rPr>
              <w:fldChar w:fldCharType="end"/>
            </w:r>
          </w:hyperlink>
        </w:p>
        <w:p w14:paraId="1D79C48A" w14:textId="455326A9" w:rsidR="009E7804" w:rsidRDefault="009E7804">
          <w:pPr>
            <w:pStyle w:val="TM3"/>
            <w:tabs>
              <w:tab w:val="right" w:leader="dot" w:pos="9062"/>
            </w:tabs>
            <w:rPr>
              <w:rFonts w:asciiTheme="minorHAnsi" w:eastAsiaTheme="minorEastAsia" w:hAnsiTheme="minorHAnsi"/>
              <w:noProof/>
              <w:lang w:eastAsia="fr-FR"/>
            </w:rPr>
          </w:pPr>
          <w:hyperlink w:anchor="_Toc112883481" w:history="1">
            <w:r w:rsidRPr="00107418">
              <w:rPr>
                <w:rStyle w:val="Lienhypertexte"/>
                <w:noProof/>
              </w:rPr>
              <w:t>Etude des résidus</w:t>
            </w:r>
            <w:r>
              <w:rPr>
                <w:noProof/>
                <w:webHidden/>
              </w:rPr>
              <w:tab/>
            </w:r>
            <w:r>
              <w:rPr>
                <w:noProof/>
                <w:webHidden/>
              </w:rPr>
              <w:fldChar w:fldCharType="begin"/>
            </w:r>
            <w:r>
              <w:rPr>
                <w:noProof/>
                <w:webHidden/>
              </w:rPr>
              <w:instrText xml:space="preserve"> PAGEREF _Toc112883481 \h </w:instrText>
            </w:r>
            <w:r>
              <w:rPr>
                <w:noProof/>
                <w:webHidden/>
              </w:rPr>
            </w:r>
            <w:r>
              <w:rPr>
                <w:noProof/>
                <w:webHidden/>
              </w:rPr>
              <w:fldChar w:fldCharType="separate"/>
            </w:r>
            <w:r>
              <w:rPr>
                <w:noProof/>
                <w:webHidden/>
              </w:rPr>
              <w:t>41</w:t>
            </w:r>
            <w:r>
              <w:rPr>
                <w:noProof/>
                <w:webHidden/>
              </w:rPr>
              <w:fldChar w:fldCharType="end"/>
            </w:r>
          </w:hyperlink>
        </w:p>
        <w:p w14:paraId="6375A57E" w14:textId="613E8F2D" w:rsidR="009E7804" w:rsidRDefault="009E7804">
          <w:pPr>
            <w:pStyle w:val="TM3"/>
            <w:tabs>
              <w:tab w:val="right" w:leader="dot" w:pos="9062"/>
            </w:tabs>
            <w:rPr>
              <w:rFonts w:asciiTheme="minorHAnsi" w:eastAsiaTheme="minorEastAsia" w:hAnsiTheme="minorHAnsi"/>
              <w:noProof/>
              <w:lang w:eastAsia="fr-FR"/>
            </w:rPr>
          </w:pPr>
          <w:hyperlink w:anchor="_Toc112883482" w:history="1">
            <w:r w:rsidRPr="00107418">
              <w:rPr>
                <w:rStyle w:val="Lienhypertexte"/>
                <w:noProof/>
              </w:rPr>
              <w:t>Comparaison des résultats du modèle et des résultats observés</w:t>
            </w:r>
            <w:r>
              <w:rPr>
                <w:noProof/>
                <w:webHidden/>
              </w:rPr>
              <w:tab/>
            </w:r>
            <w:r>
              <w:rPr>
                <w:noProof/>
                <w:webHidden/>
              </w:rPr>
              <w:fldChar w:fldCharType="begin"/>
            </w:r>
            <w:r>
              <w:rPr>
                <w:noProof/>
                <w:webHidden/>
              </w:rPr>
              <w:instrText xml:space="preserve"> PAGEREF _Toc112883482 \h </w:instrText>
            </w:r>
            <w:r>
              <w:rPr>
                <w:noProof/>
                <w:webHidden/>
              </w:rPr>
            </w:r>
            <w:r>
              <w:rPr>
                <w:noProof/>
                <w:webHidden/>
              </w:rPr>
              <w:fldChar w:fldCharType="separate"/>
            </w:r>
            <w:r>
              <w:rPr>
                <w:noProof/>
                <w:webHidden/>
              </w:rPr>
              <w:t>42</w:t>
            </w:r>
            <w:r>
              <w:rPr>
                <w:noProof/>
                <w:webHidden/>
              </w:rPr>
              <w:fldChar w:fldCharType="end"/>
            </w:r>
          </w:hyperlink>
        </w:p>
        <w:p w14:paraId="335AB7ED" w14:textId="678D44F2" w:rsidR="009E7804" w:rsidRDefault="009E7804">
          <w:pPr>
            <w:pStyle w:val="TM1"/>
            <w:tabs>
              <w:tab w:val="right" w:leader="dot" w:pos="9062"/>
            </w:tabs>
            <w:rPr>
              <w:rFonts w:asciiTheme="minorHAnsi" w:eastAsiaTheme="minorEastAsia" w:hAnsiTheme="minorHAnsi"/>
              <w:noProof/>
              <w:lang w:eastAsia="fr-FR"/>
            </w:rPr>
          </w:pPr>
          <w:hyperlink w:anchor="_Toc112883483" w:history="1">
            <w:r w:rsidRPr="00107418">
              <w:rPr>
                <w:rStyle w:val="Lienhypertexte"/>
                <w:noProof/>
              </w:rPr>
              <w:t>Conclusion – Pistes pour la suite</w:t>
            </w:r>
            <w:r>
              <w:rPr>
                <w:noProof/>
                <w:webHidden/>
              </w:rPr>
              <w:tab/>
            </w:r>
            <w:r>
              <w:rPr>
                <w:noProof/>
                <w:webHidden/>
              </w:rPr>
              <w:fldChar w:fldCharType="begin"/>
            </w:r>
            <w:r>
              <w:rPr>
                <w:noProof/>
                <w:webHidden/>
              </w:rPr>
              <w:instrText xml:space="preserve"> PAGEREF _Toc112883483 \h </w:instrText>
            </w:r>
            <w:r>
              <w:rPr>
                <w:noProof/>
                <w:webHidden/>
              </w:rPr>
            </w:r>
            <w:r>
              <w:rPr>
                <w:noProof/>
                <w:webHidden/>
              </w:rPr>
              <w:fldChar w:fldCharType="separate"/>
            </w:r>
            <w:r>
              <w:rPr>
                <w:noProof/>
                <w:webHidden/>
              </w:rPr>
              <w:t>43</w:t>
            </w:r>
            <w:r>
              <w:rPr>
                <w:noProof/>
                <w:webHidden/>
              </w:rPr>
              <w:fldChar w:fldCharType="end"/>
            </w:r>
          </w:hyperlink>
        </w:p>
        <w:p w14:paraId="6169CD4F" w14:textId="531B2B0C" w:rsidR="00A103B7" w:rsidRDefault="00A103B7">
          <w:r>
            <w:rPr>
              <w:b/>
              <w:bCs/>
            </w:rPr>
            <w:fldChar w:fldCharType="end"/>
          </w:r>
        </w:p>
      </w:sdtContent>
    </w:sdt>
    <w:p w14:paraId="47DB8F7D" w14:textId="6FE19DEF" w:rsidR="009E7804" w:rsidRDefault="00A103B7" w:rsidP="00283363">
      <w:pPr>
        <w:pStyle w:val="Titre1"/>
        <w:jc w:val="center"/>
      </w:pPr>
      <w:r>
        <w:br w:type="page"/>
      </w:r>
      <w:bookmarkStart w:id="2" w:name="_Toc112883439"/>
      <w:r w:rsidR="009E7804">
        <w:lastRenderedPageBreak/>
        <w:t>Introduction</w:t>
      </w:r>
      <w:bookmarkEnd w:id="2"/>
    </w:p>
    <w:p w14:paraId="6EBCCE0A" w14:textId="77777777" w:rsidR="009E7804" w:rsidRDefault="009E7804" w:rsidP="009E7804">
      <w:pPr>
        <w:jc w:val="left"/>
      </w:pPr>
    </w:p>
    <w:p w14:paraId="5C393AC9" w14:textId="77777777" w:rsidR="009E7804" w:rsidRDefault="009E7804" w:rsidP="009E7804">
      <w:pPr>
        <w:pStyle w:val="Sansinterligne"/>
      </w:pPr>
    </w:p>
    <w:p w14:paraId="1A911341" w14:textId="77777777" w:rsidR="009E7804" w:rsidRDefault="009E7804" w:rsidP="009E7804">
      <w:pPr>
        <w:pStyle w:val="Sansinterligne"/>
      </w:pPr>
      <w:r>
        <w:t xml:space="preserve">Entre 2014 et 2018 l’absentéisme en entreprise a progressé de 39% selon </w:t>
      </w:r>
      <w:proofErr w:type="spellStart"/>
      <w:r>
        <w:t>Rehalto</w:t>
      </w:r>
      <w:proofErr w:type="spellEnd"/>
      <w:r>
        <w:t>, cette problématique touche fortement les assureurs qui interviennent dans la couverture des arrêts de travail. Il est donc important pour les assureurs de comprendre ce risque, de le mesurer et de le prévenir.</w:t>
      </w:r>
    </w:p>
    <w:p w14:paraId="4A9C5D1C" w14:textId="77777777" w:rsidR="009E7804" w:rsidRDefault="009E7804" w:rsidP="009E7804">
      <w:pPr>
        <w:pStyle w:val="Sansinterligne"/>
      </w:pPr>
    </w:p>
    <w:p w14:paraId="6BACD35C" w14:textId="77777777" w:rsidR="009E7804" w:rsidRDefault="009E7804" w:rsidP="009E7804">
      <w:pPr>
        <w:pStyle w:val="Sansinterligne"/>
      </w:pPr>
      <w:r>
        <w:t xml:space="preserve">Après avoir rappelé le cadre de la protection sociale en France, du risque arrêt de travail et l’absentéisme en entreprise et nous tacherons d’étudier l’absentéisme sur le portefeuille collectif de Generali composé de plus de 600 000 assurés, en effectuant dans un premier temps une analyse descriptive du portefeuille prévoyance puis en modélisant l’absentéisme via des modèles linéaires généralisés. </w:t>
      </w:r>
    </w:p>
    <w:p w14:paraId="6035689B" w14:textId="77777777" w:rsidR="009E7804" w:rsidRDefault="009E7804" w:rsidP="009E7804">
      <w:pPr>
        <w:pStyle w:val="Sansinterligne"/>
      </w:pPr>
    </w:p>
    <w:p w14:paraId="16DA07E4" w14:textId="7BFAE9A2" w:rsidR="009E7804" w:rsidRDefault="009E7804" w:rsidP="009E7804">
      <w:pPr>
        <w:jc w:val="left"/>
      </w:pPr>
      <w:r>
        <w:t xml:space="preserve">L’enjeu de ce mémoire est de réussir à modéliser l’absentéisme avec les contraintes inhérentes à l’assurance collective. En effet, l’objectif principal est d’introduire un maximum d’outils et de notions pouvant servir à l’avenir à l’établissement d’un baromètre de l’absentéisme sur notre portefeuille. Cette modélisation est d’autant plus importante que le risque arrêt de travail prend de plus en plus de place dans notre société parmi les risques à considérer par l’assureur. </w:t>
      </w:r>
      <w:r>
        <w:br w:type="page"/>
      </w:r>
    </w:p>
    <w:p w14:paraId="4FFA13EF" w14:textId="77777777" w:rsidR="00A103B7" w:rsidRDefault="00A103B7"/>
    <w:p w14:paraId="1EA448A1" w14:textId="61400B47" w:rsidR="00A103B7" w:rsidRDefault="00A103B7" w:rsidP="00163B1C">
      <w:pPr>
        <w:pStyle w:val="Titre1"/>
      </w:pPr>
      <w:bookmarkStart w:id="3" w:name="_Toc112883440"/>
      <w:r w:rsidRPr="009212F2">
        <w:t>Le risque arrêt de travail dans le contexte de l’assurance collective</w:t>
      </w:r>
      <w:bookmarkEnd w:id="3"/>
    </w:p>
    <w:p w14:paraId="70FD84F2" w14:textId="77777777" w:rsidR="00296E07" w:rsidRPr="00296E07" w:rsidRDefault="00296E07" w:rsidP="00296E07"/>
    <w:p w14:paraId="5B5741F6" w14:textId="759FE010" w:rsidR="00296E07" w:rsidRDefault="00296E07" w:rsidP="00296E07">
      <w:r>
        <w:t xml:space="preserve">Dans le cadre de l’étude, nous avons pour objectif d’étudier et de modéliser l’absentéisme sur le portefeuille collectif de Generali Vie. Pour introduire ce vaste sujet, il est naturel de tout d’abord présenter le système de protection sociale français, présentation qui nous amènera à </w:t>
      </w:r>
      <w:r w:rsidR="00214899">
        <w:t>aborder les</w:t>
      </w:r>
      <w:r>
        <w:t xml:space="preserve"> spécificités de la prévoyance collective, </w:t>
      </w:r>
      <w:r w:rsidR="00214899">
        <w:t>ensuite</w:t>
      </w:r>
      <w:r>
        <w:t xml:space="preserve"> à l’aide d’une définition détaillé du concept d’absentéisme en entreprise et des notions actuarielles </w:t>
      </w:r>
      <w:r w:rsidR="00214899">
        <w:t>autour de l’arrêt de travail, nous expliciterons les enjeux et l’importance de l’établissement d’un baromètre de l’absentéisme sur un portefeuille d’assurance collective.</w:t>
      </w:r>
    </w:p>
    <w:p w14:paraId="5C270D8F" w14:textId="77777777" w:rsidR="00296E07" w:rsidRPr="00296E07" w:rsidRDefault="00296E07" w:rsidP="00296E07"/>
    <w:p w14:paraId="6584A4A4" w14:textId="684B171D" w:rsidR="00A103B7" w:rsidRDefault="00A103B7" w:rsidP="00163B1C">
      <w:pPr>
        <w:pStyle w:val="Titre2"/>
      </w:pPr>
      <w:bookmarkStart w:id="4" w:name="_Toc112883441"/>
      <w:r>
        <w:t>Présentation de la protection sociale en France : régime de base et régime complémentaire.</w:t>
      </w:r>
      <w:bookmarkEnd w:id="4"/>
    </w:p>
    <w:p w14:paraId="670D4801" w14:textId="1A5444FB" w:rsidR="009212F2" w:rsidRDefault="00661A1B" w:rsidP="00163B1C">
      <w:r>
        <w:t>La protection sociale désigne l’ensemble des mécanismes qui permettent aux individus de faire face financièrement à certains risques sociaux, à des situations pouvant provoquer une baisse des ressources ou une hausse des dépenses. Ces risques sont les suivants :</w:t>
      </w:r>
    </w:p>
    <w:p w14:paraId="30ACD82C" w14:textId="77777777" w:rsidR="00661A1B" w:rsidRDefault="00661A1B" w:rsidP="00154541">
      <w:pPr>
        <w:pStyle w:val="Paragraphedeliste"/>
        <w:numPr>
          <w:ilvl w:val="0"/>
          <w:numId w:val="1"/>
        </w:numPr>
      </w:pPr>
      <w:r>
        <w:t xml:space="preserve">Santé : actes courants, hospitalisation, optique et dentaire : remboursement des frais médicaux  </w:t>
      </w:r>
    </w:p>
    <w:p w14:paraId="2F159EC9" w14:textId="77777777" w:rsidR="00661A1B" w:rsidRDefault="00661A1B" w:rsidP="00154541">
      <w:pPr>
        <w:pStyle w:val="Paragraphedeliste"/>
        <w:numPr>
          <w:ilvl w:val="0"/>
          <w:numId w:val="1"/>
        </w:numPr>
      </w:pPr>
      <w:r>
        <w:t xml:space="preserve">Arrêt de Travail : incapacité, invalidité, maternité : remboursement d’indemnités journalières pour l’incapacité et la maternité et d’une rente pour l’invalidité </w:t>
      </w:r>
    </w:p>
    <w:p w14:paraId="33D074D4" w14:textId="77777777" w:rsidR="00661A1B" w:rsidRDefault="00661A1B" w:rsidP="00154541">
      <w:pPr>
        <w:pStyle w:val="Paragraphedeliste"/>
        <w:numPr>
          <w:ilvl w:val="0"/>
          <w:numId w:val="1"/>
        </w:numPr>
      </w:pPr>
      <w:r>
        <w:t xml:space="preserve">Décès : versement d’un capital ou d’une rente aux ayants droits </w:t>
      </w:r>
    </w:p>
    <w:p w14:paraId="2DB8AB93" w14:textId="77777777" w:rsidR="00661A1B" w:rsidRDefault="00661A1B" w:rsidP="00154541">
      <w:pPr>
        <w:pStyle w:val="Paragraphedeliste"/>
        <w:numPr>
          <w:ilvl w:val="0"/>
          <w:numId w:val="1"/>
        </w:numPr>
      </w:pPr>
      <w:r>
        <w:t xml:space="preserve">Retraite : constitution d’un capital ou d’une rente </w:t>
      </w:r>
    </w:p>
    <w:p w14:paraId="52BBAACA" w14:textId="77777777" w:rsidR="00661A1B" w:rsidRDefault="00661A1B" w:rsidP="00154541">
      <w:pPr>
        <w:pStyle w:val="Paragraphedeliste"/>
        <w:numPr>
          <w:ilvl w:val="0"/>
          <w:numId w:val="1"/>
        </w:numPr>
      </w:pPr>
      <w:r>
        <w:t xml:space="preserve">Dépendance : versement d’un capital ou d’une rente </w:t>
      </w:r>
    </w:p>
    <w:p w14:paraId="5A20FBA5" w14:textId="45E11E10" w:rsidR="00B320F2" w:rsidRDefault="00661A1B" w:rsidP="00154541">
      <w:pPr>
        <w:pStyle w:val="Paragraphedeliste"/>
        <w:numPr>
          <w:ilvl w:val="0"/>
          <w:numId w:val="1"/>
        </w:numPr>
      </w:pPr>
      <w:r>
        <w:t>Chômage : versement d’indemnités de chômage</w:t>
      </w:r>
    </w:p>
    <w:p w14:paraId="1AE4DBAE" w14:textId="56A922CD" w:rsidR="009212F2" w:rsidRDefault="009212F2" w:rsidP="00163B1C">
      <w:pPr>
        <w:pStyle w:val="Titre3"/>
      </w:pPr>
      <w:bookmarkStart w:id="5" w:name="_Toc112883442"/>
      <w:r w:rsidRPr="009212F2">
        <w:t>Histoire de la protection sociale</w:t>
      </w:r>
      <w:bookmarkEnd w:id="5"/>
    </w:p>
    <w:p w14:paraId="6EBA5A1C" w14:textId="2489A6CC" w:rsidR="00B320F2" w:rsidRDefault="00850EFE" w:rsidP="00163B1C">
      <w:r>
        <w:t>La Sécurité Sociale a été créé e</w:t>
      </w:r>
      <w:r w:rsidR="00B320F2">
        <w:t>n 1945</w:t>
      </w:r>
      <w:r>
        <w:t xml:space="preserve"> via les ordonnances du 4 et 19 octobre en fusionnant toutes les anciennes assurances et avec comme</w:t>
      </w:r>
      <w:r w:rsidR="00B320F2">
        <w:t xml:space="preserve"> triple objectif :</w:t>
      </w:r>
    </w:p>
    <w:p w14:paraId="4956A267" w14:textId="0C84B2AB" w:rsidR="00B320F2" w:rsidRDefault="00850EFE" w:rsidP="00154541">
      <w:pPr>
        <w:pStyle w:val="Paragraphedeliste"/>
        <w:numPr>
          <w:ilvl w:val="0"/>
          <w:numId w:val="2"/>
        </w:numPr>
      </w:pPr>
      <w:r>
        <w:t>Unité de la Sécurité Sociale</w:t>
      </w:r>
    </w:p>
    <w:p w14:paraId="59C6F4AE" w14:textId="28D4C694" w:rsidR="00850EFE" w:rsidRDefault="00850EFE" w:rsidP="00154541">
      <w:pPr>
        <w:pStyle w:val="Paragraphedeliste"/>
        <w:numPr>
          <w:ilvl w:val="0"/>
          <w:numId w:val="2"/>
        </w:numPr>
      </w:pPr>
      <w:r>
        <w:t>Généralisation quant aux personnes</w:t>
      </w:r>
    </w:p>
    <w:p w14:paraId="05D2E161" w14:textId="73D31645" w:rsidR="00850EFE" w:rsidRDefault="00850EFE" w:rsidP="00154541">
      <w:pPr>
        <w:pStyle w:val="Paragraphedeliste"/>
        <w:numPr>
          <w:ilvl w:val="0"/>
          <w:numId w:val="2"/>
        </w:numPr>
      </w:pPr>
      <w:r>
        <w:t>Extension des risques couverts</w:t>
      </w:r>
    </w:p>
    <w:p w14:paraId="040A41CB" w14:textId="7CDF973A" w:rsidR="00850EFE" w:rsidRDefault="00850EFE" w:rsidP="00163B1C">
      <w:r>
        <w:t>L’ordonnance du 4 octobre 1945 prévoit un système coordonné de caisses se s</w:t>
      </w:r>
      <w:r w:rsidR="00823F3F">
        <w:t xml:space="preserve">ubstituant à de multiples organismes existants. Les salariés des régimes spéciaux comme les fonctionnaires, les marins, les cheminots, </w:t>
      </w:r>
      <w:proofErr w:type="spellStart"/>
      <w:r w:rsidR="00823F3F">
        <w:t>etc</w:t>
      </w:r>
      <w:proofErr w:type="spellEnd"/>
      <w:r w:rsidR="00823F3F">
        <w:t xml:space="preserve"> vont refuser de s’intégrer dans le nouveau régime général et conserver dans un cadre « transitoire » qui dure encore, leurs régimes spécifiques.</w:t>
      </w:r>
    </w:p>
    <w:p w14:paraId="28B98D06" w14:textId="45367DC2" w:rsidR="00823F3F" w:rsidRPr="005303CD" w:rsidRDefault="00823F3F" w:rsidP="00163B1C">
      <w:pPr>
        <w:ind w:left="705"/>
      </w:pPr>
      <w:r w:rsidRPr="005303CD">
        <w:rPr>
          <w:color w:val="00B0F0"/>
          <w:u w:val="single"/>
        </w:rPr>
        <w:t>Régime :</w:t>
      </w:r>
      <w:r w:rsidR="005303CD" w:rsidRPr="005303CD">
        <w:t xml:space="preserve"> </w:t>
      </w:r>
      <w:r w:rsidR="005303CD">
        <w:t>Ensemble de droits et obligations réciproques des Employés (et leurs « ayant-droit »), des Patrons, et d'une Caisse de Sécurité Sociale.</w:t>
      </w:r>
    </w:p>
    <w:p w14:paraId="4C4A4984" w14:textId="2ED622C8" w:rsidR="001B3A0A" w:rsidRDefault="00775045" w:rsidP="00163B1C">
      <w:r>
        <w:t>Les trois grands régimes introduits par les ordonnances des 4 et 19 octobre 1945 sont les suivants :</w:t>
      </w:r>
    </w:p>
    <w:p w14:paraId="68012620" w14:textId="4A96B724" w:rsidR="00775045" w:rsidRDefault="00775045" w:rsidP="00154541">
      <w:pPr>
        <w:pStyle w:val="Paragraphedeliste"/>
        <w:numPr>
          <w:ilvl w:val="0"/>
          <w:numId w:val="3"/>
        </w:numPr>
      </w:pPr>
      <w:r>
        <w:t>Régime général : salariés et travailleurs assimilés à des salariés soit environ 80 % de la population.</w:t>
      </w:r>
    </w:p>
    <w:p w14:paraId="12FCC3D0" w14:textId="74678CDE" w:rsidR="00775045" w:rsidRDefault="00775045" w:rsidP="00154541">
      <w:pPr>
        <w:pStyle w:val="Paragraphedeliste"/>
        <w:numPr>
          <w:ilvl w:val="0"/>
          <w:numId w:val="3"/>
        </w:numPr>
      </w:pPr>
      <w:r>
        <w:lastRenderedPageBreak/>
        <w:t xml:space="preserve">Régime des travailleurs non-salariés non agricoles ou Régime social des indépendants ou </w:t>
      </w:r>
      <w:proofErr w:type="gramStart"/>
      <w:r>
        <w:t>RSI  :</w:t>
      </w:r>
      <w:proofErr w:type="gramEnd"/>
      <w:r>
        <w:t xml:space="preserve"> artisans, commerçants et professions libérales.</w:t>
      </w:r>
    </w:p>
    <w:p w14:paraId="462FB395" w14:textId="24F0E7BB" w:rsidR="00775045" w:rsidRDefault="00775045" w:rsidP="00154541">
      <w:pPr>
        <w:pStyle w:val="Paragraphedeliste"/>
        <w:numPr>
          <w:ilvl w:val="0"/>
          <w:numId w:val="3"/>
        </w:numPr>
      </w:pPr>
      <w:r>
        <w:t xml:space="preserve">Régime agricole : exploitants et salariés agricoles, ainsi que certains secteurs rattachés à l’agriculture (ex l’industrie </w:t>
      </w:r>
      <w:proofErr w:type="spellStart"/>
      <w:r>
        <w:t>agro alimentaire</w:t>
      </w:r>
      <w:proofErr w:type="spellEnd"/>
      <w:r>
        <w:t>). Il est géré par la caisse centrale de la Mutualité Sociale Agricole, MSA.</w:t>
      </w:r>
    </w:p>
    <w:p w14:paraId="0C47EF5F" w14:textId="6D61A94F" w:rsidR="00C21A8E" w:rsidRDefault="00775045" w:rsidP="00163B1C">
      <w:r>
        <w:t>La protection sociale était à l'origine financée exclusivement par des cotisations. Le financement s'est diversifié dans les années 1990 avec la CSG et d'autres impôts.</w:t>
      </w:r>
    </w:p>
    <w:p w14:paraId="284868E7" w14:textId="0B9850D5" w:rsidR="00FE2857" w:rsidRDefault="00C21A8E" w:rsidP="00163B1C">
      <w:pPr>
        <w:pStyle w:val="Titre3"/>
      </w:pPr>
      <w:bookmarkStart w:id="6" w:name="_Toc112883443"/>
      <w:r>
        <w:t>Organisation fonctionnelle</w:t>
      </w:r>
      <w:bookmarkEnd w:id="6"/>
    </w:p>
    <w:p w14:paraId="171B5F0B" w14:textId="62D53468" w:rsidR="00C21A8E" w:rsidRDefault="00C21A8E" w:rsidP="00163B1C">
      <w:r>
        <w:t xml:space="preserve">D'un point de vue fonctionnel, l'organisation actuelle de la Sécurité Sociale résulte de l'ordonnance de 1967 qui instaure la séparation de la Sécurité Sociale en 4 branches autonomes. Chaque branche est alors responsable de ses ressources et de ses dépenses. </w:t>
      </w:r>
    </w:p>
    <w:p w14:paraId="20605C60" w14:textId="6203939A" w:rsidR="00C21A8E" w:rsidRDefault="00C21A8E" w:rsidP="00154541">
      <w:pPr>
        <w:pStyle w:val="Paragraphedeliste"/>
        <w:numPr>
          <w:ilvl w:val="0"/>
          <w:numId w:val="4"/>
        </w:numPr>
      </w:pPr>
      <w:r>
        <w:t>Branche Maladie</w:t>
      </w:r>
      <w:r w:rsidR="004167E1">
        <w:t xml:space="preserve"> : </w:t>
      </w:r>
      <w:r>
        <w:t xml:space="preserve">maladie, maternité, paternité, invalidité, décès </w:t>
      </w:r>
    </w:p>
    <w:p w14:paraId="7C16B146" w14:textId="4863A50E" w:rsidR="00C21A8E" w:rsidRDefault="00C21A8E" w:rsidP="00154541">
      <w:pPr>
        <w:pStyle w:val="Paragraphedeliste"/>
        <w:numPr>
          <w:ilvl w:val="0"/>
          <w:numId w:val="4"/>
        </w:numPr>
      </w:pPr>
      <w:r>
        <w:t xml:space="preserve">Branche Accidents du travail et Maladies professionnelles </w:t>
      </w:r>
    </w:p>
    <w:p w14:paraId="4EB8CAFC" w14:textId="5FCB6D84" w:rsidR="00C21A8E" w:rsidRDefault="00C21A8E" w:rsidP="00154541">
      <w:pPr>
        <w:pStyle w:val="Paragraphedeliste"/>
        <w:numPr>
          <w:ilvl w:val="0"/>
          <w:numId w:val="4"/>
        </w:numPr>
      </w:pPr>
      <w:r>
        <w:t>Branche Vieillesse et veuvage</w:t>
      </w:r>
    </w:p>
    <w:p w14:paraId="0A3CE01D" w14:textId="7A5C8123" w:rsidR="004167E1" w:rsidRPr="00070EF6" w:rsidRDefault="00C21A8E" w:rsidP="00154541">
      <w:pPr>
        <w:pStyle w:val="Paragraphedeliste"/>
        <w:numPr>
          <w:ilvl w:val="0"/>
          <w:numId w:val="4"/>
        </w:numPr>
      </w:pPr>
      <w:r>
        <w:t>Branche Famille</w:t>
      </w:r>
      <w:r w:rsidR="004167E1">
        <w:t> :</w:t>
      </w:r>
      <w:r>
        <w:t xml:space="preserve"> handicap, logement, RSA</w:t>
      </w:r>
      <w:r w:rsidR="004167E1">
        <w:t xml:space="preserve"> </w:t>
      </w:r>
      <w:r>
        <w:t>...</w:t>
      </w:r>
    </w:p>
    <w:p w14:paraId="0687836B" w14:textId="054A39CE" w:rsidR="00FE2857" w:rsidRDefault="000273B5" w:rsidP="00163B1C">
      <w:pPr>
        <w:pStyle w:val="Titre3"/>
      </w:pPr>
      <w:bookmarkStart w:id="7" w:name="_Toc112883444"/>
      <w:r>
        <w:t>Détails de l’offre proposée par le régime de base</w:t>
      </w:r>
      <w:bookmarkEnd w:id="7"/>
    </w:p>
    <w:p w14:paraId="2B295F94" w14:textId="2C7450BD" w:rsidR="00D917AA" w:rsidRPr="00D917AA" w:rsidRDefault="00D917AA" w:rsidP="00163B1C">
      <w:pPr>
        <w:pStyle w:val="Titre4"/>
      </w:pPr>
      <w:r>
        <w:t>L’assurance Maladie :</w:t>
      </w:r>
    </w:p>
    <w:p w14:paraId="76ECCF8E" w14:textId="3037C2D0" w:rsidR="001B7625" w:rsidRDefault="004167E1" w:rsidP="00163B1C">
      <w:pPr>
        <w:rPr>
          <w:u w:val="single"/>
        </w:rPr>
      </w:pPr>
      <w:r w:rsidRPr="004167E1">
        <w:rPr>
          <w:u w:val="single"/>
        </w:rPr>
        <w:t>Définition</w:t>
      </w:r>
      <w:r w:rsidR="00C85FED">
        <w:rPr>
          <w:u w:val="single"/>
        </w:rPr>
        <w:t xml:space="preserve"> de</w:t>
      </w:r>
      <w:r w:rsidRPr="004167E1">
        <w:rPr>
          <w:u w:val="single"/>
        </w:rPr>
        <w:t> </w:t>
      </w:r>
      <w:r w:rsidR="00D917AA">
        <w:rPr>
          <w:u w:val="single"/>
        </w:rPr>
        <w:t xml:space="preserve">l’assurance maladie </w:t>
      </w:r>
      <w:r w:rsidRPr="004167E1">
        <w:rPr>
          <w:u w:val="single"/>
        </w:rPr>
        <w:t>:</w:t>
      </w:r>
    </w:p>
    <w:p w14:paraId="55EA3E28" w14:textId="16B1F88E" w:rsidR="00A529CB" w:rsidRPr="00A529CB" w:rsidRDefault="00A529CB" w:rsidP="00163B1C">
      <w:r>
        <w:t>L’assurance maladie est définie dans le cadre de l’a</w:t>
      </w:r>
      <w:r w:rsidRPr="00A529CB">
        <w:t>rticle L321-1 du CSS :</w:t>
      </w:r>
    </w:p>
    <w:p w14:paraId="2EB5393E" w14:textId="6F9B1B54" w:rsidR="00A529CB" w:rsidRDefault="001B7625" w:rsidP="00163B1C">
      <w:r w:rsidRPr="001B7625">
        <w:t xml:space="preserve"> </w:t>
      </w:r>
      <w:r>
        <w:t>« L'assurance maladie comporte (…) l'octroi d'indemnités journalières à l'assuré qui se trouve dans l'incapacité physique constatée par le médecin traitant, (…) de continuer ou de reprendre le travail ; l'incapacité peut être également constatée, dans les mêmes conditions, par la sage-femme dans la limite de sa compétence professionnelle et pour une durée fixée par décret (…) ».</w:t>
      </w:r>
    </w:p>
    <w:p w14:paraId="7282C4BC" w14:textId="01DC2191" w:rsidR="00025912" w:rsidRPr="00025912" w:rsidRDefault="00025912" w:rsidP="00163B1C">
      <w:pPr>
        <w:rPr>
          <w:u w:val="single"/>
        </w:rPr>
      </w:pPr>
      <w:r w:rsidRPr="00025912">
        <w:rPr>
          <w:u w:val="single"/>
        </w:rPr>
        <w:t xml:space="preserve">Conditions d’ouverture </w:t>
      </w:r>
      <w:r w:rsidR="00D917AA" w:rsidRPr="00025912">
        <w:rPr>
          <w:u w:val="single"/>
        </w:rPr>
        <w:t xml:space="preserve">des droits </w:t>
      </w:r>
      <w:r w:rsidR="00D917AA">
        <w:rPr>
          <w:u w:val="single"/>
        </w:rPr>
        <w:t xml:space="preserve">de l’assurance </w:t>
      </w:r>
      <w:r w:rsidR="00D917AA" w:rsidRPr="00025912">
        <w:rPr>
          <w:u w:val="single"/>
        </w:rPr>
        <w:t>maladie</w:t>
      </w:r>
      <w:r w:rsidRPr="00025912">
        <w:rPr>
          <w:u w:val="single"/>
        </w:rPr>
        <w:t> :</w:t>
      </w:r>
    </w:p>
    <w:p w14:paraId="2BD91364" w14:textId="69941F54" w:rsidR="00025912" w:rsidRDefault="00025912" w:rsidP="00163B1C">
      <w:r>
        <w:t>Des conditions d’ouverture des droits s’appliquent en fonction de la durée de l’arrêt de travail et de la situation de l’assuré :</w:t>
      </w:r>
    </w:p>
    <w:p w14:paraId="294E28C2" w14:textId="080E60BC" w:rsidR="00025912" w:rsidRDefault="00025912" w:rsidP="00154541">
      <w:pPr>
        <w:pStyle w:val="Paragraphedeliste"/>
        <w:numPr>
          <w:ilvl w:val="0"/>
          <w:numId w:val="5"/>
        </w:numPr>
      </w:pPr>
      <w:r>
        <w:t>Si l’arrêt de travail est inférieur à 6 mois :</w:t>
      </w:r>
    </w:p>
    <w:p w14:paraId="226EBC5A" w14:textId="76F5A906" w:rsidR="00025912" w:rsidRDefault="00025912" w:rsidP="00154541">
      <w:pPr>
        <w:pStyle w:val="Paragraphedeliste"/>
        <w:numPr>
          <w:ilvl w:val="1"/>
          <w:numId w:val="5"/>
        </w:numPr>
        <w:ind w:left="1210"/>
      </w:pPr>
      <w:r>
        <w:t>Avoir travaillé au moins 150 heures au cours des trois mois précédant l'arrêt de travail</w:t>
      </w:r>
    </w:p>
    <w:p w14:paraId="49624F94" w14:textId="192F83CF" w:rsidR="00025912" w:rsidRDefault="00025912" w:rsidP="00154541">
      <w:pPr>
        <w:pStyle w:val="Paragraphedeliste"/>
        <w:numPr>
          <w:ilvl w:val="1"/>
          <w:numId w:val="5"/>
        </w:numPr>
        <w:ind w:left="1210"/>
      </w:pPr>
      <w:r>
        <w:t>Ou avoir cotisé sur un salaire au moins égal à 1 015 fois le montant du SMIC horaire au cours des six mois précédant l'arrêt</w:t>
      </w:r>
    </w:p>
    <w:p w14:paraId="4593C7E1" w14:textId="784FEFFE" w:rsidR="00025912" w:rsidRDefault="00025912" w:rsidP="00154541">
      <w:pPr>
        <w:pStyle w:val="Paragraphedeliste"/>
        <w:numPr>
          <w:ilvl w:val="0"/>
          <w:numId w:val="5"/>
        </w:numPr>
      </w:pPr>
      <w:r>
        <w:t>Si l’arrêt de travail est supérieur à 6 mois :</w:t>
      </w:r>
    </w:p>
    <w:p w14:paraId="2DB6EB45" w14:textId="17B9D39B" w:rsidR="00025912" w:rsidRDefault="00025912" w:rsidP="00154541">
      <w:pPr>
        <w:pStyle w:val="Paragraphedeliste"/>
        <w:numPr>
          <w:ilvl w:val="1"/>
          <w:numId w:val="5"/>
        </w:numPr>
        <w:ind w:left="1210"/>
      </w:pPr>
      <w:r>
        <w:t>Justifier à la date de l’arrêt, de douze mois d'immatriculation en tant qu'assuré social auprès de l'Assurance Maladie</w:t>
      </w:r>
    </w:p>
    <w:p w14:paraId="4CE1CE7C" w14:textId="4EF79CA7" w:rsidR="00025912" w:rsidRDefault="00025912" w:rsidP="00154541">
      <w:pPr>
        <w:pStyle w:val="Paragraphedeliste"/>
        <w:numPr>
          <w:ilvl w:val="1"/>
          <w:numId w:val="5"/>
        </w:numPr>
        <w:ind w:left="1210"/>
      </w:pPr>
      <w:r>
        <w:t>Avoir travaillé au moins 600 heures au cours des douze derniers mois</w:t>
      </w:r>
    </w:p>
    <w:p w14:paraId="0C41871E" w14:textId="6D1980EF" w:rsidR="00025912" w:rsidRDefault="00025912" w:rsidP="00154541">
      <w:pPr>
        <w:pStyle w:val="Paragraphedeliste"/>
        <w:numPr>
          <w:ilvl w:val="1"/>
          <w:numId w:val="5"/>
        </w:numPr>
        <w:ind w:left="1210"/>
      </w:pPr>
      <w:r>
        <w:t>Ou avoir cotisé sur un salaire au moins égal à 2 030 fois le montant du SMIC horaire au cours des douze mois précédant l'arrêt de travail, dont au moins 1 015 fois le montant du SMIC horaire au cours des six premiers mois</w:t>
      </w:r>
    </w:p>
    <w:p w14:paraId="06742F50" w14:textId="30A1CD6D" w:rsidR="00025912" w:rsidRDefault="00B610EB" w:rsidP="00163B1C">
      <w:pPr>
        <w:rPr>
          <w:u w:val="single"/>
        </w:rPr>
      </w:pPr>
      <w:r>
        <w:rPr>
          <w:u w:val="single"/>
        </w:rPr>
        <w:t>Les</w:t>
      </w:r>
      <w:r w:rsidRPr="00B610EB">
        <w:rPr>
          <w:u w:val="single"/>
        </w:rPr>
        <w:t xml:space="preserve"> indemnités journalières ;</w:t>
      </w:r>
    </w:p>
    <w:p w14:paraId="60765DF6" w14:textId="78599248" w:rsidR="00B610EB" w:rsidRDefault="00B610EB" w:rsidP="00154541">
      <w:pPr>
        <w:pStyle w:val="Paragraphedeliste"/>
        <w:numPr>
          <w:ilvl w:val="0"/>
          <w:numId w:val="6"/>
        </w:numPr>
        <w:ind w:left="1210"/>
      </w:pPr>
      <w:r>
        <w:t>Durée de service des indemnités journalières :</w:t>
      </w:r>
    </w:p>
    <w:p w14:paraId="0A953C44" w14:textId="0492702D" w:rsidR="00B610EB" w:rsidRDefault="00B610EB" w:rsidP="00163B1C">
      <w:r>
        <w:t>L’indemnité journalière est accordée à partir d’un délai de carence de 3 jours (1 jour pour les fonctionnaires), ce délai de carence ne s’applique pas dans les cas suivants :</w:t>
      </w:r>
    </w:p>
    <w:p w14:paraId="775D972A" w14:textId="4639A5A2" w:rsidR="00B610EB" w:rsidRDefault="00B610EB" w:rsidP="00154541">
      <w:pPr>
        <w:pStyle w:val="Paragraphedeliste"/>
        <w:numPr>
          <w:ilvl w:val="0"/>
          <w:numId w:val="7"/>
        </w:numPr>
      </w:pPr>
      <w:r>
        <w:lastRenderedPageBreak/>
        <w:t xml:space="preserve">En cas de reprise d’activité entre deux prescriptions d’arrêt de travail qui ne dépasse pas 48 heures </w:t>
      </w:r>
    </w:p>
    <w:p w14:paraId="07F27DEF" w14:textId="09856DB6" w:rsidR="00B610EB" w:rsidRDefault="00B610EB" w:rsidP="00154541">
      <w:pPr>
        <w:pStyle w:val="Paragraphedeliste"/>
        <w:numPr>
          <w:ilvl w:val="0"/>
          <w:numId w:val="7"/>
        </w:numPr>
      </w:pPr>
      <w:r>
        <w:t>L’assuré est en affection de longue durée et les arrêts sont en rapport à cette maladie alors le délai de carence ne s’applique que pour le premier arrêt.</w:t>
      </w:r>
    </w:p>
    <w:p w14:paraId="661E9F89" w14:textId="72EDF8C8" w:rsidR="00B610EB" w:rsidRPr="00B610EB" w:rsidRDefault="00B610EB" w:rsidP="00163B1C">
      <w:r>
        <w:t>L’indemnité journalière est due au titre de chaque jour, ouvrable ou non.</w:t>
      </w:r>
    </w:p>
    <w:p w14:paraId="4990150B" w14:textId="77777777" w:rsidR="009410B2" w:rsidRDefault="00B610EB" w:rsidP="00163B1C">
      <w:r>
        <w:t>Les causes de sorties de l’état d’incapacité sont : le rétablissement, le passage en invalidité et le décès.</w:t>
      </w:r>
    </w:p>
    <w:p w14:paraId="695A8A9B" w14:textId="097C52F2" w:rsidR="009410B2" w:rsidRDefault="009410B2" w:rsidP="00154541">
      <w:pPr>
        <w:pStyle w:val="Paragraphedeliste"/>
        <w:numPr>
          <w:ilvl w:val="0"/>
          <w:numId w:val="6"/>
        </w:numPr>
        <w:ind w:left="1210"/>
      </w:pPr>
      <w:r>
        <w:t>Montant de l’indemnité journalière :</w:t>
      </w:r>
    </w:p>
    <w:p w14:paraId="20A4D62C" w14:textId="77777777" w:rsidR="009410B2" w:rsidRDefault="009410B2" w:rsidP="00163B1C">
      <w:r>
        <w:t>Le montant de l’indemnité journalière versée par la Sécurité Sociale est calculé via le salaire journalier de base dont le calcul est détaillé ci-dessous et est égale à 50% du salaire journalier de base.</w:t>
      </w:r>
    </w:p>
    <w:p w14:paraId="69DADB8E" w14:textId="77777777" w:rsidR="009410B2" w:rsidRDefault="009410B2" w:rsidP="00163B1C">
      <w:r>
        <w:t>Salaire journalier de base : ce salaire est la moyenne des salaires bruts des 3 derniers mois travaillés précédant l’arrêt, plafonné à 1.8 SMIC (</w:t>
      </w:r>
      <w:r w:rsidRPr="009410B2">
        <w:t>3 022,11 €</w:t>
      </w:r>
      <w:r>
        <w:t xml:space="preserve"> au 1</w:t>
      </w:r>
      <w:r w:rsidRPr="009410B2">
        <w:rPr>
          <w:vertAlign w:val="superscript"/>
        </w:rPr>
        <w:t>er</w:t>
      </w:r>
      <w:r>
        <w:t xml:space="preserve"> aout 2022), c’est-à-dire :</w:t>
      </w:r>
    </w:p>
    <w:p w14:paraId="6F082857" w14:textId="0F1C0819" w:rsidR="00242245" w:rsidRPr="00242245" w:rsidRDefault="00242245" w:rsidP="00163B1C">
      <m:oMath>
        <m:r>
          <w:rPr>
            <w:rFonts w:ascii="Cambria Math" w:hAnsi="Cambria Math"/>
          </w:rPr>
          <m:t xml:space="preserve">Salaire journalier de base= </m:t>
        </m:r>
        <m:r>
          <m:rPr>
            <m:sty m:val="p"/>
          </m:rPr>
          <w:rPr>
            <w:rFonts w:ascii="Cambria Math" w:hAnsi="Cambria Math"/>
          </w:rPr>
          <m:t>min⁡</m:t>
        </m:r>
        <m:r>
          <w:rPr>
            <w:rFonts w:ascii="Cambria Math" w:hAnsi="Cambria Math"/>
          </w:rPr>
          <m:t>(</m:t>
        </m:r>
        <m:f>
          <m:fPr>
            <m:ctrlPr>
              <w:rPr>
                <w:rFonts w:ascii="Cambria Math" w:hAnsi="Cambria Math"/>
                <w:i/>
              </w:rPr>
            </m:ctrlPr>
          </m:fPr>
          <m:num>
            <m:r>
              <w:rPr>
                <w:rFonts w:ascii="Cambria Math" w:hAnsi="Cambria Math"/>
              </w:rPr>
              <m:t>Somme des salaire bruts des 3 derniers mois</m:t>
            </m:r>
          </m:num>
          <m:den>
            <m:r>
              <w:rPr>
                <w:rFonts w:ascii="Cambria Math" w:hAnsi="Cambria Math"/>
              </w:rPr>
              <m:t>91,25</m:t>
            </m:r>
          </m:den>
        </m:f>
        <m:r>
          <w:rPr>
            <w:rFonts w:ascii="Cambria Math" w:hAnsi="Cambria Math"/>
          </w:rPr>
          <m:t xml:space="preserve">;1,8*SMIC) </m:t>
        </m:r>
      </m:oMath>
      <w:r>
        <w:t xml:space="preserve">        </w:t>
      </w:r>
      <w:r w:rsidRPr="00242245">
        <w:rPr>
          <w:sz w:val="16"/>
          <w:szCs w:val="16"/>
        </w:rPr>
        <w:t>(Décret n° 2010-1305 -29/10/10)</w:t>
      </w:r>
    </w:p>
    <w:p w14:paraId="31EBA8D7" w14:textId="276883F5" w:rsidR="00EB7709" w:rsidRDefault="007E5C00" w:rsidP="00163B1C">
      <w:r>
        <w:t>L’indemnité peut notamment être</w:t>
      </w:r>
      <w:r w:rsidR="00D917AA">
        <w:t xml:space="preserve"> revalorisée en cas d’augmentation générale des salaires de l’entreprise durant l’arrêt.</w:t>
      </w:r>
    </w:p>
    <w:p w14:paraId="409929DC" w14:textId="3C731E91" w:rsidR="00D917AA" w:rsidRPr="00D917AA" w:rsidRDefault="00D917AA" w:rsidP="00163B1C">
      <w:pPr>
        <w:pStyle w:val="Titre4"/>
      </w:pPr>
      <w:r>
        <w:t>L’assurance Maternité</w:t>
      </w:r>
      <w:r w:rsidR="00ED15F7">
        <w:t xml:space="preserve"> et congé Paternité</w:t>
      </w:r>
    </w:p>
    <w:p w14:paraId="464D5C8A" w14:textId="351F1445" w:rsidR="00D917AA" w:rsidRPr="00025912" w:rsidRDefault="00D917AA" w:rsidP="00163B1C">
      <w:pPr>
        <w:rPr>
          <w:u w:val="single"/>
        </w:rPr>
      </w:pPr>
      <w:r w:rsidRPr="00025912">
        <w:rPr>
          <w:u w:val="single"/>
        </w:rPr>
        <w:t xml:space="preserve">Conditions d’ouverture des droits </w:t>
      </w:r>
      <w:r>
        <w:rPr>
          <w:u w:val="single"/>
        </w:rPr>
        <w:t>de l’assurance maternité</w:t>
      </w:r>
      <w:r w:rsidR="00ED15F7">
        <w:rPr>
          <w:u w:val="single"/>
        </w:rPr>
        <w:t>/paternité</w:t>
      </w:r>
      <w:r w:rsidRPr="00025912">
        <w:rPr>
          <w:u w:val="single"/>
        </w:rPr>
        <w:t> :</w:t>
      </w:r>
    </w:p>
    <w:p w14:paraId="5D7B908F" w14:textId="4B2C33F4" w:rsidR="00D917AA" w:rsidRDefault="00D917AA" w:rsidP="00163B1C">
      <w:r>
        <w:t xml:space="preserve">Les conditions d’ouverture des droits à l’assurance </w:t>
      </w:r>
      <w:r w:rsidR="00ED15F7">
        <w:t>M</w:t>
      </w:r>
      <w:r>
        <w:t>aternité</w:t>
      </w:r>
      <w:r w:rsidR="00ED15F7">
        <w:t xml:space="preserve"> et le congé Paternité</w:t>
      </w:r>
      <w:r>
        <w:t xml:space="preserve"> sont les suivantes :</w:t>
      </w:r>
    </w:p>
    <w:p w14:paraId="333F0A9F" w14:textId="679F4F7C" w:rsidR="00ED15F7" w:rsidRDefault="00ED15F7" w:rsidP="00154541">
      <w:pPr>
        <w:pStyle w:val="Paragraphedeliste"/>
        <w:numPr>
          <w:ilvl w:val="0"/>
          <w:numId w:val="8"/>
        </w:numPr>
      </w:pPr>
      <w:r>
        <w:t>Pour l’assurance maternité :</w:t>
      </w:r>
    </w:p>
    <w:p w14:paraId="1C9D8649" w14:textId="16D373DC" w:rsidR="00ED15F7" w:rsidRDefault="00EB7709" w:rsidP="00154541">
      <w:pPr>
        <w:pStyle w:val="Paragraphedeliste"/>
        <w:numPr>
          <w:ilvl w:val="1"/>
          <w:numId w:val="8"/>
        </w:numPr>
        <w:ind w:left="1210"/>
      </w:pPr>
      <w:r>
        <w:t>Être</w:t>
      </w:r>
      <w:r w:rsidR="00D917AA">
        <w:t xml:space="preserve"> immatriculée en tant qu'assurée sociale depuis au moins 10 mois, à la date prévue de l’accouchement </w:t>
      </w:r>
    </w:p>
    <w:p w14:paraId="726219D8" w14:textId="77777777" w:rsidR="00EB7709" w:rsidRDefault="00D917AA" w:rsidP="00154541">
      <w:pPr>
        <w:pStyle w:val="Paragraphedeliste"/>
        <w:numPr>
          <w:ilvl w:val="1"/>
          <w:numId w:val="8"/>
        </w:numPr>
        <w:ind w:left="1210"/>
      </w:pPr>
      <w:r>
        <w:t xml:space="preserve">Avoir cotisé sur un salaire au moins égal à 1 015 fois la valeur du SMIC horaire au cours des six mois civils précédant la date du début de la grossesse ou du début </w:t>
      </w:r>
    </w:p>
    <w:p w14:paraId="62D67751" w14:textId="08B40EC3" w:rsidR="00D917AA" w:rsidRDefault="00D917AA" w:rsidP="00154541">
      <w:pPr>
        <w:pStyle w:val="Paragraphedeliste"/>
        <w:numPr>
          <w:ilvl w:val="1"/>
          <w:numId w:val="8"/>
        </w:numPr>
        <w:ind w:left="1210"/>
      </w:pPr>
      <w:r>
        <w:t>Ou avoir effectué au moins 150 heures de travail au cours des trois mois précédant l'arrêt de travail, à la date du début de la grossesse ou du début du congé prénatal</w:t>
      </w:r>
    </w:p>
    <w:p w14:paraId="68CB8C46" w14:textId="3AD3198E" w:rsidR="00ED15F7" w:rsidRDefault="00ED15F7" w:rsidP="00154541">
      <w:pPr>
        <w:pStyle w:val="Paragraphedeliste"/>
        <w:numPr>
          <w:ilvl w:val="0"/>
          <w:numId w:val="8"/>
        </w:numPr>
      </w:pPr>
      <w:r>
        <w:t>Pour le congé paternité :</w:t>
      </w:r>
    </w:p>
    <w:p w14:paraId="4F88341A" w14:textId="7D8256E1" w:rsidR="00ED15F7" w:rsidRDefault="00ED15F7" w:rsidP="00154541">
      <w:pPr>
        <w:pStyle w:val="Paragraphedeliste"/>
        <w:numPr>
          <w:ilvl w:val="1"/>
          <w:numId w:val="8"/>
        </w:numPr>
        <w:ind w:left="1210"/>
      </w:pPr>
      <w:r>
        <w:t>Justifier d'au moins 10 mois d'immatriculation en tant qu'assuré social à la date de début du congé</w:t>
      </w:r>
    </w:p>
    <w:p w14:paraId="1F14F42F" w14:textId="3D2E8362" w:rsidR="00D917AA" w:rsidRDefault="00ED15F7" w:rsidP="00154541">
      <w:pPr>
        <w:pStyle w:val="Paragraphedeliste"/>
        <w:numPr>
          <w:ilvl w:val="1"/>
          <w:numId w:val="8"/>
        </w:numPr>
        <w:ind w:left="1210"/>
      </w:pPr>
      <w:r>
        <w:t>Avoir travaillé au moins 150 heures au cours des trois mois précédant la date de début du congé ou avoir cotisé sur un salaire au moins égal à 1 015 fois le montant du SMIC horaire au cours des six mois précédant le début du congé</w:t>
      </w:r>
    </w:p>
    <w:p w14:paraId="5FB82E70" w14:textId="7B6C084A" w:rsidR="00ED15F7" w:rsidRDefault="00ED15F7" w:rsidP="00163B1C">
      <w:pPr>
        <w:rPr>
          <w:u w:val="single"/>
        </w:rPr>
      </w:pPr>
      <w:r>
        <w:rPr>
          <w:u w:val="single"/>
        </w:rPr>
        <w:t>Les</w:t>
      </w:r>
      <w:r w:rsidRPr="00B610EB">
        <w:rPr>
          <w:u w:val="single"/>
        </w:rPr>
        <w:t xml:space="preserve"> indemnités journalières</w:t>
      </w:r>
      <w:r w:rsidR="00C85FED">
        <w:rPr>
          <w:u w:val="single"/>
        </w:rPr>
        <w:t> :</w:t>
      </w:r>
    </w:p>
    <w:p w14:paraId="4066E062" w14:textId="369DB005" w:rsidR="00ED15F7" w:rsidRDefault="00ED15F7" w:rsidP="00154541">
      <w:pPr>
        <w:pStyle w:val="Paragraphedeliste"/>
        <w:numPr>
          <w:ilvl w:val="0"/>
          <w:numId w:val="6"/>
        </w:numPr>
        <w:ind w:left="1210"/>
      </w:pPr>
      <w:r>
        <w:t>Durée de service des indemnités journalières :</w:t>
      </w:r>
    </w:p>
    <w:p w14:paraId="2B737843" w14:textId="77777777" w:rsidR="00913A68" w:rsidRDefault="00ED15F7" w:rsidP="00163B1C">
      <w:r>
        <w:t>Le niveau de l’indemnité journalière due au titre du congé maternité</w:t>
      </w:r>
      <w:r w:rsidR="00913A68">
        <w:t>/paternité</w:t>
      </w:r>
      <w:r>
        <w:t xml:space="preserve"> est d’abord limité par la durée légale du congé : </w:t>
      </w:r>
    </w:p>
    <w:p w14:paraId="106C2521" w14:textId="66CEBD95" w:rsidR="00ED15F7" w:rsidRDefault="00913A68" w:rsidP="00154541">
      <w:pPr>
        <w:pStyle w:val="Paragraphedeliste"/>
        <w:numPr>
          <w:ilvl w:val="0"/>
          <w:numId w:val="9"/>
        </w:numPr>
      </w:pPr>
      <w:r>
        <w:t xml:space="preserve">Congé Maternité : </w:t>
      </w:r>
      <w:r w:rsidR="00ED15F7">
        <w:t>16 semaines (peut être plus longue selon le nombre d’enfants de l’assuré et le nombre d’enfants attendus)</w:t>
      </w:r>
    </w:p>
    <w:p w14:paraId="0AFBE980" w14:textId="244BD7DE" w:rsidR="00913A68" w:rsidRDefault="00913A68" w:rsidP="00154541">
      <w:pPr>
        <w:pStyle w:val="Paragraphedeliste"/>
        <w:numPr>
          <w:ilvl w:val="0"/>
          <w:numId w:val="9"/>
        </w:numPr>
      </w:pPr>
      <w:r>
        <w:lastRenderedPageBreak/>
        <w:t>Congé Paternité : 11 jours consécutifs maximum, 18 en cas de naissance multiple, ce congé est à prendre par le père dans les 4 mois suivants la naissance</w:t>
      </w:r>
    </w:p>
    <w:p w14:paraId="396A6448" w14:textId="7B91F443" w:rsidR="00913A68" w:rsidRDefault="00ED15F7" w:rsidP="00163B1C">
      <w:r>
        <w:t>Il n’y a aucun délai de carence.</w:t>
      </w:r>
    </w:p>
    <w:p w14:paraId="5A4BCA22" w14:textId="7482A02D" w:rsidR="00913A68" w:rsidRDefault="00913A68" w:rsidP="00154541">
      <w:pPr>
        <w:pStyle w:val="Paragraphedeliste"/>
        <w:numPr>
          <w:ilvl w:val="0"/>
          <w:numId w:val="6"/>
        </w:numPr>
        <w:ind w:left="1210"/>
      </w:pPr>
      <w:r>
        <w:t>Montant de l’indemnité journalière :</w:t>
      </w:r>
    </w:p>
    <w:p w14:paraId="5247C9B8" w14:textId="77777777" w:rsidR="00F16702" w:rsidRDefault="00F16702" w:rsidP="00163B1C">
      <w:pPr>
        <w:pStyle w:val="Paragraphedeliste"/>
        <w:ind w:left="1423"/>
      </w:pPr>
    </w:p>
    <w:p w14:paraId="743B72D3" w14:textId="184AEA8B" w:rsidR="00913A68" w:rsidRDefault="00913A68" w:rsidP="00154541">
      <w:pPr>
        <w:pStyle w:val="Paragraphedeliste"/>
        <w:numPr>
          <w:ilvl w:val="0"/>
          <w:numId w:val="10"/>
        </w:numPr>
      </w:pPr>
      <w:r>
        <w:t>L’indemnité journalière Maternité : moyenne des salaires nets des prélèvements légaux et conventionnels et de la CSG (déduction forfaitaire 21%), limités à la Tranche A (= 1PMSS </w:t>
      </w:r>
      <w:r w:rsidRPr="00913A68">
        <w:t>: 3 428 €</w:t>
      </w:r>
      <w:r>
        <w:t xml:space="preserve"> en 2022</w:t>
      </w:r>
      <w:r w:rsidRPr="00913A68">
        <w:t>)</w:t>
      </w:r>
      <w:r>
        <w:t xml:space="preserve"> des trois mois précédant le congé prénatal.</w:t>
      </w:r>
    </w:p>
    <w:p w14:paraId="25554E07" w14:textId="1A42465C" w:rsidR="00913A68" w:rsidRDefault="00913A68" w:rsidP="00154541">
      <w:pPr>
        <w:pStyle w:val="Paragraphedeliste"/>
        <w:numPr>
          <w:ilvl w:val="0"/>
          <w:numId w:val="10"/>
        </w:numPr>
      </w:pPr>
      <w:r>
        <w:t>L’indemnité journalière Paternité : moyenne des salaires nets des prélèvements légaux et conventionnels et de la CSG, limités à la Tranche A des trois mois précédant le congé prénatal.</w:t>
      </w:r>
    </w:p>
    <w:p w14:paraId="6769165A" w14:textId="374F082D" w:rsidR="00913A68" w:rsidRDefault="00913A68" w:rsidP="00163B1C">
      <w:pPr>
        <w:pStyle w:val="Titre4"/>
      </w:pPr>
      <w:r>
        <w:t>L’assurance Invalidité</w:t>
      </w:r>
    </w:p>
    <w:p w14:paraId="21DF6507" w14:textId="6B365D9E" w:rsidR="00A529CB" w:rsidRPr="004167E1" w:rsidRDefault="00A529CB" w:rsidP="00163B1C">
      <w:pPr>
        <w:rPr>
          <w:u w:val="single"/>
        </w:rPr>
      </w:pPr>
      <w:r w:rsidRPr="004167E1">
        <w:rPr>
          <w:u w:val="single"/>
        </w:rPr>
        <w:t>Définition </w:t>
      </w:r>
      <w:r>
        <w:rPr>
          <w:u w:val="single"/>
        </w:rPr>
        <w:t xml:space="preserve">l’assurance invalidité </w:t>
      </w:r>
      <w:r w:rsidRPr="004167E1">
        <w:rPr>
          <w:u w:val="single"/>
        </w:rPr>
        <w:t>:</w:t>
      </w:r>
    </w:p>
    <w:p w14:paraId="4D38F51C" w14:textId="37014CCD" w:rsidR="00A529CB" w:rsidRDefault="00A529CB" w:rsidP="00163B1C">
      <w:r>
        <w:t>L’assurance invalidité est définie dans le cadre de</w:t>
      </w:r>
      <w:r w:rsidR="003E0C37">
        <w:t>s</w:t>
      </w:r>
      <w:r>
        <w:t xml:space="preserve"> </w:t>
      </w:r>
      <w:r w:rsidR="003E0C37">
        <w:t>articles suivants</w:t>
      </w:r>
      <w:r w:rsidR="000046F7">
        <w:t xml:space="preserve"> comme étant le droit d’avoir accès à une pension lorsque l’assuré présente une invalidité réduisant sa capacité de travail ou de gains dans des proportions déterminées</w:t>
      </w:r>
      <w:r w:rsidR="003E0C37">
        <w:t xml:space="preserve"> </w:t>
      </w:r>
      <w:r>
        <w:t>:</w:t>
      </w:r>
    </w:p>
    <w:p w14:paraId="5430EA8E" w14:textId="29DE1FAB" w:rsidR="00A529CB" w:rsidRDefault="003E0C37" w:rsidP="00163B1C">
      <w:r>
        <w:t xml:space="preserve">Article L341-1 du CSS : </w:t>
      </w:r>
      <w:r w:rsidR="00A529CB">
        <w:t>« L'assuré a droit à une pension d'invalidité lorsqu'il présente une invalidité réduisant dans des proportions déterminées sa capacité de travail ou de gain, c'est-à-dire le mettant hors d'état de se procurer un salaire supérieur à une fraction de la rémunération soumise à cotisations et contributions sociales qu'il percevait dans la profession qu'il exerçait avant la date de l'interruption de travail suivie d'invalidité ou la date de la constatation médicale de l'invalidité. »</w:t>
      </w:r>
    </w:p>
    <w:p w14:paraId="3BEF7DC3" w14:textId="6DB2551B" w:rsidR="003E0C37" w:rsidRDefault="003E0C37" w:rsidP="00163B1C">
      <w:r>
        <w:t xml:space="preserve">Article R341-2 du CSS : « Pour l'application des dispositions de l'article L. 341-1 : </w:t>
      </w:r>
    </w:p>
    <w:p w14:paraId="69C701D0" w14:textId="2FC88F9E" w:rsidR="003E0C37" w:rsidRDefault="003E0C37" w:rsidP="00154541">
      <w:pPr>
        <w:pStyle w:val="Paragraphedeliste"/>
        <w:numPr>
          <w:ilvl w:val="0"/>
          <w:numId w:val="11"/>
        </w:numPr>
      </w:pPr>
      <w:r>
        <w:t xml:space="preserve">L’invalidité que présente l'assuré doit réduire au moins des 2/3 sa capacité de travail ou de gain  </w:t>
      </w:r>
    </w:p>
    <w:p w14:paraId="7F8495D9" w14:textId="28344192" w:rsidR="00A529CB" w:rsidRDefault="003E0C37" w:rsidP="00154541">
      <w:pPr>
        <w:pStyle w:val="Paragraphedeliste"/>
        <w:numPr>
          <w:ilvl w:val="0"/>
          <w:numId w:val="11"/>
        </w:numPr>
      </w:pPr>
      <w:r>
        <w:t>Le salaire de référence ne doit pas être supérieur au tiers de la rémunération normale mentionnée audit article. »</w:t>
      </w:r>
    </w:p>
    <w:p w14:paraId="3CDCEE25" w14:textId="77777777" w:rsidR="003E0C37" w:rsidRDefault="003E0C37" w:rsidP="00163B1C">
      <w:r>
        <w:t xml:space="preserve">Article L341-4 du CSS : « En vue de la détermination du montant de la pension, les invalides sont classés comme suit : </w:t>
      </w:r>
    </w:p>
    <w:p w14:paraId="04C9C288" w14:textId="77777777" w:rsidR="003E0C37" w:rsidRDefault="003E0C37" w:rsidP="00154541">
      <w:pPr>
        <w:pStyle w:val="Paragraphedeliste"/>
        <w:numPr>
          <w:ilvl w:val="0"/>
          <w:numId w:val="12"/>
        </w:numPr>
      </w:pPr>
      <w:r>
        <w:t xml:space="preserve">Invalides capables d'exercer une activité rémunérée ; </w:t>
      </w:r>
    </w:p>
    <w:p w14:paraId="63734EB6" w14:textId="77777777" w:rsidR="003E0C37" w:rsidRDefault="003E0C37" w:rsidP="00154541">
      <w:pPr>
        <w:pStyle w:val="Paragraphedeliste"/>
        <w:numPr>
          <w:ilvl w:val="0"/>
          <w:numId w:val="12"/>
        </w:numPr>
      </w:pPr>
      <w:r>
        <w:t xml:space="preserve">Invalides absolument incapables d'exercer une profession quelconque ; </w:t>
      </w:r>
    </w:p>
    <w:p w14:paraId="68BD1599" w14:textId="1BE83BE9" w:rsidR="001B7625" w:rsidRPr="00FE2857" w:rsidRDefault="003E0C37" w:rsidP="00154541">
      <w:pPr>
        <w:pStyle w:val="Paragraphedeliste"/>
        <w:numPr>
          <w:ilvl w:val="0"/>
          <w:numId w:val="12"/>
        </w:numPr>
      </w:pPr>
      <w:r>
        <w:t>Invalides qui, étant absolument incapables d'exercer une profession, sont, en outre, dans l'obligation d'avoir recours à l'assistance d'une tierce personne pour effectuer les actes ordinaires de la vie. »</w:t>
      </w:r>
    </w:p>
    <w:p w14:paraId="12ACFFD7" w14:textId="5944A37D" w:rsidR="003E0C37" w:rsidRPr="00025912" w:rsidRDefault="003E0C37" w:rsidP="00163B1C">
      <w:pPr>
        <w:rPr>
          <w:u w:val="single"/>
        </w:rPr>
      </w:pPr>
      <w:r w:rsidRPr="00025912">
        <w:rPr>
          <w:u w:val="single"/>
        </w:rPr>
        <w:t xml:space="preserve">Conditions d’ouverture des droits </w:t>
      </w:r>
      <w:r>
        <w:rPr>
          <w:u w:val="single"/>
        </w:rPr>
        <w:t>de l’assurance Invalidité</w:t>
      </w:r>
      <w:r w:rsidRPr="00025912">
        <w:rPr>
          <w:u w:val="single"/>
        </w:rPr>
        <w:t> :</w:t>
      </w:r>
    </w:p>
    <w:p w14:paraId="5D272E0A" w14:textId="0AA36211" w:rsidR="00397EA1" w:rsidRDefault="003E0C37" w:rsidP="00163B1C">
      <w:r>
        <w:t>Les conditions d’ouverture des droits à l’assurance Invalidité sont les suivantes :</w:t>
      </w:r>
    </w:p>
    <w:p w14:paraId="6884B631" w14:textId="7DBD357E" w:rsidR="00397EA1" w:rsidRDefault="00397EA1" w:rsidP="00154541">
      <w:pPr>
        <w:pStyle w:val="Paragraphedeliste"/>
        <w:numPr>
          <w:ilvl w:val="0"/>
          <w:numId w:val="8"/>
        </w:numPr>
      </w:pPr>
      <w:r>
        <w:t>Être</w:t>
      </w:r>
      <w:r w:rsidRPr="00397EA1">
        <w:t xml:space="preserve"> </w:t>
      </w:r>
      <w:r>
        <w:t xml:space="preserve">immatriculé depuis au moins 12 mois au moment de l'arrêt de travail </w:t>
      </w:r>
      <w:proofErr w:type="gramStart"/>
      <w:r>
        <w:t>suite à</w:t>
      </w:r>
      <w:proofErr w:type="gramEnd"/>
      <w:r>
        <w:t xml:space="preserve"> l’invalidité ou au moment de la constatation de l’invalidité par le médecin conseil de la caisse d'Assurance Maladie ;</w:t>
      </w:r>
    </w:p>
    <w:p w14:paraId="04B654A8" w14:textId="490878D7" w:rsidR="00397EA1" w:rsidRDefault="00397EA1" w:rsidP="00154541">
      <w:pPr>
        <w:pStyle w:val="Paragraphedeliste"/>
        <w:numPr>
          <w:ilvl w:val="0"/>
          <w:numId w:val="8"/>
        </w:numPr>
      </w:pPr>
      <w:r>
        <w:t>Justifier, au cours des 12 mois qui précédent l’arrêt de travail pour invalidité ou constatation médicale de l'invalidité,</w:t>
      </w:r>
    </w:p>
    <w:p w14:paraId="6510B46F" w14:textId="7A92317E" w:rsidR="00397EA1" w:rsidRDefault="00397EA1" w:rsidP="00154541">
      <w:pPr>
        <w:pStyle w:val="Paragraphedeliste"/>
        <w:numPr>
          <w:ilvl w:val="1"/>
          <w:numId w:val="8"/>
        </w:numPr>
        <w:ind w:left="1210"/>
      </w:pPr>
      <w:r>
        <w:t>Soit avoir effectué au moins 600 heures de travail salarié ;</w:t>
      </w:r>
    </w:p>
    <w:p w14:paraId="0282C8AC" w14:textId="2F6E1C79" w:rsidR="00397EA1" w:rsidRDefault="00397EA1" w:rsidP="00154541">
      <w:pPr>
        <w:pStyle w:val="Paragraphedeliste"/>
        <w:numPr>
          <w:ilvl w:val="1"/>
          <w:numId w:val="8"/>
        </w:numPr>
        <w:ind w:left="1210"/>
      </w:pPr>
      <w:r>
        <w:t>Soit avoir cotisé sur un salaire au moins égal à 2 030 fois le SMIC horaire.</w:t>
      </w:r>
    </w:p>
    <w:p w14:paraId="1BC19310" w14:textId="59E7F587" w:rsidR="000046F7" w:rsidRPr="000046F7" w:rsidRDefault="00C85FED" w:rsidP="00163B1C">
      <w:pPr>
        <w:rPr>
          <w:u w:val="single"/>
        </w:rPr>
      </w:pPr>
      <w:r>
        <w:rPr>
          <w:u w:val="single"/>
        </w:rPr>
        <w:lastRenderedPageBreak/>
        <w:t>La pension d’invalidité :</w:t>
      </w:r>
    </w:p>
    <w:p w14:paraId="680739B8" w14:textId="77777777" w:rsidR="000046F7" w:rsidRDefault="000046F7" w:rsidP="00154541">
      <w:pPr>
        <w:pStyle w:val="Paragraphedeliste"/>
        <w:numPr>
          <w:ilvl w:val="0"/>
          <w:numId w:val="6"/>
        </w:numPr>
        <w:ind w:left="1210"/>
      </w:pPr>
      <w:r>
        <w:t>Durée de service des indemnités journalières :</w:t>
      </w:r>
    </w:p>
    <w:p w14:paraId="584E2A6F" w14:textId="34CEABBA" w:rsidR="00F16702" w:rsidRPr="00F16702" w:rsidRDefault="000046F7" w:rsidP="00163B1C">
      <w:r>
        <w:t xml:space="preserve">La pension invalidité </w:t>
      </w:r>
      <w:r w:rsidR="00F16702">
        <w:t>est interrompue en totalité ou en partie en cas de reprise du travail, sinon elle prend fin à l’âge de la retraite prévu par la loi, elle est alors remplacée par la pension de vieillesse allouée en cas d’inaptitude au travail.</w:t>
      </w:r>
    </w:p>
    <w:p w14:paraId="49BEB911" w14:textId="3AE8326C" w:rsidR="00F16702" w:rsidRDefault="00F16702" w:rsidP="00154541">
      <w:pPr>
        <w:pStyle w:val="Paragraphedeliste"/>
        <w:numPr>
          <w:ilvl w:val="0"/>
          <w:numId w:val="6"/>
        </w:numPr>
        <w:ind w:left="1210"/>
      </w:pPr>
      <w:r>
        <w:t>Montant de la pension invalidité :</w:t>
      </w:r>
    </w:p>
    <w:p w14:paraId="3C4872D0" w14:textId="2122DB28" w:rsidR="00F16702" w:rsidRDefault="00F16702" w:rsidP="00163B1C">
      <w:r>
        <w:t xml:space="preserve">Le montant de la pension d’invalidité versée par la Sécurité Sociale est calculé via le salaire annuel moyen égal à la moyenne des salaires annuels </w:t>
      </w:r>
      <w:r w:rsidR="00C85FED">
        <w:t>bruts plafonnés à la tranche A des dix meilleures années d’activité</w:t>
      </w:r>
      <w:r>
        <w:t>.</w:t>
      </w:r>
      <w:r w:rsidR="00C85FED">
        <w:t xml:space="preserve"> Le montant de la pension d’invalidité est le suivant :</w:t>
      </w:r>
    </w:p>
    <w:p w14:paraId="0AAA569F" w14:textId="7DA030A7" w:rsidR="00C85FED" w:rsidRDefault="00C85FED" w:rsidP="00154541">
      <w:pPr>
        <w:pStyle w:val="Paragraphedeliste"/>
        <w:numPr>
          <w:ilvl w:val="0"/>
          <w:numId w:val="13"/>
        </w:numPr>
      </w:pPr>
      <w:r>
        <w:t xml:space="preserve">1ère catégorie = 30 % du salaire annuel moyen </w:t>
      </w:r>
    </w:p>
    <w:p w14:paraId="33F55EF9" w14:textId="1B19FB56" w:rsidR="00C85FED" w:rsidRDefault="00C85FED" w:rsidP="00154541">
      <w:pPr>
        <w:pStyle w:val="Paragraphedeliste"/>
        <w:numPr>
          <w:ilvl w:val="0"/>
          <w:numId w:val="13"/>
        </w:numPr>
      </w:pPr>
      <w:r>
        <w:t xml:space="preserve">2ème catégorie = 50 % du salaire annuel moyen </w:t>
      </w:r>
    </w:p>
    <w:p w14:paraId="06AA7078" w14:textId="4A582D6F" w:rsidR="00C85FED" w:rsidRPr="005F1B32" w:rsidRDefault="00C85FED" w:rsidP="00154541">
      <w:pPr>
        <w:pStyle w:val="Paragraphedeliste"/>
        <w:numPr>
          <w:ilvl w:val="0"/>
          <w:numId w:val="13"/>
        </w:numPr>
      </w:pPr>
      <w:r>
        <w:t xml:space="preserve">3ème catégorie = 50 % du salaire annuel moyen majoré de l’allocation tierce personne </w:t>
      </w:r>
    </w:p>
    <w:p w14:paraId="16AC71DC" w14:textId="5145FEBE" w:rsidR="00C85FED" w:rsidRPr="005F1B32" w:rsidRDefault="00C85FED" w:rsidP="00163B1C">
      <w:pPr>
        <w:pStyle w:val="Titre4"/>
      </w:pPr>
      <w:r>
        <w:t>L’assurance Décès</w:t>
      </w:r>
    </w:p>
    <w:p w14:paraId="447536A4" w14:textId="1FEFD17F" w:rsidR="00C85FED" w:rsidRDefault="00C85FED" w:rsidP="00163B1C">
      <w:pPr>
        <w:rPr>
          <w:u w:val="single"/>
        </w:rPr>
      </w:pPr>
      <w:r w:rsidRPr="004167E1">
        <w:rPr>
          <w:u w:val="single"/>
        </w:rPr>
        <w:t>Définition</w:t>
      </w:r>
      <w:r>
        <w:rPr>
          <w:u w:val="single"/>
        </w:rPr>
        <w:t xml:space="preserve"> et condition d’ouverture des droits de</w:t>
      </w:r>
      <w:r w:rsidRPr="004167E1">
        <w:rPr>
          <w:u w:val="single"/>
        </w:rPr>
        <w:t> </w:t>
      </w:r>
      <w:r>
        <w:rPr>
          <w:u w:val="single"/>
        </w:rPr>
        <w:t xml:space="preserve">l’assurance </w:t>
      </w:r>
      <w:r w:rsidR="00D5746E">
        <w:rPr>
          <w:u w:val="single"/>
        </w:rPr>
        <w:t>Décès</w:t>
      </w:r>
      <w:r>
        <w:rPr>
          <w:u w:val="single"/>
        </w:rPr>
        <w:t xml:space="preserve"> </w:t>
      </w:r>
      <w:r w:rsidRPr="004167E1">
        <w:rPr>
          <w:u w:val="single"/>
        </w:rPr>
        <w:t>:</w:t>
      </w:r>
    </w:p>
    <w:p w14:paraId="1A4594AC" w14:textId="66607A75" w:rsidR="00C85FED" w:rsidRPr="00C85FED" w:rsidRDefault="00C85FED" w:rsidP="00163B1C">
      <w:r>
        <w:t>D’après l’article L361-1 du CSS, l’assurance décès garantit aux ayants droit de l’assuré le paiement d’un capital égal à un multiple du gain journalier de base lorsque l’assuré exerçait une activité salariée moins de trois mois avant le décès, s’il était titulaire d’une pension d’invalidité ou d’une rente allouée en vertu de la législation sur les accidents du travail et maladies professionnelles ou lorsqu’il bénéficiait, au moment du décès, du maintien de ses droits à l’assurance décès.</w:t>
      </w:r>
    </w:p>
    <w:p w14:paraId="4659B203" w14:textId="612CBDCF" w:rsidR="00CE0C9B" w:rsidRDefault="00CE0C9B" w:rsidP="00163B1C">
      <w:pPr>
        <w:rPr>
          <w:u w:val="single"/>
        </w:rPr>
      </w:pPr>
      <w:r>
        <w:rPr>
          <w:u w:val="single"/>
        </w:rPr>
        <w:t xml:space="preserve">Montant du capital décès </w:t>
      </w:r>
      <w:r w:rsidRPr="004167E1">
        <w:rPr>
          <w:u w:val="single"/>
        </w:rPr>
        <w:t>:</w:t>
      </w:r>
    </w:p>
    <w:p w14:paraId="0D0801DD" w14:textId="38C74F9D" w:rsidR="00CE0C9B" w:rsidRDefault="00CE0C9B" w:rsidP="00163B1C">
      <w:r>
        <w:t>Depuis la loi de financement de la sécurité social de 2015, il est égal à un montant forfaitaire fixé par décret et revalorisé chaque année (3 539€ en 2022).</w:t>
      </w:r>
    </w:p>
    <w:p w14:paraId="760F5FD2" w14:textId="5CCCD2FE" w:rsidR="00CE0C9B" w:rsidRDefault="00CE0C9B" w:rsidP="00163B1C">
      <w:pPr>
        <w:pStyle w:val="Titre4"/>
      </w:pPr>
      <w:r>
        <w:t>L’assurance Accident du travail et Maladie Professionnelle</w:t>
      </w:r>
    </w:p>
    <w:p w14:paraId="7468B2CE" w14:textId="3EEB6D71" w:rsidR="00D5746E" w:rsidRDefault="00D5746E" w:rsidP="00163B1C">
      <w:pPr>
        <w:rPr>
          <w:u w:val="single"/>
        </w:rPr>
      </w:pPr>
      <w:r w:rsidRPr="004167E1">
        <w:rPr>
          <w:u w:val="single"/>
        </w:rPr>
        <w:t>Définition</w:t>
      </w:r>
      <w:r w:rsidR="00AC7AE8">
        <w:rPr>
          <w:u w:val="single"/>
        </w:rPr>
        <w:t>s</w:t>
      </w:r>
      <w:r>
        <w:rPr>
          <w:u w:val="single"/>
        </w:rPr>
        <w:t xml:space="preserve"> </w:t>
      </w:r>
      <w:r w:rsidRPr="004167E1">
        <w:rPr>
          <w:u w:val="single"/>
        </w:rPr>
        <w:t>:</w:t>
      </w:r>
    </w:p>
    <w:p w14:paraId="7E8896E5" w14:textId="74F46F8A" w:rsidR="00CE0C9B" w:rsidRDefault="00AC7AE8" w:rsidP="00163B1C">
      <w:r>
        <w:t>D’après l’article L411-1 du CSS, est considéré comme accident du travail un accident survenu par le fait ou à l’occasion du travail à toute personne salariée ou travaillant, à quelque titre ou en quelque lieu que ce soit, pour un ou plusieurs employeurs ou chefs d'entreprise. De plus, est aussi considéré comme accident du travail l'accident qui est survenu à un travailleur, pendant le trajet d'aller et de retour, entre :</w:t>
      </w:r>
    </w:p>
    <w:p w14:paraId="6067FF9C" w14:textId="79DF82CB" w:rsidR="00AC7AE8" w:rsidRDefault="00AC7AE8" w:rsidP="00154541">
      <w:pPr>
        <w:pStyle w:val="Paragraphedeliste"/>
        <w:numPr>
          <w:ilvl w:val="0"/>
          <w:numId w:val="14"/>
        </w:numPr>
        <w:ind w:left="1210"/>
      </w:pPr>
      <w:r>
        <w:t>Tout lieu où le travailleur se rend de façon habituelle (résidence principale, résidence secondaire, …) et le lieu de travail.</w:t>
      </w:r>
    </w:p>
    <w:p w14:paraId="0EA9A640" w14:textId="24FE71FF" w:rsidR="00AC7AE8" w:rsidRDefault="00456F0C" w:rsidP="00154541">
      <w:pPr>
        <w:pStyle w:val="Paragraphedeliste"/>
        <w:numPr>
          <w:ilvl w:val="0"/>
          <w:numId w:val="14"/>
        </w:numPr>
        <w:ind w:left="1210"/>
      </w:pPr>
      <w:r>
        <w:t>Le lieu où le travailleur prend habituellement ses repas dans la mesure où le parcours n'a pas été interrompu ou détourné pour un motif dicté par l'intérêt personnel et étranger aux nécessités essentielles de la vie courante ou indépendant de l'emploi et le lieu de travail.</w:t>
      </w:r>
    </w:p>
    <w:p w14:paraId="5068068C" w14:textId="69CBC8C8" w:rsidR="00456F0C" w:rsidRDefault="00456F0C" w:rsidP="00163B1C">
      <w:r>
        <w:t>Pour ce qui est des maladies professionnelles, d’après l’article L411-1, est présumée d'origine professionnelle toute maladie désignée dans un tableau de maladies professionnelles et contractée dans les conditions mentionnées à ce tableau.</w:t>
      </w:r>
    </w:p>
    <w:p w14:paraId="41456C4F" w14:textId="5B7D16AB" w:rsidR="00D5746E" w:rsidRDefault="00456F0C" w:rsidP="00163B1C">
      <w:pPr>
        <w:tabs>
          <w:tab w:val="left" w:pos="1770"/>
        </w:tabs>
      </w:pPr>
      <w:r>
        <w:t>Aucune condition n’est formulée pour l’ouverture des droits.</w:t>
      </w:r>
    </w:p>
    <w:p w14:paraId="1B628B7D" w14:textId="188882A1" w:rsidR="00456F0C" w:rsidRDefault="00456F0C" w:rsidP="00163B1C">
      <w:pPr>
        <w:rPr>
          <w:u w:val="single"/>
        </w:rPr>
      </w:pPr>
      <w:r>
        <w:rPr>
          <w:u w:val="single"/>
        </w:rPr>
        <w:t>Les</w:t>
      </w:r>
      <w:r w:rsidRPr="00B610EB">
        <w:rPr>
          <w:u w:val="single"/>
        </w:rPr>
        <w:t xml:space="preserve"> indemnités journalières</w:t>
      </w:r>
      <w:r>
        <w:rPr>
          <w:u w:val="single"/>
        </w:rPr>
        <w:t> :</w:t>
      </w:r>
    </w:p>
    <w:p w14:paraId="48080EF0" w14:textId="429AAA93" w:rsidR="00456F0C" w:rsidRPr="00456F0C" w:rsidRDefault="00456F0C" w:rsidP="00154541">
      <w:pPr>
        <w:pStyle w:val="Paragraphedeliste"/>
        <w:numPr>
          <w:ilvl w:val="0"/>
          <w:numId w:val="6"/>
        </w:numPr>
        <w:ind w:left="1210"/>
      </w:pPr>
      <w:r>
        <w:t>Délai de carence :</w:t>
      </w:r>
    </w:p>
    <w:p w14:paraId="68DB7F60" w14:textId="773B7A9F" w:rsidR="00456F0C" w:rsidRDefault="00456F0C" w:rsidP="00163B1C">
      <w:pPr>
        <w:tabs>
          <w:tab w:val="left" w:pos="1770"/>
        </w:tabs>
      </w:pPr>
      <w:r>
        <w:lastRenderedPageBreak/>
        <w:t>Aucun délai de carence n’est applicable : l’indemnité est due à partir du 1er jour suivant l'arrêt du travail, pendant toute la période d'incapacité de travail qui précède soit la guérison complète, soit la consolidation de l’état ou le décès.</w:t>
      </w:r>
    </w:p>
    <w:p w14:paraId="1C983E4C" w14:textId="0F36986D" w:rsidR="00456F0C" w:rsidRDefault="00456F0C" w:rsidP="00154541">
      <w:pPr>
        <w:pStyle w:val="Paragraphedeliste"/>
        <w:numPr>
          <w:ilvl w:val="0"/>
          <w:numId w:val="6"/>
        </w:numPr>
        <w:ind w:left="1210"/>
      </w:pPr>
      <w:r>
        <w:t>Montant de l’indemnisation :</w:t>
      </w:r>
    </w:p>
    <w:p w14:paraId="3FDC15C8" w14:textId="59546557" w:rsidR="00456F0C" w:rsidRDefault="00456F0C" w:rsidP="00163B1C">
      <w:pPr>
        <w:tabs>
          <w:tab w:val="left" w:pos="1770"/>
        </w:tabs>
      </w:pPr>
      <w:r>
        <w:t>Ce montant est calculé via le salaire journalier de base dont le calcul a été détaillé précédemment, le montant de l’indemnité est le suivant :</w:t>
      </w:r>
    </w:p>
    <w:p w14:paraId="64FCF09F" w14:textId="6C8C20CC" w:rsidR="00456F0C" w:rsidRDefault="00456F0C" w:rsidP="00154541">
      <w:pPr>
        <w:pStyle w:val="Paragraphedeliste"/>
        <w:numPr>
          <w:ilvl w:val="0"/>
          <w:numId w:val="15"/>
        </w:numPr>
        <w:tabs>
          <w:tab w:val="left" w:pos="1770"/>
        </w:tabs>
      </w:pPr>
      <w:r>
        <w:t>60 % du salaire journalier de base jusqu’au 28ème jour</w:t>
      </w:r>
    </w:p>
    <w:p w14:paraId="2FE4CDE9" w14:textId="3AA81224" w:rsidR="00D5746E" w:rsidRDefault="00456F0C" w:rsidP="00154541">
      <w:pPr>
        <w:pStyle w:val="Paragraphedeliste"/>
        <w:numPr>
          <w:ilvl w:val="0"/>
          <w:numId w:val="15"/>
        </w:numPr>
        <w:tabs>
          <w:tab w:val="left" w:pos="1770"/>
        </w:tabs>
      </w:pPr>
      <w:r>
        <w:t xml:space="preserve">80 % du salaire journalier de base à partir du 29ème jour d’arrêt </w:t>
      </w:r>
    </w:p>
    <w:p w14:paraId="7D755CBD" w14:textId="14C052CC" w:rsidR="000649C9" w:rsidRDefault="000649C9" w:rsidP="00163B1C">
      <w:r>
        <w:t>De plus, une des spécificités de cette assurance est le taux d’incapacité permanente, taux qui est proposé par un médecin conseil lors d’un contrôle médical organisé par la caisse d’Assurance Maladie de l’assuré.</w:t>
      </w:r>
    </w:p>
    <w:p w14:paraId="31352B89" w14:textId="5FEA3CD1" w:rsidR="000649C9" w:rsidRDefault="000649C9" w:rsidP="00163B1C">
      <w:r>
        <w:t>Le montant de la prestation est alors dicté par ce taux :</w:t>
      </w:r>
    </w:p>
    <w:p w14:paraId="382BF751" w14:textId="43A80C93" w:rsidR="000649C9" w:rsidRDefault="000649C9" w:rsidP="00154541">
      <w:pPr>
        <w:pStyle w:val="Paragraphedeliste"/>
        <w:numPr>
          <w:ilvl w:val="0"/>
          <w:numId w:val="16"/>
        </w:numPr>
      </w:pPr>
      <w:r>
        <w:t>Si taux &lt; 10% : Un capital est versé en fonction du taux d’incapacité de la victime sur la base d’un barème forfaitaire.</w:t>
      </w:r>
    </w:p>
    <w:p w14:paraId="6FEC317F" w14:textId="5954B0D4" w:rsidR="00A74A85" w:rsidRDefault="00A74A85" w:rsidP="00154541">
      <w:pPr>
        <w:pStyle w:val="Paragraphedeliste"/>
        <w:numPr>
          <w:ilvl w:val="0"/>
          <w:numId w:val="16"/>
        </w:numPr>
      </w:pPr>
      <w:r>
        <w:t>Si taux ≥ 10% : Versement d’une rente viagère égale au salaire annuel multiplié par le taux d'incapacité qui peut être réduit ou augmenté en fonction de la gravité de celle-ci</w:t>
      </w:r>
    </w:p>
    <w:p w14:paraId="5D45632E" w14:textId="4AD4C0CB" w:rsidR="00B71D8B" w:rsidRDefault="00B71D8B">
      <w:pPr>
        <w:jc w:val="left"/>
        <w:rPr>
          <w:rFonts w:eastAsiaTheme="majorEastAsia" w:cstheme="majorBidi"/>
          <w:color w:val="00B0F0"/>
          <w:sz w:val="24"/>
          <w:szCs w:val="24"/>
        </w:rPr>
      </w:pPr>
    </w:p>
    <w:p w14:paraId="59E3018C" w14:textId="0527A72F" w:rsidR="000273B5" w:rsidRPr="000273B5" w:rsidRDefault="000273B5" w:rsidP="00163B1C">
      <w:pPr>
        <w:pStyle w:val="Titre3"/>
      </w:pPr>
      <w:bookmarkStart w:id="8" w:name="_Toc112883445"/>
      <w:r>
        <w:t>Panorama de l’offre de couverture complémentaire</w:t>
      </w:r>
      <w:bookmarkEnd w:id="8"/>
    </w:p>
    <w:p w14:paraId="1F0B726C" w14:textId="63EF6D62" w:rsidR="003C752A" w:rsidRDefault="000273B5" w:rsidP="00163B1C">
      <w:pPr>
        <w:pStyle w:val="Titre4"/>
      </w:pPr>
      <w:r>
        <w:t>Organisation du marché de l’assurance complémentaire</w:t>
      </w:r>
    </w:p>
    <w:p w14:paraId="2B210989" w14:textId="3924649B" w:rsidR="003C752A" w:rsidRDefault="003C752A" w:rsidP="00163B1C">
      <w:r>
        <w:t xml:space="preserve">Le marché de l’assurance complémentaire est </w:t>
      </w:r>
      <w:r w:rsidR="005F1B32">
        <w:t>composé</w:t>
      </w:r>
      <w:r>
        <w:t xml:space="preserve"> </w:t>
      </w:r>
      <w:r w:rsidR="005F1B32">
        <w:t>de</w:t>
      </w:r>
      <w:r>
        <w:t xml:space="preserve"> quatre acteurs principaux :</w:t>
      </w:r>
    </w:p>
    <w:p w14:paraId="37841B24" w14:textId="159ECB85" w:rsidR="003C752A" w:rsidRDefault="003C752A" w:rsidP="00154541">
      <w:pPr>
        <w:pStyle w:val="Paragraphedeliste"/>
        <w:numPr>
          <w:ilvl w:val="0"/>
          <w:numId w:val="6"/>
        </w:numPr>
        <w:ind w:left="927"/>
      </w:pPr>
      <w:r w:rsidRPr="005F1B32">
        <w:rPr>
          <w:b/>
          <w:bCs/>
        </w:rPr>
        <w:t>Les organismes assureur :</w:t>
      </w:r>
      <w:r>
        <w:t xml:space="preserve"> mutuelle, institut de prévoyance, société d’assurance. Ces organismes sont régis par des réglementations différentes et ont un mode de fonctionnement qui leur est propre et chaque organisme à son domaine d’intervention privilégié.</w:t>
      </w:r>
    </w:p>
    <w:p w14:paraId="2A7350E5" w14:textId="014799DE" w:rsidR="003C752A" w:rsidRDefault="003C752A" w:rsidP="00154541">
      <w:pPr>
        <w:pStyle w:val="Paragraphedeliste"/>
        <w:numPr>
          <w:ilvl w:val="0"/>
          <w:numId w:val="6"/>
        </w:numPr>
        <w:ind w:left="927"/>
      </w:pPr>
      <w:r w:rsidRPr="005F1B32">
        <w:rPr>
          <w:b/>
          <w:bCs/>
        </w:rPr>
        <w:t>Les courtiers :</w:t>
      </w:r>
      <w:r>
        <w:t xml:space="preserve"> c’est un travailleur indépendant qui n’est pas lié à une compagnie d’assurance, il est un intermédiaire au contrat.</w:t>
      </w:r>
    </w:p>
    <w:p w14:paraId="2D5264F8" w14:textId="3135A03F" w:rsidR="003C752A" w:rsidRDefault="003C752A" w:rsidP="00154541">
      <w:pPr>
        <w:pStyle w:val="Paragraphedeliste"/>
        <w:numPr>
          <w:ilvl w:val="0"/>
          <w:numId w:val="6"/>
        </w:numPr>
        <w:ind w:left="927"/>
      </w:pPr>
      <w:r w:rsidRPr="005F1B32">
        <w:rPr>
          <w:b/>
          <w:bCs/>
        </w:rPr>
        <w:t>Les gestionnaires :</w:t>
      </w:r>
      <w:r>
        <w:t xml:space="preserve"> soit rattachés de près ou de loin à un cabinet de courtage, soit indépendants, ces entreprises sont dédiées à la gestion administrative des contrats de Prévoyance, Santé, contrats Emprunteurs, …</w:t>
      </w:r>
    </w:p>
    <w:p w14:paraId="5D32F36F" w14:textId="492B2B7F" w:rsidR="000273B5" w:rsidRDefault="003C752A" w:rsidP="00154541">
      <w:pPr>
        <w:pStyle w:val="Paragraphedeliste"/>
        <w:numPr>
          <w:ilvl w:val="0"/>
          <w:numId w:val="6"/>
        </w:numPr>
        <w:ind w:left="927"/>
      </w:pPr>
      <w:r w:rsidRPr="005F1B32">
        <w:rPr>
          <w:b/>
          <w:bCs/>
        </w:rPr>
        <w:t>Les entreprises de conseil :</w:t>
      </w:r>
      <w:r w:rsidR="00F22DB5">
        <w:t xml:space="preserve"> elles portent assistance à l’entreprise </w:t>
      </w:r>
      <w:r w:rsidR="00FB0A25">
        <w:t>et possède des domaines de compétences et d’interventions souvent variés (Retraite, Santé, Prévoyance, …)</w:t>
      </w:r>
    </w:p>
    <w:p w14:paraId="3A5E2A8D" w14:textId="2D76D890" w:rsidR="000046F7" w:rsidRDefault="004108B0" w:rsidP="00163B1C">
      <w:pPr>
        <w:pStyle w:val="Titre4"/>
      </w:pPr>
      <w:r>
        <w:t>Les garanties de prévoyance complémentaire</w:t>
      </w:r>
    </w:p>
    <w:p w14:paraId="085D59F0" w14:textId="7BCC6CAC" w:rsidR="004108B0" w:rsidRDefault="004108B0" w:rsidP="00163B1C">
      <w:r>
        <w:t>Dans un premier temps, il faut distinguer les deux secteurs principaux du périmètre de la protection sociale complémentaire en France, ces deux secteurs sont : L’épargne retraite et la Prévoyance.</w:t>
      </w:r>
    </w:p>
    <w:p w14:paraId="5F2BF73B" w14:textId="0767EBE3" w:rsidR="004108B0" w:rsidRDefault="004108B0" w:rsidP="00163B1C">
      <w:r>
        <w:t>Les garanties collectives d’un tel contrat ont objectif de prévoir pour les salariés, les anciens salariés et leurs ayants droit, la couverture du risque décès, des risques portant atteinte à l'intégrité physique de la personne ou liés à la maternité, des risques d'incapacité de travail ou d'invalidité, des risques d'inaptitude et du risque chômage, ainsi que la constitution d'avantages sous forme de pensions de retraite, d'indemnités ou de primes de départ en retraite ou de fin de carrière.</w:t>
      </w:r>
    </w:p>
    <w:p w14:paraId="2D3B3B21" w14:textId="66B9D3A9" w:rsidR="003F0B1C" w:rsidRDefault="003F0B1C" w:rsidP="00154541">
      <w:pPr>
        <w:pStyle w:val="Paragraphedeliste"/>
        <w:numPr>
          <w:ilvl w:val="0"/>
          <w:numId w:val="17"/>
        </w:numPr>
        <w:ind w:left="1210"/>
      </w:pPr>
      <w:r>
        <w:t>Les Frais de Santé</w:t>
      </w:r>
    </w:p>
    <w:p w14:paraId="01F9DF07" w14:textId="01A0A58A" w:rsidR="002E13A3" w:rsidRDefault="002E13A3" w:rsidP="002E13A3">
      <w:r>
        <w:lastRenderedPageBreak/>
        <w:t>La garantie complémentaire frais de santé intervient en complément de la Sécurité Sociale, voire même dans certains cas lorsque la Sécurité Sociale n’intervient pas.</w:t>
      </w:r>
    </w:p>
    <w:p w14:paraId="155C7EDD" w14:textId="77777777" w:rsidR="004057A7" w:rsidRDefault="00723223" w:rsidP="004057A7">
      <w:pPr>
        <w:keepNext/>
        <w:jc w:val="center"/>
      </w:pPr>
      <w:r>
        <w:rPr>
          <w:noProof/>
        </w:rPr>
        <w:drawing>
          <wp:inline distT="0" distB="0" distL="0" distR="0" wp14:anchorId="2511DEE9" wp14:editId="0048032D">
            <wp:extent cx="4184208" cy="2679700"/>
            <wp:effectExtent l="152400" t="152400" r="368935" b="3683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2344" cy="26849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5A387DB" w14:textId="71AD9252" w:rsidR="000C235A" w:rsidRPr="00070EF6" w:rsidRDefault="004057A7" w:rsidP="004057A7">
      <w:pPr>
        <w:pStyle w:val="Lgende"/>
        <w:jc w:val="center"/>
        <w:rPr>
          <w:noProof/>
        </w:rPr>
      </w:pPr>
      <w:r>
        <w:t xml:space="preserve">Figure </w:t>
      </w:r>
      <w:fldSimple w:instr=" SEQ Figure \* ARABIC ">
        <w:r w:rsidR="00E26834">
          <w:rPr>
            <w:noProof/>
          </w:rPr>
          <w:t>1</w:t>
        </w:r>
      </w:fldSimple>
      <w:r>
        <w:t xml:space="preserve"> : Intervention de la Sécurité Sociale</w:t>
      </w:r>
      <w:r>
        <w:rPr>
          <w:noProof/>
        </w:rPr>
        <w:t xml:space="preserve"> sur les frais de santé</w:t>
      </w:r>
    </w:p>
    <w:p w14:paraId="2C7A95CE" w14:textId="6A2109AC" w:rsidR="00D46B28" w:rsidRDefault="00D46B28" w:rsidP="00154541">
      <w:pPr>
        <w:pStyle w:val="Paragraphedeliste"/>
        <w:numPr>
          <w:ilvl w:val="0"/>
          <w:numId w:val="17"/>
        </w:numPr>
        <w:spacing w:after="0"/>
        <w:ind w:left="1210"/>
      </w:pPr>
      <w:r>
        <w:t>La Prévoyance Lourde</w:t>
      </w:r>
    </w:p>
    <w:p w14:paraId="107CFD9A" w14:textId="77777777" w:rsidR="00D46B28" w:rsidRDefault="00D46B28" w:rsidP="00D46B28">
      <w:pPr>
        <w:spacing w:after="0"/>
        <w:ind w:left="850"/>
      </w:pPr>
    </w:p>
    <w:p w14:paraId="7F93EF26" w14:textId="005BC44A" w:rsidR="00D46B28" w:rsidRDefault="00D46B28" w:rsidP="00154541">
      <w:pPr>
        <w:pStyle w:val="Paragraphedeliste"/>
        <w:numPr>
          <w:ilvl w:val="0"/>
          <w:numId w:val="18"/>
        </w:numPr>
        <w:spacing w:after="120"/>
        <w:ind w:left="643"/>
      </w:pPr>
      <w:r>
        <w:t>Capitaux Décès :</w:t>
      </w:r>
    </w:p>
    <w:p w14:paraId="5B860181" w14:textId="51B45A46" w:rsidR="00D46B28" w:rsidRDefault="00D46B28" w:rsidP="00163B1C">
      <w:pPr>
        <w:spacing w:after="0"/>
        <w:ind w:left="283"/>
      </w:pPr>
      <w:r>
        <w:t>Le capital décès est versé par la complémentaire en cas de décès de l’assuré mais peut aussi être versée par anticipation en cas d’IAD (Invalidité Absolue et Définitive). Son montant dépend de la rémunération annuelle brute de l’assuré.</w:t>
      </w:r>
    </w:p>
    <w:p w14:paraId="0EF8182F" w14:textId="5A8BAA73" w:rsidR="00D46B28" w:rsidRDefault="00D46B28" w:rsidP="00163B1C">
      <w:pPr>
        <w:spacing w:after="120"/>
        <w:ind w:left="283"/>
      </w:pPr>
      <w:r>
        <w:t xml:space="preserve">Ce capital est parfois accompagné de garanties annexes </w:t>
      </w:r>
      <w:r w:rsidR="00CC560A">
        <w:t>comme une garantie frais d’obsèques, majoration en cas décès accidentel, garantie « double effet » (en cas de décès du conjoint survivant, versement d’un capital aux enfants à charge), capital « </w:t>
      </w:r>
      <w:proofErr w:type="spellStart"/>
      <w:r w:rsidR="00CC560A">
        <w:t>pré-décès</w:t>
      </w:r>
      <w:proofErr w:type="spellEnd"/>
      <w:r w:rsidR="00CC560A">
        <w:t> », …</w:t>
      </w:r>
    </w:p>
    <w:p w14:paraId="70816D89" w14:textId="2472F06E" w:rsidR="00CC560A" w:rsidRDefault="00CC560A" w:rsidP="00154541">
      <w:pPr>
        <w:pStyle w:val="Paragraphedeliste"/>
        <w:numPr>
          <w:ilvl w:val="0"/>
          <w:numId w:val="18"/>
        </w:numPr>
        <w:spacing w:after="120"/>
        <w:ind w:left="643"/>
      </w:pPr>
      <w:r>
        <w:t>Rente de Conjoint :</w:t>
      </w:r>
    </w:p>
    <w:p w14:paraId="0A467463" w14:textId="77777777" w:rsidR="00CF7F66" w:rsidRDefault="00CC560A" w:rsidP="00163B1C">
      <w:pPr>
        <w:spacing w:after="0"/>
        <w:ind w:left="283"/>
      </w:pPr>
      <w:r>
        <w:t>La rente de Conjoint est destinée à compenser la disparition d’un revenu immédiat et/ou différé au sein de la famille</w:t>
      </w:r>
      <w:r w:rsidR="00AC1FD6">
        <w:t>, elle peut être de nature viagère ou temporaire dans l’attente de la pension de réversion des régimes de retraite obligatoire.</w:t>
      </w:r>
    </w:p>
    <w:p w14:paraId="687E7636" w14:textId="4569E36C" w:rsidR="00CC560A" w:rsidRDefault="00AC1FD6" w:rsidP="00163B1C">
      <w:pPr>
        <w:spacing w:after="120"/>
        <w:ind w:left="283"/>
      </w:pPr>
      <w:r>
        <w:t xml:space="preserve"> Elle est généralement calculée soit en fonction des droits de réversion acquis auprès des régimes de retraite complémentaire AGIRC-ARRCO, soit en fonction du dernier salaire de l’assuré décédé.</w:t>
      </w:r>
    </w:p>
    <w:p w14:paraId="2EC22C0F" w14:textId="0FF97DC3" w:rsidR="00D46B28" w:rsidRDefault="00CF7F66" w:rsidP="00154541">
      <w:pPr>
        <w:pStyle w:val="Paragraphedeliste"/>
        <w:numPr>
          <w:ilvl w:val="0"/>
          <w:numId w:val="18"/>
        </w:numPr>
        <w:spacing w:after="120"/>
        <w:ind w:left="643"/>
      </w:pPr>
      <w:r>
        <w:t>Rente éducation :</w:t>
      </w:r>
    </w:p>
    <w:p w14:paraId="5026E4A5" w14:textId="77777777" w:rsidR="00CF7F66" w:rsidRDefault="00CF7F66" w:rsidP="00163B1C">
      <w:pPr>
        <w:spacing w:after="0"/>
        <w:ind w:left="283"/>
      </w:pPr>
      <w:r>
        <w:t xml:space="preserve">La rente d’éducation est destinée à assurer le versement d’une rente aux enfants à charge de l’assuré décédé, au-delà d’un certain âge, elle peut être conditionnée à la poursuite des études par le bénéficiaire. </w:t>
      </w:r>
    </w:p>
    <w:p w14:paraId="2E019BDA" w14:textId="1ECFA538" w:rsidR="00CF7F66" w:rsidRDefault="00CF7F66" w:rsidP="00163B1C">
      <w:pPr>
        <w:spacing w:after="120"/>
        <w:ind w:left="283"/>
      </w:pPr>
      <w:r>
        <w:t>Le montant de la rente est généralement calculé au prorata du dernier salaire de l’assuré et est généralement exprimée par palier d’âge croissant du bénéficiaire.</w:t>
      </w:r>
    </w:p>
    <w:p w14:paraId="1F0208D2" w14:textId="592E523A" w:rsidR="00CF7F66" w:rsidRDefault="00F3594C" w:rsidP="00154541">
      <w:pPr>
        <w:pStyle w:val="Paragraphedeliste"/>
        <w:numPr>
          <w:ilvl w:val="0"/>
          <w:numId w:val="18"/>
        </w:numPr>
        <w:spacing w:after="120"/>
        <w:ind w:left="643"/>
      </w:pPr>
      <w:r>
        <w:t>Incapacité de travail :</w:t>
      </w:r>
    </w:p>
    <w:p w14:paraId="61155BBA" w14:textId="2CC0F34B" w:rsidR="00F3594C" w:rsidRDefault="00F3594C" w:rsidP="00163B1C">
      <w:pPr>
        <w:spacing w:after="0"/>
        <w:ind w:left="283"/>
      </w:pPr>
      <w:r>
        <w:lastRenderedPageBreak/>
        <w:t>La garantie incapacité de travail permet au salarié en arrêt de travail de percevoir des indemnités journalières afin de compenser sa perte de salaire, ces indemnités viennent en complément de la Sécurité Sociale ainsi que du complément de revenu versé par l’employeur.</w:t>
      </w:r>
    </w:p>
    <w:p w14:paraId="014255B3" w14:textId="4AF3C8DB" w:rsidR="00F3594C" w:rsidRDefault="00F3594C" w:rsidP="00163B1C">
      <w:pPr>
        <w:spacing w:after="0"/>
        <w:ind w:left="283"/>
      </w:pPr>
      <w:r>
        <w:t>Les principaux paramètres définissant une garantie incapacité sont :</w:t>
      </w:r>
    </w:p>
    <w:p w14:paraId="056D54C0" w14:textId="53B9E9E4" w:rsidR="00F3594C" w:rsidRDefault="00B948DB" w:rsidP="00154541">
      <w:pPr>
        <w:pStyle w:val="Paragraphedeliste"/>
        <w:numPr>
          <w:ilvl w:val="0"/>
          <w:numId w:val="17"/>
        </w:numPr>
        <w:spacing w:after="0"/>
        <w:ind w:left="1210"/>
      </w:pPr>
      <w:r>
        <w:t>La</w:t>
      </w:r>
      <w:r w:rsidR="00F3594C">
        <w:t xml:space="preserve"> franchise : type et durée (ferme ou continue, rétroactive, discontinue)</w:t>
      </w:r>
    </w:p>
    <w:p w14:paraId="114B958D" w14:textId="0E2CF05F" w:rsidR="00F3594C" w:rsidRDefault="00B948DB" w:rsidP="00154541">
      <w:pPr>
        <w:pStyle w:val="Paragraphedeliste"/>
        <w:numPr>
          <w:ilvl w:val="0"/>
          <w:numId w:val="17"/>
        </w:numPr>
        <w:spacing w:after="0"/>
        <w:ind w:left="1210"/>
      </w:pPr>
      <w:r>
        <w:t>Le</w:t>
      </w:r>
      <w:r w:rsidR="00F3594C">
        <w:t xml:space="preserve"> montant : en pourcentage du salaire de l’assuré</w:t>
      </w:r>
    </w:p>
    <w:p w14:paraId="23CF5C39" w14:textId="46813529" w:rsidR="00F3594C" w:rsidRDefault="00B948DB" w:rsidP="00154541">
      <w:pPr>
        <w:pStyle w:val="Paragraphedeliste"/>
        <w:numPr>
          <w:ilvl w:val="0"/>
          <w:numId w:val="17"/>
        </w:numPr>
        <w:spacing w:after="120"/>
        <w:ind w:left="1210"/>
      </w:pPr>
      <w:r>
        <w:t>L’assiette</w:t>
      </w:r>
      <w:r w:rsidR="00F3594C">
        <w:t xml:space="preserve"> de calcul</w:t>
      </w:r>
    </w:p>
    <w:p w14:paraId="44E4EBA5" w14:textId="27DADEB4" w:rsidR="00F3594C" w:rsidRDefault="00163B1C" w:rsidP="00163B1C">
      <w:pPr>
        <w:spacing w:after="0"/>
        <w:ind w:left="283"/>
      </w:pPr>
      <w:r>
        <w:t>L’employeur est tenu de verser un complément d’indemnisation appelé « Maintien de salaire » sous certaines conditions à un salarié en arrêt de travail. Cette obligation a été mise en place par la loi de mensualisation de 1978 puis améliorée par l’ANI du 11 janvier 2008. Les conditions pour bénéficier du maintien de salaire pour un assuré sont :</w:t>
      </w:r>
    </w:p>
    <w:p w14:paraId="129E6706" w14:textId="07B53BEF" w:rsidR="00163B1C" w:rsidRDefault="00163B1C" w:rsidP="00154541">
      <w:pPr>
        <w:pStyle w:val="Paragraphedeliste"/>
        <w:numPr>
          <w:ilvl w:val="0"/>
          <w:numId w:val="19"/>
        </w:numPr>
        <w:spacing w:after="0"/>
        <w:ind w:left="1210"/>
      </w:pPr>
      <w:r>
        <w:t>Condition d’ancienneté : le salarié doit avoir au moins 1 an d’ancienneté</w:t>
      </w:r>
    </w:p>
    <w:p w14:paraId="4EC8E2D1" w14:textId="653EBC62" w:rsidR="00163B1C" w:rsidRDefault="00163B1C" w:rsidP="00154541">
      <w:pPr>
        <w:pStyle w:val="Paragraphedeliste"/>
        <w:numPr>
          <w:ilvl w:val="0"/>
          <w:numId w:val="19"/>
        </w:numPr>
        <w:spacing w:after="0"/>
        <w:ind w:left="1210"/>
      </w:pPr>
      <w:r>
        <w:t>Franchise : 7 jours sauf en cas d’arrêt consécutif à un arrêt de travail ou une maladie professionnelle</w:t>
      </w:r>
    </w:p>
    <w:p w14:paraId="73DBD9CB" w14:textId="575BA1E2" w:rsidR="00163B1C" w:rsidRDefault="00163B1C" w:rsidP="00154541">
      <w:pPr>
        <w:pStyle w:val="Paragraphedeliste"/>
        <w:numPr>
          <w:ilvl w:val="0"/>
          <w:numId w:val="19"/>
        </w:numPr>
        <w:spacing w:after="0"/>
        <w:ind w:left="1210"/>
      </w:pPr>
      <w:r>
        <w:t xml:space="preserve">L’Employeur doit </w:t>
      </w:r>
      <w:r w:rsidR="00B948DB">
        <w:t>compléter</w:t>
      </w:r>
      <w:r>
        <w:t xml:space="preserve"> les indemnités versées par la Sécurité Sociale à hauteur de 90 %, puis de 66,66 % de la rémunération brute que le salarié aurait gagnée s’il avait continué à travailler, et ce pour </w:t>
      </w:r>
      <w:r w:rsidR="00B948DB">
        <w:t>les durées définies</w:t>
      </w:r>
      <w:r>
        <w:t xml:space="preserve"> ci-dessous :</w:t>
      </w:r>
    </w:p>
    <w:p w14:paraId="1797B407" w14:textId="31E22CA3" w:rsidR="00163B1C" w:rsidRDefault="00163B1C" w:rsidP="00163B1C">
      <w:pPr>
        <w:spacing w:after="0"/>
      </w:pPr>
    </w:p>
    <w:tbl>
      <w:tblPr>
        <w:tblStyle w:val="Grilledutableau"/>
        <w:tblpPr w:leftFromText="141" w:rightFromText="141" w:vertAnchor="text" w:horzAnchor="margin" w:tblpXSpec="right" w:tblpY="-21"/>
        <w:tblW w:w="0" w:type="auto"/>
        <w:tblLook w:val="04A0" w:firstRow="1" w:lastRow="0" w:firstColumn="1" w:lastColumn="0" w:noHBand="0" w:noVBand="1"/>
      </w:tblPr>
      <w:tblGrid>
        <w:gridCol w:w="2782"/>
        <w:gridCol w:w="2693"/>
        <w:gridCol w:w="2693"/>
      </w:tblGrid>
      <w:tr w:rsidR="00163B1C" w14:paraId="1F25B55C" w14:textId="77777777" w:rsidTr="00D2593E">
        <w:trPr>
          <w:trHeight w:val="557"/>
        </w:trPr>
        <w:tc>
          <w:tcPr>
            <w:tcW w:w="2782" w:type="dxa"/>
            <w:shd w:val="clear" w:color="auto" w:fill="1F3864" w:themeFill="accent1" w:themeFillShade="80"/>
            <w:vAlign w:val="center"/>
          </w:tcPr>
          <w:p w14:paraId="771D9C40" w14:textId="77777777" w:rsidR="00163B1C" w:rsidRDefault="00163B1C" w:rsidP="00D2593E">
            <w:pPr>
              <w:pStyle w:val="Paragraphedeliste"/>
              <w:ind w:left="0"/>
              <w:jc w:val="center"/>
            </w:pPr>
            <w:r>
              <w:t>Ancienneté</w:t>
            </w:r>
          </w:p>
        </w:tc>
        <w:tc>
          <w:tcPr>
            <w:tcW w:w="2693" w:type="dxa"/>
            <w:shd w:val="clear" w:color="auto" w:fill="1F3864" w:themeFill="accent1" w:themeFillShade="80"/>
            <w:vAlign w:val="center"/>
          </w:tcPr>
          <w:p w14:paraId="46004733" w14:textId="77777777" w:rsidR="00163B1C" w:rsidRDefault="00163B1C" w:rsidP="00D2593E">
            <w:pPr>
              <w:pStyle w:val="Paragraphedeliste"/>
              <w:ind w:left="0"/>
              <w:jc w:val="center"/>
            </w:pPr>
            <w:r>
              <w:t>90% du salaire brut</w:t>
            </w:r>
          </w:p>
        </w:tc>
        <w:tc>
          <w:tcPr>
            <w:tcW w:w="2693" w:type="dxa"/>
            <w:shd w:val="clear" w:color="auto" w:fill="1F3864" w:themeFill="accent1" w:themeFillShade="80"/>
            <w:vAlign w:val="center"/>
          </w:tcPr>
          <w:p w14:paraId="13B8446D" w14:textId="77777777" w:rsidR="00163B1C" w:rsidRDefault="00163B1C" w:rsidP="00D2593E">
            <w:pPr>
              <w:pStyle w:val="Paragraphedeliste"/>
              <w:ind w:left="0"/>
              <w:jc w:val="center"/>
            </w:pPr>
            <w:r>
              <w:t>66,6% du salaire brut</w:t>
            </w:r>
          </w:p>
        </w:tc>
      </w:tr>
      <w:tr w:rsidR="00163B1C" w14:paraId="065FA935" w14:textId="77777777" w:rsidTr="00D2593E">
        <w:trPr>
          <w:trHeight w:val="341"/>
        </w:trPr>
        <w:tc>
          <w:tcPr>
            <w:tcW w:w="2782" w:type="dxa"/>
            <w:tcBorders>
              <w:bottom w:val="nil"/>
            </w:tcBorders>
          </w:tcPr>
          <w:p w14:paraId="04AB40E6" w14:textId="7099E359" w:rsidR="00163B1C" w:rsidRDefault="00D2593E" w:rsidP="00163B1C">
            <w:pPr>
              <w:pStyle w:val="Paragraphedeliste"/>
              <w:ind w:left="0"/>
              <w:jc w:val="center"/>
            </w:pPr>
            <w:r>
              <w:t>1 – 6 années</w:t>
            </w:r>
          </w:p>
        </w:tc>
        <w:tc>
          <w:tcPr>
            <w:tcW w:w="2693" w:type="dxa"/>
            <w:tcBorders>
              <w:bottom w:val="nil"/>
            </w:tcBorders>
          </w:tcPr>
          <w:p w14:paraId="38E56D0E" w14:textId="370A55DD" w:rsidR="00163B1C" w:rsidRDefault="00D2593E" w:rsidP="00163B1C">
            <w:pPr>
              <w:pStyle w:val="Paragraphedeliste"/>
              <w:ind w:left="0"/>
              <w:jc w:val="center"/>
            </w:pPr>
            <w:r>
              <w:t>30 jours</w:t>
            </w:r>
          </w:p>
        </w:tc>
        <w:tc>
          <w:tcPr>
            <w:tcW w:w="2693" w:type="dxa"/>
            <w:tcBorders>
              <w:bottom w:val="nil"/>
            </w:tcBorders>
          </w:tcPr>
          <w:p w14:paraId="54958016" w14:textId="6BC30DA6" w:rsidR="00163B1C" w:rsidRDefault="00D2593E" w:rsidP="00163B1C">
            <w:pPr>
              <w:pStyle w:val="Paragraphedeliste"/>
              <w:ind w:left="0"/>
              <w:jc w:val="center"/>
            </w:pPr>
            <w:r>
              <w:t>30 jours</w:t>
            </w:r>
          </w:p>
        </w:tc>
      </w:tr>
      <w:tr w:rsidR="00D2593E" w14:paraId="17894033" w14:textId="77777777" w:rsidTr="00D2593E">
        <w:trPr>
          <w:trHeight w:val="341"/>
        </w:trPr>
        <w:tc>
          <w:tcPr>
            <w:tcW w:w="2782" w:type="dxa"/>
            <w:tcBorders>
              <w:top w:val="nil"/>
              <w:left w:val="single" w:sz="4" w:space="0" w:color="auto"/>
              <w:bottom w:val="nil"/>
              <w:right w:val="single" w:sz="4" w:space="0" w:color="auto"/>
            </w:tcBorders>
          </w:tcPr>
          <w:p w14:paraId="1EEB083C" w14:textId="35047B5A" w:rsidR="00D2593E" w:rsidRDefault="00D2593E" w:rsidP="00D2593E">
            <w:pPr>
              <w:pStyle w:val="Paragraphedeliste"/>
              <w:ind w:left="0"/>
              <w:jc w:val="center"/>
            </w:pPr>
            <w:r>
              <w:t>6 – 11 années</w:t>
            </w:r>
          </w:p>
        </w:tc>
        <w:tc>
          <w:tcPr>
            <w:tcW w:w="2693" w:type="dxa"/>
            <w:tcBorders>
              <w:top w:val="nil"/>
              <w:left w:val="single" w:sz="4" w:space="0" w:color="auto"/>
              <w:bottom w:val="nil"/>
              <w:right w:val="single" w:sz="4" w:space="0" w:color="auto"/>
            </w:tcBorders>
          </w:tcPr>
          <w:p w14:paraId="39A79F31" w14:textId="79517914" w:rsidR="00D2593E" w:rsidRDefault="00D2593E" w:rsidP="00D2593E">
            <w:pPr>
              <w:pStyle w:val="Paragraphedeliste"/>
              <w:ind w:left="0"/>
              <w:jc w:val="center"/>
            </w:pPr>
            <w:r>
              <w:t>40 jours</w:t>
            </w:r>
          </w:p>
        </w:tc>
        <w:tc>
          <w:tcPr>
            <w:tcW w:w="2693" w:type="dxa"/>
            <w:tcBorders>
              <w:top w:val="nil"/>
              <w:left w:val="single" w:sz="4" w:space="0" w:color="auto"/>
              <w:bottom w:val="nil"/>
              <w:right w:val="single" w:sz="4" w:space="0" w:color="auto"/>
            </w:tcBorders>
          </w:tcPr>
          <w:p w14:paraId="6E92F9E2" w14:textId="7DA83640" w:rsidR="00D2593E" w:rsidRDefault="00D2593E" w:rsidP="00D2593E">
            <w:pPr>
              <w:pStyle w:val="Paragraphedeliste"/>
              <w:ind w:left="0"/>
              <w:jc w:val="center"/>
            </w:pPr>
            <w:r>
              <w:t>40 jours</w:t>
            </w:r>
          </w:p>
        </w:tc>
      </w:tr>
      <w:tr w:rsidR="00D2593E" w14:paraId="5E7F2C48" w14:textId="77777777" w:rsidTr="00D2593E">
        <w:trPr>
          <w:trHeight w:val="341"/>
        </w:trPr>
        <w:tc>
          <w:tcPr>
            <w:tcW w:w="2782" w:type="dxa"/>
            <w:tcBorders>
              <w:top w:val="nil"/>
              <w:left w:val="single" w:sz="4" w:space="0" w:color="auto"/>
              <w:bottom w:val="nil"/>
              <w:right w:val="single" w:sz="4" w:space="0" w:color="auto"/>
            </w:tcBorders>
          </w:tcPr>
          <w:p w14:paraId="0770A9FD" w14:textId="0052F596" w:rsidR="00D2593E" w:rsidRDefault="00D2593E" w:rsidP="00D2593E">
            <w:pPr>
              <w:pStyle w:val="Paragraphedeliste"/>
              <w:ind w:left="0"/>
              <w:jc w:val="center"/>
            </w:pPr>
            <w:r>
              <w:t>11 – 16 années</w:t>
            </w:r>
          </w:p>
        </w:tc>
        <w:tc>
          <w:tcPr>
            <w:tcW w:w="2693" w:type="dxa"/>
            <w:tcBorders>
              <w:top w:val="nil"/>
              <w:left w:val="single" w:sz="4" w:space="0" w:color="auto"/>
              <w:bottom w:val="nil"/>
              <w:right w:val="single" w:sz="4" w:space="0" w:color="auto"/>
            </w:tcBorders>
          </w:tcPr>
          <w:p w14:paraId="08361100" w14:textId="71204420" w:rsidR="00D2593E" w:rsidRDefault="00D2593E" w:rsidP="00D2593E">
            <w:pPr>
              <w:pStyle w:val="Paragraphedeliste"/>
              <w:ind w:left="0"/>
              <w:jc w:val="center"/>
            </w:pPr>
            <w:r>
              <w:t>50 jours</w:t>
            </w:r>
          </w:p>
        </w:tc>
        <w:tc>
          <w:tcPr>
            <w:tcW w:w="2693" w:type="dxa"/>
            <w:tcBorders>
              <w:top w:val="nil"/>
              <w:left w:val="single" w:sz="4" w:space="0" w:color="auto"/>
              <w:bottom w:val="nil"/>
              <w:right w:val="single" w:sz="4" w:space="0" w:color="auto"/>
            </w:tcBorders>
          </w:tcPr>
          <w:p w14:paraId="1D36E86C" w14:textId="760F512B" w:rsidR="00D2593E" w:rsidRDefault="00D2593E" w:rsidP="00D2593E">
            <w:pPr>
              <w:pStyle w:val="Paragraphedeliste"/>
              <w:ind w:left="0"/>
              <w:jc w:val="center"/>
            </w:pPr>
            <w:r>
              <w:t>50 jours</w:t>
            </w:r>
          </w:p>
        </w:tc>
      </w:tr>
      <w:tr w:rsidR="00D2593E" w14:paraId="3D471208" w14:textId="77777777" w:rsidTr="00D2593E">
        <w:trPr>
          <w:trHeight w:val="341"/>
        </w:trPr>
        <w:tc>
          <w:tcPr>
            <w:tcW w:w="2782" w:type="dxa"/>
            <w:tcBorders>
              <w:top w:val="nil"/>
              <w:left w:val="single" w:sz="4" w:space="0" w:color="auto"/>
              <w:bottom w:val="nil"/>
              <w:right w:val="single" w:sz="4" w:space="0" w:color="auto"/>
            </w:tcBorders>
          </w:tcPr>
          <w:p w14:paraId="4FD2B713" w14:textId="7B065FBB" w:rsidR="00D2593E" w:rsidRDefault="00D2593E" w:rsidP="00D2593E">
            <w:pPr>
              <w:pStyle w:val="Paragraphedeliste"/>
              <w:ind w:left="0"/>
              <w:jc w:val="center"/>
            </w:pPr>
            <w:r>
              <w:t>16 – 21 années</w:t>
            </w:r>
          </w:p>
        </w:tc>
        <w:tc>
          <w:tcPr>
            <w:tcW w:w="2693" w:type="dxa"/>
            <w:tcBorders>
              <w:top w:val="nil"/>
              <w:left w:val="single" w:sz="4" w:space="0" w:color="auto"/>
              <w:bottom w:val="nil"/>
              <w:right w:val="single" w:sz="4" w:space="0" w:color="auto"/>
            </w:tcBorders>
          </w:tcPr>
          <w:p w14:paraId="61C62379" w14:textId="659BE7D5" w:rsidR="00D2593E" w:rsidRDefault="00D2593E" w:rsidP="00D2593E">
            <w:pPr>
              <w:pStyle w:val="Paragraphedeliste"/>
              <w:ind w:left="0"/>
              <w:jc w:val="center"/>
            </w:pPr>
            <w:r>
              <w:t>60 jours</w:t>
            </w:r>
          </w:p>
        </w:tc>
        <w:tc>
          <w:tcPr>
            <w:tcW w:w="2693" w:type="dxa"/>
            <w:tcBorders>
              <w:top w:val="nil"/>
              <w:left w:val="single" w:sz="4" w:space="0" w:color="auto"/>
              <w:bottom w:val="nil"/>
              <w:right w:val="single" w:sz="4" w:space="0" w:color="auto"/>
            </w:tcBorders>
          </w:tcPr>
          <w:p w14:paraId="094BD56B" w14:textId="44BC0C0E" w:rsidR="00D2593E" w:rsidRDefault="00D2593E" w:rsidP="00D2593E">
            <w:pPr>
              <w:pStyle w:val="Paragraphedeliste"/>
              <w:ind w:left="0"/>
              <w:jc w:val="center"/>
            </w:pPr>
            <w:r>
              <w:t>60 jours</w:t>
            </w:r>
          </w:p>
        </w:tc>
      </w:tr>
      <w:tr w:rsidR="00D2593E" w14:paraId="0AF30AA5" w14:textId="77777777" w:rsidTr="00D2593E">
        <w:trPr>
          <w:trHeight w:val="341"/>
        </w:trPr>
        <w:tc>
          <w:tcPr>
            <w:tcW w:w="2782" w:type="dxa"/>
            <w:tcBorders>
              <w:top w:val="nil"/>
              <w:left w:val="single" w:sz="4" w:space="0" w:color="auto"/>
              <w:bottom w:val="nil"/>
              <w:right w:val="single" w:sz="4" w:space="0" w:color="auto"/>
            </w:tcBorders>
          </w:tcPr>
          <w:p w14:paraId="6A8BA488" w14:textId="44A2C659" w:rsidR="00D2593E" w:rsidRDefault="00D2593E" w:rsidP="00D2593E">
            <w:pPr>
              <w:pStyle w:val="Paragraphedeliste"/>
              <w:ind w:left="0"/>
              <w:jc w:val="center"/>
            </w:pPr>
            <w:r>
              <w:t>21 – 26 années</w:t>
            </w:r>
          </w:p>
        </w:tc>
        <w:tc>
          <w:tcPr>
            <w:tcW w:w="2693" w:type="dxa"/>
            <w:tcBorders>
              <w:top w:val="nil"/>
              <w:left w:val="single" w:sz="4" w:space="0" w:color="auto"/>
              <w:bottom w:val="nil"/>
              <w:right w:val="single" w:sz="4" w:space="0" w:color="auto"/>
            </w:tcBorders>
          </w:tcPr>
          <w:p w14:paraId="0A33D744" w14:textId="5B44D219" w:rsidR="00D2593E" w:rsidRDefault="00D2593E" w:rsidP="00D2593E">
            <w:pPr>
              <w:pStyle w:val="Paragraphedeliste"/>
              <w:ind w:left="0"/>
              <w:jc w:val="center"/>
            </w:pPr>
            <w:r>
              <w:t>70 jours</w:t>
            </w:r>
          </w:p>
        </w:tc>
        <w:tc>
          <w:tcPr>
            <w:tcW w:w="2693" w:type="dxa"/>
            <w:tcBorders>
              <w:top w:val="nil"/>
              <w:left w:val="single" w:sz="4" w:space="0" w:color="auto"/>
              <w:bottom w:val="nil"/>
              <w:right w:val="single" w:sz="4" w:space="0" w:color="auto"/>
            </w:tcBorders>
          </w:tcPr>
          <w:p w14:paraId="01D607BA" w14:textId="0F69ABEC" w:rsidR="00D2593E" w:rsidRDefault="00D2593E" w:rsidP="00D2593E">
            <w:pPr>
              <w:pStyle w:val="Paragraphedeliste"/>
              <w:ind w:left="0"/>
              <w:jc w:val="center"/>
            </w:pPr>
            <w:r>
              <w:t>70 jours</w:t>
            </w:r>
          </w:p>
        </w:tc>
      </w:tr>
      <w:tr w:rsidR="00D2593E" w14:paraId="4555511B" w14:textId="77777777" w:rsidTr="00D2593E">
        <w:trPr>
          <w:trHeight w:val="341"/>
        </w:trPr>
        <w:tc>
          <w:tcPr>
            <w:tcW w:w="2782" w:type="dxa"/>
            <w:tcBorders>
              <w:top w:val="nil"/>
              <w:left w:val="single" w:sz="4" w:space="0" w:color="auto"/>
              <w:bottom w:val="nil"/>
              <w:right w:val="single" w:sz="4" w:space="0" w:color="auto"/>
            </w:tcBorders>
          </w:tcPr>
          <w:p w14:paraId="28EC0588" w14:textId="7C2B11B8" w:rsidR="00D2593E" w:rsidRDefault="00D2593E" w:rsidP="00D2593E">
            <w:pPr>
              <w:pStyle w:val="Paragraphedeliste"/>
              <w:ind w:left="0"/>
              <w:jc w:val="center"/>
            </w:pPr>
            <w:r>
              <w:t>26 – 31 années</w:t>
            </w:r>
          </w:p>
        </w:tc>
        <w:tc>
          <w:tcPr>
            <w:tcW w:w="2693" w:type="dxa"/>
            <w:tcBorders>
              <w:top w:val="nil"/>
              <w:left w:val="single" w:sz="4" w:space="0" w:color="auto"/>
              <w:bottom w:val="nil"/>
              <w:right w:val="single" w:sz="4" w:space="0" w:color="auto"/>
            </w:tcBorders>
          </w:tcPr>
          <w:p w14:paraId="019CF59D" w14:textId="68739090" w:rsidR="00D2593E" w:rsidRDefault="00D2593E" w:rsidP="00D2593E">
            <w:pPr>
              <w:pStyle w:val="Paragraphedeliste"/>
              <w:ind w:left="0"/>
              <w:jc w:val="center"/>
            </w:pPr>
            <w:r>
              <w:t>80 jours</w:t>
            </w:r>
          </w:p>
        </w:tc>
        <w:tc>
          <w:tcPr>
            <w:tcW w:w="2693" w:type="dxa"/>
            <w:tcBorders>
              <w:top w:val="nil"/>
              <w:left w:val="single" w:sz="4" w:space="0" w:color="auto"/>
              <w:bottom w:val="nil"/>
              <w:right w:val="single" w:sz="4" w:space="0" w:color="auto"/>
            </w:tcBorders>
          </w:tcPr>
          <w:p w14:paraId="7D8729A3" w14:textId="5327382E" w:rsidR="00D2593E" w:rsidRDefault="00D2593E" w:rsidP="00D2593E">
            <w:pPr>
              <w:pStyle w:val="Paragraphedeliste"/>
              <w:ind w:left="0"/>
              <w:jc w:val="center"/>
            </w:pPr>
            <w:r>
              <w:t>80 jours</w:t>
            </w:r>
          </w:p>
        </w:tc>
      </w:tr>
      <w:tr w:rsidR="00D2593E" w14:paraId="6395536C" w14:textId="77777777" w:rsidTr="00D2593E">
        <w:trPr>
          <w:trHeight w:val="341"/>
        </w:trPr>
        <w:tc>
          <w:tcPr>
            <w:tcW w:w="2782" w:type="dxa"/>
            <w:tcBorders>
              <w:top w:val="nil"/>
            </w:tcBorders>
          </w:tcPr>
          <w:p w14:paraId="75156261" w14:textId="45AE2816" w:rsidR="00D2593E" w:rsidRDefault="00D2593E" w:rsidP="00D2593E">
            <w:pPr>
              <w:pStyle w:val="Paragraphedeliste"/>
              <w:ind w:left="0"/>
              <w:jc w:val="center"/>
            </w:pPr>
            <w:r>
              <w:t>Plus de 31 années</w:t>
            </w:r>
          </w:p>
        </w:tc>
        <w:tc>
          <w:tcPr>
            <w:tcW w:w="2693" w:type="dxa"/>
            <w:tcBorders>
              <w:top w:val="nil"/>
            </w:tcBorders>
          </w:tcPr>
          <w:p w14:paraId="506C20D1" w14:textId="079AB827" w:rsidR="00D2593E" w:rsidRDefault="00D2593E" w:rsidP="00D2593E">
            <w:pPr>
              <w:pStyle w:val="Paragraphedeliste"/>
              <w:ind w:left="0"/>
              <w:jc w:val="center"/>
            </w:pPr>
            <w:r>
              <w:t>90 jours</w:t>
            </w:r>
          </w:p>
        </w:tc>
        <w:tc>
          <w:tcPr>
            <w:tcW w:w="2693" w:type="dxa"/>
            <w:tcBorders>
              <w:top w:val="nil"/>
            </w:tcBorders>
          </w:tcPr>
          <w:p w14:paraId="5F33DC3F" w14:textId="2E1568C0" w:rsidR="00D2593E" w:rsidRDefault="00D2593E" w:rsidP="00D2593E">
            <w:pPr>
              <w:pStyle w:val="Paragraphedeliste"/>
              <w:ind w:left="0"/>
              <w:jc w:val="center"/>
            </w:pPr>
            <w:r>
              <w:t>90 jours</w:t>
            </w:r>
          </w:p>
        </w:tc>
      </w:tr>
    </w:tbl>
    <w:p w14:paraId="4CD7369E" w14:textId="77571739" w:rsidR="00163B1C" w:rsidRDefault="00163B1C" w:rsidP="00163B1C">
      <w:pPr>
        <w:spacing w:after="0"/>
      </w:pPr>
    </w:p>
    <w:p w14:paraId="6322DF04" w14:textId="77777777" w:rsidR="00163B1C" w:rsidRDefault="00163B1C" w:rsidP="00163B1C">
      <w:pPr>
        <w:spacing w:after="0"/>
      </w:pPr>
    </w:p>
    <w:p w14:paraId="64B38E5E" w14:textId="77777777" w:rsidR="00163B1C" w:rsidRDefault="00163B1C" w:rsidP="00163B1C">
      <w:pPr>
        <w:pStyle w:val="Paragraphedeliste"/>
        <w:spacing w:after="0"/>
        <w:ind w:left="1210"/>
      </w:pPr>
    </w:p>
    <w:p w14:paraId="56CC4D34" w14:textId="0808D096" w:rsidR="00D2593E" w:rsidRDefault="00D2593E" w:rsidP="00154541">
      <w:pPr>
        <w:pStyle w:val="Paragraphedeliste"/>
        <w:numPr>
          <w:ilvl w:val="0"/>
          <w:numId w:val="18"/>
        </w:numPr>
        <w:spacing w:after="120"/>
        <w:ind w:left="643"/>
      </w:pPr>
      <w:r>
        <w:t>Invalidité :</w:t>
      </w:r>
    </w:p>
    <w:p w14:paraId="7CCBAD36" w14:textId="1A235BA4" w:rsidR="00F3594C" w:rsidRDefault="007A2019" w:rsidP="00296E07">
      <w:pPr>
        <w:spacing w:after="0"/>
        <w:ind w:left="283"/>
      </w:pPr>
      <w:r>
        <w:t>La rente d'invalidité compense, en totalité ou en partie, la perte de revenu d’un assuré déclaré invalide. Elle vient compléter la pension d’invalidité versée par la Sécurité sociale.</w:t>
      </w:r>
      <w:r w:rsidR="00296E07">
        <w:t xml:space="preserve"> Le montant de cette renta peut-être fixe ou bien correspondre à un pourcentage de son salaire, elle dépend souvent aussi de la catégorie d’invalidité définie par la Sécurité sociale.</w:t>
      </w:r>
    </w:p>
    <w:p w14:paraId="3B1A4313" w14:textId="77777777" w:rsidR="007A2019" w:rsidRDefault="007A2019" w:rsidP="007A2019">
      <w:pPr>
        <w:spacing w:after="0"/>
        <w:ind w:left="283"/>
      </w:pPr>
    </w:p>
    <w:p w14:paraId="0E8A87E7" w14:textId="597F57A0" w:rsidR="00D46B28" w:rsidRDefault="00D46B28" w:rsidP="00D46B28"/>
    <w:p w14:paraId="1F2ABC60" w14:textId="4F684BCE" w:rsidR="00070EF6" w:rsidRDefault="00A103B7" w:rsidP="005423EC">
      <w:pPr>
        <w:pStyle w:val="Titre2"/>
      </w:pPr>
      <w:bookmarkStart w:id="9" w:name="_Toc112883446"/>
      <w:r>
        <w:t>Qu’est-ce que la prévoyance collective ?</w:t>
      </w:r>
      <w:bookmarkEnd w:id="9"/>
    </w:p>
    <w:p w14:paraId="59842157" w14:textId="77777777" w:rsidR="005423EC" w:rsidRDefault="005423EC" w:rsidP="005423EC">
      <w:pPr>
        <w:spacing w:after="100"/>
      </w:pPr>
    </w:p>
    <w:p w14:paraId="128C34FF" w14:textId="6DFB3744" w:rsidR="005423EC" w:rsidRDefault="005423EC" w:rsidP="00850DE0">
      <w:r>
        <w:t>Dans le cadre de cette étude, nous avons la possibilité d’étudier les caractéristiques en matière d’absentéisme d’un portefeuille de prévoyance collective, celui de Generali Vie. La « prévoyance collective » est la couverture d’un groupe de personnes qui ont un lien objectif entre elles, ce groupe étant représenté par une personne qui va signer ce contrat, généralement l’entreprise dans laquelle travail un assuré.</w:t>
      </w:r>
    </w:p>
    <w:p w14:paraId="0BC27F1E" w14:textId="7F6BBAFF" w:rsidR="005423EC" w:rsidRDefault="005423EC" w:rsidP="00850DE0">
      <w:r>
        <w:t>Les différents intervenants dans un contrat de prévoyance collective sont le souscripteur, les affiliés, les assurés et les bénéficiaires.</w:t>
      </w:r>
    </w:p>
    <w:p w14:paraId="62F1B641" w14:textId="58392658" w:rsidR="00AC6C46" w:rsidRDefault="00AC6C46" w:rsidP="00154541">
      <w:pPr>
        <w:pStyle w:val="Paragraphedeliste"/>
        <w:numPr>
          <w:ilvl w:val="0"/>
          <w:numId w:val="20"/>
        </w:numPr>
        <w:spacing w:after="100"/>
        <w:ind w:left="643"/>
      </w:pPr>
      <w:r w:rsidRPr="00820C0F">
        <w:rPr>
          <w:b/>
          <w:bCs/>
        </w:rPr>
        <w:lastRenderedPageBreak/>
        <w:t>Le souscripteur :</w:t>
      </w:r>
      <w:r>
        <w:t xml:space="preserve"> la personne morale qui signe le contrat et paie les cotisations (entreprise, association, établissement de crédit)</w:t>
      </w:r>
    </w:p>
    <w:p w14:paraId="7987CAA1" w14:textId="7BEAA2E5" w:rsidR="00AC6C46" w:rsidRDefault="00AC6C46" w:rsidP="00154541">
      <w:pPr>
        <w:pStyle w:val="Paragraphedeliste"/>
        <w:numPr>
          <w:ilvl w:val="0"/>
          <w:numId w:val="20"/>
        </w:numPr>
        <w:spacing w:after="100"/>
        <w:ind w:left="643"/>
      </w:pPr>
      <w:r w:rsidRPr="00820C0F">
        <w:rPr>
          <w:b/>
          <w:bCs/>
        </w:rPr>
        <w:t>Les affiliés :</w:t>
      </w:r>
      <w:r>
        <w:t xml:space="preserve"> l’ensemble des personnes appartenant au groupe assurable </w:t>
      </w:r>
    </w:p>
    <w:p w14:paraId="5A16CE46" w14:textId="7659F616" w:rsidR="00AC6C46" w:rsidRDefault="00AC6C46" w:rsidP="00154541">
      <w:pPr>
        <w:pStyle w:val="Paragraphedeliste"/>
        <w:numPr>
          <w:ilvl w:val="0"/>
          <w:numId w:val="20"/>
        </w:numPr>
        <w:spacing w:after="100"/>
        <w:ind w:left="643"/>
      </w:pPr>
      <w:r w:rsidRPr="00820C0F">
        <w:rPr>
          <w:b/>
          <w:bCs/>
        </w:rPr>
        <w:t>Les assurés :</w:t>
      </w:r>
      <w:r>
        <w:t xml:space="preserve"> l’ensemble des personnes soumises au risque </w:t>
      </w:r>
    </w:p>
    <w:p w14:paraId="725C5981" w14:textId="2E82F1BE" w:rsidR="00A103B7" w:rsidRDefault="00AC6C46" w:rsidP="00154541">
      <w:pPr>
        <w:pStyle w:val="Paragraphedeliste"/>
        <w:numPr>
          <w:ilvl w:val="0"/>
          <w:numId w:val="20"/>
        </w:numPr>
        <w:spacing w:after="100"/>
        <w:ind w:left="643"/>
      </w:pPr>
      <w:r w:rsidRPr="00820C0F">
        <w:rPr>
          <w:b/>
          <w:bCs/>
        </w:rPr>
        <w:t>Les bénéficiaires :</w:t>
      </w:r>
      <w:r w:rsidR="00D71E35">
        <w:t xml:space="preserve"> l’ensemble des personnes susceptibles de recevoir des prestations (exemple : les enfants dans le cadre d’une rente éducation)</w:t>
      </w:r>
    </w:p>
    <w:p w14:paraId="461E4C36" w14:textId="4CBD0A5B" w:rsidR="00A103B7" w:rsidRPr="00AB44E0" w:rsidRDefault="00A71C6E" w:rsidP="00A103B7">
      <w:pPr>
        <w:pStyle w:val="Titre2"/>
      </w:pPr>
      <w:bookmarkStart w:id="10" w:name="_Toc112883447"/>
      <w:r>
        <w:t>Le</w:t>
      </w:r>
      <w:r w:rsidR="00FE2857">
        <w:t xml:space="preserve"> risque </w:t>
      </w:r>
      <w:r w:rsidR="00A103B7">
        <w:t>arrêt de travail</w:t>
      </w:r>
      <w:r>
        <w:t xml:space="preserve"> en France</w:t>
      </w:r>
      <w:bookmarkEnd w:id="10"/>
    </w:p>
    <w:p w14:paraId="135E8F7B" w14:textId="7080C51C" w:rsidR="00A103B7" w:rsidRDefault="00A103B7" w:rsidP="00A103B7"/>
    <w:p w14:paraId="5CCF138C" w14:textId="77777777" w:rsidR="00F5259B" w:rsidRDefault="00F5259B" w:rsidP="00F5259B">
      <w:pPr>
        <w:pStyle w:val="Titre3"/>
      </w:pPr>
      <w:bookmarkStart w:id="11" w:name="_Toc112883448"/>
      <w:r>
        <w:t>Contexte général</w:t>
      </w:r>
      <w:bookmarkEnd w:id="11"/>
    </w:p>
    <w:p w14:paraId="283C8C78" w14:textId="77777777" w:rsidR="00DC1238" w:rsidRDefault="00DC1238" w:rsidP="00DC1238">
      <w:pPr>
        <w:spacing w:after="100"/>
      </w:pPr>
    </w:p>
    <w:p w14:paraId="1716C121" w14:textId="36D04264" w:rsidR="00D71E35" w:rsidRDefault="00DC1238" w:rsidP="00850DE0">
      <w:r>
        <w:t>Pour l’assureur, la définition des prestations</w:t>
      </w:r>
      <w:r w:rsidR="0020223C">
        <w:t xml:space="preserve"> </w:t>
      </w:r>
      <w:r>
        <w:t>et de son intervention dans la prise en charge, est alignée sur la reconnaissance par la Sécurité Sociale</w:t>
      </w:r>
      <w:r w:rsidR="0020223C">
        <w:t xml:space="preserve"> </w:t>
      </w:r>
      <w:r>
        <w:t>d’un arrêt de travail</w:t>
      </w:r>
      <w:r w:rsidR="0020223C">
        <w:t xml:space="preserve"> vue précédemment</w:t>
      </w:r>
      <w:r>
        <w:t>. Les règles de base qui vont donc conduire à définir ce qu’est un arrêt de travail, avec la distinction entre l’incapacité et l’invalidité, sont donc celles de la Sécurité Sociale. On désigne en pratique par « incapacité » l’incapacité temporaire de travail et par « invalidité » l’incapacité permanente de travail.</w:t>
      </w:r>
    </w:p>
    <w:p w14:paraId="44E20C69" w14:textId="2F02E519" w:rsidR="00A71C6E" w:rsidRDefault="00A71C6E" w:rsidP="00DC1238">
      <w:pPr>
        <w:spacing w:after="0"/>
        <w:rPr>
          <w:sz w:val="23"/>
          <w:szCs w:val="23"/>
        </w:rPr>
      </w:pPr>
    </w:p>
    <w:p w14:paraId="644A4192" w14:textId="15254BE6" w:rsidR="00A71C6E" w:rsidRPr="00A71C6E" w:rsidRDefault="00A71C6E" w:rsidP="00154541">
      <w:pPr>
        <w:pStyle w:val="Titre4"/>
        <w:numPr>
          <w:ilvl w:val="0"/>
          <w:numId w:val="22"/>
        </w:numPr>
        <w:spacing w:after="240"/>
      </w:pPr>
      <w:r>
        <w:t xml:space="preserve">Que </w:t>
      </w:r>
      <w:r w:rsidR="00A37CC4">
        <w:t>désigne-t-on</w:t>
      </w:r>
      <w:r>
        <w:t xml:space="preserve"> par la notion de risque arrêt de travail ?</w:t>
      </w:r>
    </w:p>
    <w:p w14:paraId="64BA778A" w14:textId="03C69878" w:rsidR="00A71C6E" w:rsidRDefault="00DC1238" w:rsidP="00850DE0">
      <w:r>
        <w:t xml:space="preserve">Ce que </w:t>
      </w:r>
      <w:r w:rsidR="00266DD7">
        <w:t>nous désignerons dans cette étude</w:t>
      </w:r>
      <w:r>
        <w:t xml:space="preserve"> par la notion de « risque arrêt de travail » constitue en pratique pour l’</w:t>
      </w:r>
      <w:r w:rsidR="00F271A3">
        <w:t>assureur l</w:t>
      </w:r>
      <w:r w:rsidR="0020223C">
        <w:t xml:space="preserve">’association </w:t>
      </w:r>
      <w:r w:rsidR="00F271A3">
        <w:t xml:space="preserve">du risque incapacité </w:t>
      </w:r>
      <w:r w:rsidR="0020223C">
        <w:t>et</w:t>
      </w:r>
      <w:r w:rsidR="00F271A3">
        <w:t xml:space="preserve"> </w:t>
      </w:r>
      <w:r w:rsidR="0020223C">
        <w:t>du</w:t>
      </w:r>
      <w:r w:rsidR="00F271A3">
        <w:t xml:space="preserve"> risque invalidité</w:t>
      </w:r>
      <w:r w:rsidR="0020223C">
        <w:t>. Cette association est nécessaire car l’incapacité temporaire de travail peut devenir permanente, soit par aggravement du facteur incapacitant, soit après la durée maximum légale de l’incapacité (36 mois)</w:t>
      </w:r>
      <w:r w:rsidR="00A71C6E">
        <w:t>, d’ailleurs cela constitue un réel enjeu pour l’actuaire qui doit prendre en compte la probabilité de passage en invalidité pour le calcul des provisions ITIP via les tables de maintien en incapacité</w:t>
      </w:r>
      <w:r w:rsidR="0020223C">
        <w:t xml:space="preserve">. </w:t>
      </w:r>
      <w:r w:rsidR="00F86B6E">
        <w:t xml:space="preserve"> </w:t>
      </w:r>
    </w:p>
    <w:p w14:paraId="295035AB" w14:textId="74D3DFF3" w:rsidR="00B11043" w:rsidRDefault="00A71C6E" w:rsidP="00D52CBD">
      <w:r>
        <w:t>Malgré qu’en pratique il aurait été plus simple de ne considérer qu’un seul type d’arrêt, ces</w:t>
      </w:r>
      <w:r w:rsidR="00F86B6E">
        <w:t xml:space="preserve"> deux risques sont très différents </w:t>
      </w:r>
      <w:r>
        <w:t xml:space="preserve">notamment via leur statut clairement et leur durée définis par la loi. </w:t>
      </w:r>
    </w:p>
    <w:p w14:paraId="7F435B7E" w14:textId="59740E29" w:rsidR="00266DD7" w:rsidRDefault="00266DD7" w:rsidP="00D52CBD">
      <w:r>
        <w:t xml:space="preserve">Parmi </w:t>
      </w:r>
      <w:r w:rsidR="00335EBE">
        <w:t>les différents types</w:t>
      </w:r>
      <w:r>
        <w:t xml:space="preserve"> d’arrêts</w:t>
      </w:r>
      <w:r w:rsidR="00BA57B2">
        <w:t xml:space="preserve">, on distingue les maladies ordinaires, que l’on classera dans la partie dédiée à l’absentéisme parmi les arrêts difficilement évitable, et le reste des types d’arrêts que nous trouverons dans le graphique ci-dessous issu du baromètre sur les arrêts de travail établie par REHALTO en 2019 et intitulé « Comprendre pour agir » : </w:t>
      </w:r>
    </w:p>
    <w:p w14:paraId="71EAEBC1" w14:textId="77777777" w:rsidR="00B11043" w:rsidRDefault="00B11043" w:rsidP="00B11043">
      <w:pPr>
        <w:keepNext/>
        <w:jc w:val="center"/>
      </w:pPr>
      <w:r>
        <w:rPr>
          <w:noProof/>
        </w:rPr>
        <w:lastRenderedPageBreak/>
        <w:drawing>
          <wp:inline distT="0" distB="0" distL="0" distR="0" wp14:anchorId="04E5A546" wp14:editId="27F4D6F8">
            <wp:extent cx="5011947" cy="2707005"/>
            <wp:effectExtent l="152400" t="152400" r="360680" b="3600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6610"/>
                    <a:stretch/>
                  </pic:blipFill>
                  <pic:spPr bwMode="auto">
                    <a:xfrm>
                      <a:off x="0" y="0"/>
                      <a:ext cx="5039201" cy="27217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5BB9E9E" w14:textId="602C4E33" w:rsidR="00B11043" w:rsidRDefault="00B11043" w:rsidP="00B11043">
      <w:pPr>
        <w:pStyle w:val="Lgende"/>
        <w:jc w:val="center"/>
      </w:pPr>
      <w:r>
        <w:t xml:space="preserve">Figure </w:t>
      </w:r>
      <w:fldSimple w:instr=" SEQ Figure \* ARABIC ">
        <w:r w:rsidR="00E26834">
          <w:rPr>
            <w:noProof/>
          </w:rPr>
          <w:t>2</w:t>
        </w:r>
      </w:fldSimple>
      <w:r>
        <w:t xml:space="preserve"> : Proportion des types d'arrêts connu par des salariés en entreprise</w:t>
      </w:r>
    </w:p>
    <w:p w14:paraId="2C7B41C7" w14:textId="77777777" w:rsidR="00B71D8B" w:rsidRPr="00D52CBD" w:rsidRDefault="00B71D8B" w:rsidP="00D52CBD"/>
    <w:p w14:paraId="6059F352" w14:textId="496E5747" w:rsidR="00A71C6E" w:rsidRDefault="00F86B6E" w:rsidP="00D52CBD">
      <w:pPr>
        <w:pStyle w:val="Titre3"/>
        <w:spacing w:before="360" w:after="360"/>
      </w:pPr>
      <w:bookmarkStart w:id="12" w:name="_Toc112883449"/>
      <w:r>
        <w:t>Environnement juridique</w:t>
      </w:r>
      <w:bookmarkEnd w:id="12"/>
      <w:r>
        <w:t xml:space="preserve"> </w:t>
      </w:r>
    </w:p>
    <w:p w14:paraId="44564511" w14:textId="7B425157" w:rsidR="00A71C6E" w:rsidRDefault="00A71C6E" w:rsidP="00A71C6E">
      <w:r>
        <w:t>L’environnement juridique autour de la notion du risque arrêt de travail est défini par les textes juridiques suivants :</w:t>
      </w:r>
    </w:p>
    <w:p w14:paraId="29B59178" w14:textId="77777777" w:rsidR="00A71C6E" w:rsidRPr="00385FB3" w:rsidRDefault="00A71C6E" w:rsidP="00154541">
      <w:pPr>
        <w:pStyle w:val="Paragraphedeliste"/>
        <w:numPr>
          <w:ilvl w:val="0"/>
          <w:numId w:val="21"/>
        </w:numPr>
        <w:ind w:left="643"/>
        <w:rPr>
          <w:b/>
          <w:bCs/>
        </w:rPr>
      </w:pPr>
      <w:r w:rsidRPr="00385FB3">
        <w:rPr>
          <w:b/>
          <w:bCs/>
        </w:rPr>
        <w:t xml:space="preserve">Loi Evin (31 décembre 1989) : </w:t>
      </w:r>
    </w:p>
    <w:p w14:paraId="56F929F3" w14:textId="1865F81C" w:rsidR="00A71C6E" w:rsidRPr="003F058D" w:rsidRDefault="00A71C6E" w:rsidP="003F058D">
      <w:pPr>
        <w:pStyle w:val="Sansinterligne"/>
      </w:pPr>
      <w:r w:rsidRPr="003F058D">
        <w:t>Son titre exact est : « Loi 89-1009 du 31 décembre 1989 renforçant les garanties aux personnes assurées contre certains risques »</w:t>
      </w:r>
    </w:p>
    <w:p w14:paraId="1AEC02AC" w14:textId="77777777" w:rsidR="00A71C6E" w:rsidRPr="003F058D" w:rsidRDefault="00A71C6E" w:rsidP="003F058D">
      <w:pPr>
        <w:pStyle w:val="Sansinterligne"/>
      </w:pPr>
    </w:p>
    <w:p w14:paraId="39D5FC68" w14:textId="643B063C" w:rsidR="00A71C6E" w:rsidRPr="003F058D" w:rsidRDefault="00A71C6E" w:rsidP="003F058D">
      <w:pPr>
        <w:pStyle w:val="Sansinterligne"/>
      </w:pPr>
      <w:r w:rsidRPr="003F058D">
        <w:t xml:space="preserve">C’est la première loi spécifique de Prévoyance, elle crée le premier ensemble de règles applicables à toutes les familles d’assureurs (les institutions de prévoyances, les mutuelles, les assureurs). Elle impose les trois points suivants : </w:t>
      </w:r>
    </w:p>
    <w:p w14:paraId="6140F613" w14:textId="77777777" w:rsidR="00A71C6E" w:rsidRDefault="00A71C6E" w:rsidP="00154541">
      <w:pPr>
        <w:pStyle w:val="Paragraphedeliste"/>
        <w:numPr>
          <w:ilvl w:val="0"/>
          <w:numId w:val="31"/>
        </w:numPr>
        <w:spacing w:before="240"/>
      </w:pPr>
      <w:r w:rsidRPr="00A71C6E">
        <w:t>Évaluation des provisions techniques au niveau atteint.</w:t>
      </w:r>
    </w:p>
    <w:p w14:paraId="142D1E02" w14:textId="77777777" w:rsidR="00A71C6E" w:rsidRDefault="00A71C6E" w:rsidP="00154541">
      <w:pPr>
        <w:pStyle w:val="Paragraphedeliste"/>
        <w:numPr>
          <w:ilvl w:val="0"/>
          <w:numId w:val="31"/>
        </w:numPr>
      </w:pPr>
      <w:r w:rsidRPr="00A71C6E">
        <w:t>Reprise des encours (et évaluation des provisions pour revalorisation).</w:t>
      </w:r>
    </w:p>
    <w:p w14:paraId="4C823271" w14:textId="0AF33132" w:rsidR="00A71C6E" w:rsidRPr="00A71C6E" w:rsidRDefault="00A71C6E" w:rsidP="00154541">
      <w:pPr>
        <w:pStyle w:val="Paragraphedeliste"/>
        <w:numPr>
          <w:ilvl w:val="0"/>
          <w:numId w:val="31"/>
        </w:numPr>
      </w:pPr>
      <w:r w:rsidRPr="00A71C6E">
        <w:t xml:space="preserve">Maintien des garanties décès aux invalides et aux incapables (décret du 17 juillet 2001). </w:t>
      </w:r>
    </w:p>
    <w:p w14:paraId="265AEEAC" w14:textId="29171111" w:rsidR="00A71C6E" w:rsidRPr="00D52CBD" w:rsidRDefault="00A71C6E" w:rsidP="00D52CBD">
      <w:r w:rsidRPr="00A71C6E">
        <w:t xml:space="preserve">Cette loi oblige </w:t>
      </w:r>
      <w:r>
        <w:t xml:space="preserve">l’ensemble des familles d’assureurs </w:t>
      </w:r>
      <w:r w:rsidRPr="00A71C6E">
        <w:t>à provisionner les sinistres en cours pour les couvertures du risque décès, des risques portant atteinte à l'intégrité physique de la personne ou liés à la maternité, des risques d'incapacité de travail, d'invalidité et du risque chômage.</w:t>
      </w:r>
    </w:p>
    <w:p w14:paraId="54D73BB4" w14:textId="49D07B65" w:rsidR="00A71C6E" w:rsidRPr="00385FB3" w:rsidRDefault="00A71C6E" w:rsidP="00154541">
      <w:pPr>
        <w:pStyle w:val="Paragraphedeliste"/>
        <w:numPr>
          <w:ilvl w:val="0"/>
          <w:numId w:val="21"/>
        </w:numPr>
        <w:ind w:left="643"/>
        <w:rPr>
          <w:b/>
          <w:bCs/>
        </w:rPr>
      </w:pPr>
      <w:r w:rsidRPr="00385FB3">
        <w:rPr>
          <w:b/>
          <w:bCs/>
        </w:rPr>
        <w:t>Loi du 8 août 1994 :</w:t>
      </w:r>
    </w:p>
    <w:p w14:paraId="0FD1F96E" w14:textId="68DBBF98" w:rsidR="00A71C6E" w:rsidRDefault="00A71C6E" w:rsidP="003F058D">
      <w:pPr>
        <w:pStyle w:val="Sansinterligne"/>
      </w:pPr>
      <w:r>
        <w:t>Cette loi arriva en complément de la loi Evin</w:t>
      </w:r>
      <w:r w:rsidR="00820C0F">
        <w:t>,</w:t>
      </w:r>
      <w:r>
        <w:t xml:space="preserve"> dans le but de transposer dans le droit français </w:t>
      </w:r>
      <w:r w:rsidRPr="00A71C6E">
        <w:t>une directive européenne en matière</w:t>
      </w:r>
      <w:r>
        <w:t xml:space="preserve"> </w:t>
      </w:r>
      <w:r w:rsidRPr="00A71C6E">
        <w:t>d’assurance, cette loi crée le premier corps de règles</w:t>
      </w:r>
      <w:r>
        <w:t xml:space="preserve"> </w:t>
      </w:r>
      <w:r w:rsidRPr="00A71C6E">
        <w:t>relatives à la protection sociale</w:t>
      </w:r>
      <w:r>
        <w:t xml:space="preserve"> </w:t>
      </w:r>
      <w:r w:rsidRPr="00A71C6E">
        <w:t>des salariés.</w:t>
      </w:r>
    </w:p>
    <w:p w14:paraId="51521D3C" w14:textId="4D415226" w:rsidR="00820C0F" w:rsidRDefault="00820C0F" w:rsidP="003F058D">
      <w:pPr>
        <w:pStyle w:val="Sansinterligne"/>
      </w:pPr>
      <w:r>
        <w:t xml:space="preserve">Cette loi pose les fondements juridiques de toute couverture collective, elle impose notamment une période de réexamen d’au plus 5 années pour les conventions collectives de branche ou </w:t>
      </w:r>
      <w:r>
        <w:lastRenderedPageBreak/>
        <w:t xml:space="preserve">d’entreprise qui désigne un organisme assureur et, en complément à la loi Evin, elle ajoute l’obligation d’organiser la poursuite de la revalorisation des prestations en cours de service en cas de résiliation du contrat ainsi que le </w:t>
      </w:r>
      <w:r w:rsidR="00A37CC4">
        <w:t>maintien</w:t>
      </w:r>
      <w:r>
        <w:t xml:space="preserve"> de la garantie décès. </w:t>
      </w:r>
    </w:p>
    <w:p w14:paraId="43412EE7" w14:textId="77777777" w:rsidR="00A71C6E" w:rsidRPr="00A71C6E" w:rsidRDefault="00A71C6E" w:rsidP="00A71C6E">
      <w:pPr>
        <w:pStyle w:val="Default"/>
        <w:rPr>
          <w:rFonts w:ascii="Candara" w:hAnsi="Candara" w:cs="Candara"/>
          <w:sz w:val="23"/>
          <w:szCs w:val="23"/>
        </w:rPr>
      </w:pPr>
    </w:p>
    <w:p w14:paraId="1B1624B7" w14:textId="30A389EB" w:rsidR="00A71C6E" w:rsidRPr="00385FB3" w:rsidRDefault="00A71C6E" w:rsidP="00154541">
      <w:pPr>
        <w:pStyle w:val="Paragraphedeliste"/>
        <w:numPr>
          <w:ilvl w:val="0"/>
          <w:numId w:val="21"/>
        </w:numPr>
        <w:ind w:left="643"/>
        <w:rPr>
          <w:b/>
          <w:bCs/>
        </w:rPr>
      </w:pPr>
      <w:r w:rsidRPr="00385FB3">
        <w:rPr>
          <w:b/>
          <w:bCs/>
        </w:rPr>
        <w:t>Arrêté du 28 mars 1996 :</w:t>
      </w:r>
    </w:p>
    <w:p w14:paraId="0CEED28B" w14:textId="59001655" w:rsidR="00A71C6E" w:rsidRDefault="00850DE0" w:rsidP="00A71C6E">
      <w:r>
        <w:t>Cet arrêté a pour objectif</w:t>
      </w:r>
      <w:r w:rsidR="0046574F">
        <w:t xml:space="preserve"> la définition de règles sur l’évaluation des provisions mathématiques d’inventaire sur les risques incapacité et invalidité :</w:t>
      </w:r>
    </w:p>
    <w:p w14:paraId="1A635BA3" w14:textId="6AC1E57C" w:rsidR="0046574F" w:rsidRDefault="0046574F" w:rsidP="00154541">
      <w:pPr>
        <w:pStyle w:val="Paragraphedeliste"/>
        <w:numPr>
          <w:ilvl w:val="0"/>
          <w:numId w:val="32"/>
        </w:numPr>
        <w:ind w:left="1069"/>
      </w:pPr>
      <w:r>
        <w:t>Concernant le provisionnement incapacité : une provision de l’incapacité en cours doit être compléter par une provision de passage en invalidité ou encore appelée provision d’invalidité en attente.</w:t>
      </w:r>
    </w:p>
    <w:p w14:paraId="2B8DAC2D" w14:textId="79C9FA87" w:rsidR="0046574F" w:rsidRDefault="001322DF" w:rsidP="00154541">
      <w:pPr>
        <w:pStyle w:val="Paragraphedeliste"/>
        <w:numPr>
          <w:ilvl w:val="0"/>
          <w:numId w:val="32"/>
        </w:numPr>
        <w:ind w:left="1069"/>
      </w:pPr>
      <w:r>
        <w:t>Pour l’invalidité, une provision mathématique d’invalidité en cours doit être constituée</w:t>
      </w:r>
    </w:p>
    <w:p w14:paraId="0BD9965A" w14:textId="2349CBB7" w:rsidR="001322DF" w:rsidRDefault="001322DF" w:rsidP="00154541">
      <w:pPr>
        <w:pStyle w:val="Paragraphedeliste"/>
        <w:numPr>
          <w:ilvl w:val="0"/>
          <w:numId w:val="32"/>
        </w:numPr>
        <w:ind w:left="1069"/>
      </w:pPr>
      <w:r>
        <w:t xml:space="preserve">Les provisions mathématiques doivent </w:t>
      </w:r>
      <w:r w:rsidR="00AC25EE">
        <w:t>être calculées</w:t>
      </w:r>
      <w:r>
        <w:t xml:space="preserve"> en utilisant des tables réglementaires de maintien du BCAC, ou d’une table certifiée et en utilisant un taux actuariel inférieur à 75% du TME, majoré par 4,5%</w:t>
      </w:r>
    </w:p>
    <w:p w14:paraId="1875C9C3" w14:textId="48F630EA" w:rsidR="001322DF" w:rsidRDefault="001322DF" w:rsidP="001322DF">
      <w:pPr>
        <w:pStyle w:val="Paragraphedeliste"/>
        <w:ind w:left="1069"/>
      </w:pPr>
    </w:p>
    <w:p w14:paraId="7F9AA53C" w14:textId="77777777" w:rsidR="0046574F" w:rsidRDefault="0046574F" w:rsidP="0046574F">
      <w:pPr>
        <w:pStyle w:val="Paragraphedeliste"/>
        <w:ind w:left="1423"/>
      </w:pPr>
    </w:p>
    <w:p w14:paraId="00A5307A" w14:textId="77777777" w:rsidR="00A71C6E" w:rsidRDefault="00A71C6E" w:rsidP="00A71C6E"/>
    <w:p w14:paraId="44769485" w14:textId="23B02DE3" w:rsidR="00DC1238" w:rsidRDefault="00DC1238" w:rsidP="00A71C6E">
      <w:r>
        <w:br w:type="page"/>
      </w:r>
    </w:p>
    <w:p w14:paraId="099CC824" w14:textId="77777777" w:rsidR="00DC1238" w:rsidRDefault="00DC1238" w:rsidP="00DC1238">
      <w:pPr>
        <w:spacing w:after="0"/>
      </w:pPr>
    </w:p>
    <w:p w14:paraId="7AF88347" w14:textId="77777777" w:rsidR="00D71E35" w:rsidRDefault="00D71E35" w:rsidP="00A103B7"/>
    <w:p w14:paraId="2DB32FAF" w14:textId="7C92FFFC" w:rsidR="00A103B7" w:rsidRPr="009212F2" w:rsidRDefault="00A103B7" w:rsidP="009212F2">
      <w:pPr>
        <w:pStyle w:val="Titre1"/>
      </w:pPr>
      <w:bookmarkStart w:id="13" w:name="_Toc112883450"/>
      <w:r w:rsidRPr="009212F2">
        <w:t>L’absentéisme en entreprise en France</w:t>
      </w:r>
      <w:bookmarkEnd w:id="13"/>
    </w:p>
    <w:p w14:paraId="6BB6ACFB" w14:textId="45484E20" w:rsidR="004F5DA7" w:rsidRDefault="00A103B7" w:rsidP="004D450D">
      <w:pPr>
        <w:pStyle w:val="Titre2"/>
      </w:pPr>
      <w:bookmarkStart w:id="14" w:name="_Toc112883451"/>
      <w:r>
        <w:t>Qu’est-ce que l’absentéisme ?</w:t>
      </w:r>
      <w:bookmarkEnd w:id="14"/>
    </w:p>
    <w:p w14:paraId="3132FE3B" w14:textId="77777777" w:rsidR="00721820" w:rsidRDefault="004F5DA7" w:rsidP="00721820">
      <w:pPr>
        <w:spacing w:before="240" w:after="120"/>
        <w:jc w:val="left"/>
      </w:pPr>
      <w:r>
        <w:t>L</w:t>
      </w:r>
      <w:r w:rsidR="00CA31DB">
        <w:t>’</w:t>
      </w:r>
      <w:r>
        <w:t xml:space="preserve">absentéisme </w:t>
      </w:r>
      <w:r w:rsidR="00CA31DB">
        <w:t xml:space="preserve">est une notion dont la définition n’est pas unanime selon les sources et diffère en fonction de la nature de l’absence, selon l’encyclopédie Larousse, l’absentéisme est le fait d’être absent du lieu de travail ou de tout lieu où pour des raisons de travail, de participation à une action ou autre, la présence est obligatoire, en entreprise on distingue les absences non évitables comme par exemple les congés maternité, pour événements familiaux, </w:t>
      </w:r>
      <w:proofErr w:type="spellStart"/>
      <w:r w:rsidR="00CA31DB">
        <w:t>etc</w:t>
      </w:r>
      <w:proofErr w:type="spellEnd"/>
      <w:r w:rsidR="00CA31DB">
        <w:t xml:space="preserve">, et les arrêts évitables qui dépendrait autant de comportements personnels que de facteurs sociaux.  </w:t>
      </w:r>
    </w:p>
    <w:p w14:paraId="34B02254" w14:textId="3C1D1FC9" w:rsidR="004D450D" w:rsidRDefault="00CA31DB">
      <w:pPr>
        <w:jc w:val="left"/>
      </w:pPr>
      <w:r>
        <w:t xml:space="preserve">Selon le rapport de l’ANACT, l’absentéisme en entreprise </w:t>
      </w:r>
      <w:r w:rsidR="004F5DA7">
        <w:t>désigne toute absence qui aurait pu être évitée par une prévention suffisante</w:t>
      </w:r>
      <w:r w:rsidR="00721820">
        <w:t>,</w:t>
      </w:r>
      <w:r w:rsidR="004F5DA7">
        <w:t xml:space="preserve"> faite en amont sur les conditions de travail au sens large, c’est-à-dire les conditions qui concernent </w:t>
      </w:r>
      <w:r w:rsidR="0027197C">
        <w:t>les conditions physiques</w:t>
      </w:r>
      <w:r w:rsidR="007D653B">
        <w:t xml:space="preserve"> de travail (position de travail, matériel adapté à disposition du salarié, …), l’organisation du travail, la conciliation des temps professionnel et privé,</w:t>
      </w:r>
      <w:r w:rsidR="00721820">
        <w:t xml:space="preserve"> et tout autre facte</w:t>
      </w:r>
      <w:r w:rsidR="00C8300D">
        <w:t>ur pouvant améliorer la qualité de vie au travail.</w:t>
      </w:r>
      <w:r w:rsidR="004D450D">
        <w:t xml:space="preserve"> Selon ce rapport, les absences comme les congés de formation ou maternité font parti des absences qui ne sont pas de l’absentéisme. En bref, le choix de ce que l’on désigne ou pas comme de l’absentéisme appartient en pratique au responsable qui choisit ce que l’on considère ou non dans le calcul du taux d’absentéisme, qui est un indicateur que l’on détaillera dans la suite.</w:t>
      </w:r>
    </w:p>
    <w:p w14:paraId="4ED3E74E" w14:textId="325D8DAD" w:rsidR="004D450D" w:rsidRDefault="004D450D">
      <w:pPr>
        <w:jc w:val="left"/>
      </w:pPr>
    </w:p>
    <w:p w14:paraId="07B17DCC" w14:textId="37BB7E2D" w:rsidR="004D450D" w:rsidRDefault="004D450D" w:rsidP="004D450D">
      <w:pPr>
        <w:pStyle w:val="Titre2"/>
      </w:pPr>
      <w:bookmarkStart w:id="15" w:name="_Toc112883452"/>
      <w:r>
        <w:t>Quelles sont les causes de l’absentéisme ?</w:t>
      </w:r>
      <w:bookmarkEnd w:id="15"/>
    </w:p>
    <w:p w14:paraId="4A1106BB" w14:textId="77777777" w:rsidR="004D450D" w:rsidRDefault="004D450D">
      <w:pPr>
        <w:jc w:val="left"/>
      </w:pPr>
    </w:p>
    <w:p w14:paraId="7D548E23" w14:textId="2BD5DC7F" w:rsidR="004D450D" w:rsidRDefault="005100C8">
      <w:pPr>
        <w:jc w:val="left"/>
      </w:pPr>
      <w:r>
        <w:t xml:space="preserve">Les causes de l’absentéisme sont nombreuses et de nature très variées, en passant par des causes fréquentes et évidentes comme des conditions de travails pénibles ou inconfortable (ex : port de charge lourdes, mauvais matériel,…) et des causes un peu plus cachés comme l’ambiance au travail ou les exigences du travail qui peuvent avoir un impact psychologique important sur les salariés et ainsi être la source de troubles psychosociaux, </w:t>
      </w:r>
      <w:r w:rsidR="00B11043">
        <w:t>nous allons à présent tenter de présenter certaines causes importante d’absentéisme en entreprise :</w:t>
      </w:r>
      <w:r>
        <w:t xml:space="preserve"> </w:t>
      </w:r>
    </w:p>
    <w:p w14:paraId="607ADC22" w14:textId="3DF89181" w:rsidR="00245FB4" w:rsidRDefault="00B11043" w:rsidP="00154541">
      <w:pPr>
        <w:pStyle w:val="Paragraphedeliste"/>
        <w:numPr>
          <w:ilvl w:val="0"/>
          <w:numId w:val="33"/>
        </w:numPr>
        <w:spacing w:after="120"/>
        <w:ind w:left="927"/>
        <w:jc w:val="left"/>
      </w:pPr>
      <w:r w:rsidRPr="0019409C">
        <w:rPr>
          <w:b/>
          <w:bCs/>
        </w:rPr>
        <w:t>Les conditions matérielles de travail :</w:t>
      </w:r>
      <w:r>
        <w:t xml:space="preserve"> </w:t>
      </w:r>
      <w:r w:rsidR="00AF56B0">
        <w:t>il faut dans un premier temps considérer les conditions matérielles de réalisation du travail comme étant une cause très importante de l’absentéisme en entreprise, cela passe par la configuration et l’état des locaux de travail, les horaires de travail</w:t>
      </w:r>
      <w:r w:rsidR="00BD24A2">
        <w:t>, ces différents éléments augmentent la charge physique des salariés et sont souvent une des causes d’apparition de troubles comme les troubles musculo squelettiques ou psychosociaux.</w:t>
      </w:r>
      <w:r w:rsidR="00AF56B0">
        <w:t xml:space="preserve"> </w:t>
      </w:r>
      <w:r w:rsidR="00BD24A2">
        <w:t>Hormis</w:t>
      </w:r>
      <w:r w:rsidR="002B4499">
        <w:t xml:space="preserve"> les maladies ordinaires, les troubles musculo squelettiques (TMS) </w:t>
      </w:r>
      <w:r w:rsidR="00BD24A2">
        <w:t xml:space="preserve">et les troubles psychosociaux sont les causes principales d’arrêt de travail en France, selon </w:t>
      </w:r>
      <w:proofErr w:type="spellStart"/>
      <w:r w:rsidR="00BD24A2">
        <w:t>Rehalto</w:t>
      </w:r>
      <w:proofErr w:type="spellEnd"/>
      <w:r w:rsidR="00BD24A2">
        <w:t>, respectivement 27% et 29%.</w:t>
      </w:r>
      <w:r w:rsidR="00245FB4">
        <w:t xml:space="preserve"> Les TMS sont </w:t>
      </w:r>
      <w:r w:rsidR="003E41AA">
        <w:t>à l’origine de</w:t>
      </w:r>
      <w:r w:rsidR="00245FB4">
        <w:t xml:space="preserve"> gènes </w:t>
      </w:r>
      <w:r w:rsidR="003E41AA">
        <w:t>et de douleurs dans la vie quotidienne et dans le travail, ils sont qualifiés par l’OMS comme des « maladies liées au travail » (« </w:t>
      </w:r>
      <w:proofErr w:type="spellStart"/>
      <w:r w:rsidR="003E41AA">
        <w:t>work-related</w:t>
      </w:r>
      <w:proofErr w:type="spellEnd"/>
      <w:r w:rsidR="003E41AA">
        <w:t xml:space="preserve"> </w:t>
      </w:r>
      <w:proofErr w:type="spellStart"/>
      <w:r w:rsidR="003E41AA">
        <w:t>diseases</w:t>
      </w:r>
      <w:proofErr w:type="spellEnd"/>
      <w:r w:rsidR="003E41AA">
        <w:t xml:space="preserve"> ») car la nature, le milieu et les conditions de travail ont une part importante dans l’étiologie des maladies multifactorielles. En effet, on identifie dans </w:t>
      </w:r>
      <w:r w:rsidR="002D5679">
        <w:t>la littérature</w:t>
      </w:r>
      <w:r w:rsidR="003E41AA">
        <w:t xml:space="preserve"> de nombreux facteurs d’origine professionnelle et personnelle, dont des facteurs non modifiables comme </w:t>
      </w:r>
      <w:r w:rsidR="006F6474">
        <w:t>l’âge</w:t>
      </w:r>
      <w:r w:rsidR="003E41AA">
        <w:t xml:space="preserve">, le sexe ou la taille, et d’autres facteurs que l’on considérera évitable c’est-à-dire que l’on pourrait </w:t>
      </w:r>
      <w:r w:rsidR="006F6474">
        <w:t>atténuer</w:t>
      </w:r>
      <w:r w:rsidR="003E41AA">
        <w:t xml:space="preserve"> </w:t>
      </w:r>
      <w:r w:rsidR="006F6474">
        <w:t>par</w:t>
      </w:r>
      <w:r w:rsidR="003E41AA">
        <w:t xml:space="preserve"> de la prévention comme la consommation de tabac, la sédentarité ou la posture adoptée au travail. </w:t>
      </w:r>
      <w:r w:rsidR="003E41AA">
        <w:lastRenderedPageBreak/>
        <w:t>L</w:t>
      </w:r>
      <w:r w:rsidR="006F6474">
        <w:t>’entreprise a une responsabilité quant à la prévention des facteurs de risques de TMS de nature professionnelle ce sont en général des facteurs de risques biomécanique comme des mouvements trop répétitifs, des vibrations ou encore des séquelles dues au port de charges lourdes et des facteurs de risques psychosociaux.</w:t>
      </w:r>
    </w:p>
    <w:p w14:paraId="48BAEB2F" w14:textId="038096BE" w:rsidR="006F6474" w:rsidRDefault="002D5679" w:rsidP="00A51CCF">
      <w:pPr>
        <w:pStyle w:val="Paragraphedeliste"/>
        <w:spacing w:after="120"/>
        <w:ind w:left="927"/>
        <w:jc w:val="left"/>
      </w:pPr>
      <w:r>
        <w:t xml:space="preserve">Les risques psychosociaux sont réputés pour favoriser certaines pathologies de mal-être au travail comme par exemple le </w:t>
      </w:r>
      <w:proofErr w:type="spellStart"/>
      <w:r>
        <w:t>burn</w:t>
      </w:r>
      <w:proofErr w:type="spellEnd"/>
      <w:r>
        <w:t xml:space="preserve"> out qui est synonyme d’épuisement lié à une charge de travail et d’une pression trop intense. </w:t>
      </w:r>
      <w:r w:rsidR="00A51CCF">
        <w:t xml:space="preserve">La notion de risques psychosociaux est vaste </w:t>
      </w:r>
      <w:r w:rsidR="00830330">
        <w:t>et</w:t>
      </w:r>
      <w:r w:rsidR="003F058D">
        <w:t xml:space="preserve"> concerne l’ensemble des éléments inhérent</w:t>
      </w:r>
      <w:r>
        <w:t xml:space="preserve"> impactant la charge mentale de l’employé </w:t>
      </w:r>
      <w:r w:rsidR="00830330">
        <w:t>comme les situations de stress, les violences internes ou externes à l’entreprise qui peuvent générer un mal-être de l’employé au travail puis dérivé sur des pathologies menant à de l’absentéisme.</w:t>
      </w:r>
    </w:p>
    <w:p w14:paraId="59263BC3" w14:textId="2ACF7F0F" w:rsidR="003F058D" w:rsidRDefault="003F058D" w:rsidP="00A51CCF">
      <w:pPr>
        <w:pStyle w:val="Paragraphedeliste"/>
        <w:spacing w:after="120"/>
        <w:ind w:left="927"/>
        <w:jc w:val="left"/>
      </w:pPr>
    </w:p>
    <w:p w14:paraId="754A2668" w14:textId="77777777" w:rsidR="003F058D" w:rsidRDefault="003F058D" w:rsidP="00A51CCF">
      <w:pPr>
        <w:pStyle w:val="Paragraphedeliste"/>
        <w:spacing w:after="120"/>
        <w:ind w:left="927"/>
        <w:jc w:val="left"/>
      </w:pPr>
    </w:p>
    <w:p w14:paraId="12A58BBC" w14:textId="2B887926" w:rsidR="00BD24A2" w:rsidRDefault="0019409C" w:rsidP="00154541">
      <w:pPr>
        <w:pStyle w:val="Paragraphedeliste"/>
        <w:numPr>
          <w:ilvl w:val="0"/>
          <w:numId w:val="33"/>
        </w:numPr>
        <w:spacing w:after="100" w:afterAutospacing="1"/>
        <w:ind w:left="927"/>
        <w:jc w:val="left"/>
      </w:pPr>
      <w:r w:rsidRPr="0019409C">
        <w:rPr>
          <w:b/>
          <w:bCs/>
        </w:rPr>
        <w:t>L’engagement et le désengagement au travail :</w:t>
      </w:r>
      <w:r>
        <w:t xml:space="preserve"> Les causes de l’absentéisme ne sont pas uniquement dû à la santé physique ou psychologique des salariés, l’engagement au travail définit par LAWLER E.E. et HALL D.T. dans leur ouvrage </w:t>
      </w:r>
      <w:r w:rsidRPr="0019409C">
        <w:rPr>
          <w:i/>
          <w:iCs/>
        </w:rPr>
        <w:t xml:space="preserve">Journal of </w:t>
      </w:r>
      <w:proofErr w:type="spellStart"/>
      <w:r w:rsidRPr="0019409C">
        <w:rPr>
          <w:i/>
          <w:iCs/>
        </w:rPr>
        <w:t>Applied</w:t>
      </w:r>
      <w:proofErr w:type="spellEnd"/>
      <w:r w:rsidRPr="0019409C">
        <w:rPr>
          <w:i/>
          <w:iCs/>
        </w:rPr>
        <w:t xml:space="preserve"> Psychology</w:t>
      </w:r>
      <w:r>
        <w:t xml:space="preserve"> comme étant : « le degré selon lequel une personne perçoit son travail comme étant une partie importante de sa vie et de son identité, grâce aux opportunités qu’il offre de satisfaire des besoins importants » joue un rôle très important dans la vie d’une entreprise car il traduit la santé de la relation entre une personne et son employeur</w:t>
      </w:r>
      <w:r w:rsidR="00245FB4">
        <w:t>, particulièrement son degré d’implication dans son travail.</w:t>
      </w:r>
    </w:p>
    <w:p w14:paraId="4678B8FF" w14:textId="7AE8E042" w:rsidR="00B11043" w:rsidRDefault="00B11043" w:rsidP="00BD24A2">
      <w:pPr>
        <w:pStyle w:val="Paragraphedeliste"/>
        <w:ind w:left="927"/>
        <w:jc w:val="left"/>
      </w:pPr>
    </w:p>
    <w:p w14:paraId="2872AC9B" w14:textId="0724DF2E" w:rsidR="00FB72CD" w:rsidRDefault="00FB72CD">
      <w:pPr>
        <w:jc w:val="left"/>
        <w:rPr>
          <w:rFonts w:eastAsiaTheme="majorEastAsia" w:cstheme="majorBidi"/>
          <w:color w:val="2F5496" w:themeColor="accent1" w:themeShade="BF"/>
          <w:sz w:val="26"/>
          <w:szCs w:val="26"/>
        </w:rPr>
      </w:pPr>
      <w:r>
        <w:br w:type="page"/>
      </w:r>
    </w:p>
    <w:p w14:paraId="0204DC5D" w14:textId="2AF64C30" w:rsidR="00A103B7" w:rsidRDefault="00A103B7" w:rsidP="00A103B7">
      <w:pPr>
        <w:pStyle w:val="Titre2"/>
      </w:pPr>
      <w:bookmarkStart w:id="16" w:name="_Toc112883453"/>
      <w:r>
        <w:lastRenderedPageBreak/>
        <w:t>Comment mesurer l’absentéisme en entreprise ?</w:t>
      </w:r>
      <w:bookmarkEnd w:id="16"/>
    </w:p>
    <w:p w14:paraId="7180E7FB" w14:textId="2192CF75" w:rsidR="00CE6D17" w:rsidRPr="00CE6D17" w:rsidRDefault="00CE6D17" w:rsidP="00CE6D17">
      <w:pPr>
        <w:pStyle w:val="Sansinterligne"/>
        <w:spacing w:before="360"/>
        <w:rPr>
          <w:b/>
          <w:bCs/>
        </w:rPr>
      </w:pPr>
      <w:r>
        <w:t>L’absentéisme comporte de multiples aspects qui s’entrecroisent : administratifs, économiques, sociaux et sanitaires. Il n’y a pas de cause unique à l’absentéisme des salariés. L’absentéisme est un révélateur du fonctionnement de l’organisation, de l’attrait que celle-ci recèle pour les salariés (en favorisant l’engagement au travail), mais aussi de l’état de</w:t>
      </w:r>
      <w:r w:rsidRPr="000A3616">
        <w:t xml:space="preserve"> </w:t>
      </w:r>
      <w:r>
        <w:t>santé global d’une population et de ses caractéristiques (âge et genre, etc.). Dans tous les cas, il est nécessaire, avant d’agir, de procéder à un bon diagnostic de la situation. Ensuite, un débat nourri entre les directions, l’encadrement, le personnel et ses représentants sera indispensable pour mettre en place un programme d’action efficace.</w:t>
      </w:r>
    </w:p>
    <w:p w14:paraId="17BA76C6" w14:textId="76D20118" w:rsidR="00053CE5" w:rsidRDefault="00E677E6" w:rsidP="00CE6D17">
      <w:pPr>
        <w:pStyle w:val="Sansinterligne"/>
        <w:spacing w:before="120"/>
      </w:pPr>
      <w:r>
        <w:t xml:space="preserve">Pour pouvoir effectuer des actions </w:t>
      </w:r>
      <w:r w:rsidR="00053CE5">
        <w:t>de prévention</w:t>
      </w:r>
      <w:r>
        <w:t xml:space="preserve"> sur l’absentéisme en entreprise, il faut d’abord être en mesure de le quantifier et de la caractériser. </w:t>
      </w:r>
    </w:p>
    <w:p w14:paraId="06BB7123" w14:textId="77777777" w:rsidR="00843D17" w:rsidRDefault="00053CE5" w:rsidP="00CE6D17">
      <w:pPr>
        <w:pStyle w:val="Sansinterligne"/>
        <w:spacing w:before="120"/>
      </w:pPr>
      <w:r>
        <w:t>Pour caractériser de l’absentéisme,</w:t>
      </w:r>
      <w:r w:rsidR="00E677E6">
        <w:t xml:space="preserve"> il faut</w:t>
      </w:r>
      <w:r>
        <w:t xml:space="preserve"> être en mesure</w:t>
      </w:r>
      <w:r w:rsidR="00E677E6">
        <w:t xml:space="preserve"> </w:t>
      </w:r>
      <w:r>
        <w:t>d’</w:t>
      </w:r>
      <w:r w:rsidR="00E677E6">
        <w:t>identifier la nature des absences</w:t>
      </w:r>
      <w:r>
        <w:t>, la durée, la fréquence, potentiellement la rechute, etc.</w:t>
      </w:r>
      <w:r w:rsidR="00E677E6">
        <w:t xml:space="preserve"> </w:t>
      </w:r>
    </w:p>
    <w:p w14:paraId="370DBA17" w14:textId="2C6C548A" w:rsidR="00843D17" w:rsidRDefault="00843D17" w:rsidP="00053CE5">
      <w:pPr>
        <w:pStyle w:val="Sansinterligne"/>
        <w:spacing w:before="240"/>
      </w:pPr>
      <w:r>
        <w:t>Nous définissons ensuite les indicateurs que nous pouvons utiliser en pratique pour quantifier l’absentéisme en entreprise.</w:t>
      </w:r>
    </w:p>
    <w:p w14:paraId="52F3FA10" w14:textId="77777777" w:rsidR="00843D17" w:rsidRDefault="00843D17" w:rsidP="00053CE5">
      <w:pPr>
        <w:pStyle w:val="Sansinterligne"/>
        <w:spacing w:before="240"/>
      </w:pPr>
    </w:p>
    <w:p w14:paraId="0EE06DDD" w14:textId="00B561FF" w:rsidR="00FB72CD" w:rsidRDefault="00FB72CD" w:rsidP="00053CE5">
      <w:pPr>
        <w:pStyle w:val="Sansinterligne"/>
        <w:spacing w:before="240"/>
        <w:rPr>
          <w:rFonts w:eastAsiaTheme="majorEastAsia" w:cstheme="majorBidi"/>
          <w:color w:val="2F5496" w:themeColor="accent1" w:themeShade="BF"/>
          <w:sz w:val="26"/>
          <w:szCs w:val="26"/>
        </w:rPr>
      </w:pPr>
    </w:p>
    <w:p w14:paraId="497D27A3" w14:textId="691F99C8" w:rsidR="00843D17" w:rsidRDefault="00843D17" w:rsidP="006A3FB9">
      <w:pPr>
        <w:pStyle w:val="Sansinterligne"/>
      </w:pPr>
      <w:r w:rsidRPr="006A3FB9">
        <w:t xml:space="preserve">Le taux d’absentéisme </w:t>
      </w:r>
      <w:r w:rsidR="00D479BF">
        <w:t xml:space="preserve">est un indicateur </w:t>
      </w:r>
      <w:r w:rsidR="00637264">
        <w:t>fréquemment</w:t>
      </w:r>
      <w:r w:rsidR="00D479BF">
        <w:t xml:space="preserve"> utilisé pour quantifier l’absentéisme, c’est le rapport entre nombre de jours arrêté sur une année et le nombre de jours de travail total :</w:t>
      </w:r>
    </w:p>
    <w:p w14:paraId="15F4B0FA" w14:textId="7C5B8D41" w:rsidR="00D479BF" w:rsidRDefault="00D479BF" w:rsidP="00D479BF">
      <w:pPr>
        <w:pStyle w:val="Sansinterligne"/>
        <w:spacing w:before="240"/>
      </w:pPr>
      <m:oMathPara>
        <m:oMath>
          <m:r>
            <w:rPr>
              <w:rFonts w:ascii="Cambria Math" w:hAnsi="Cambria Math"/>
            </w:rPr>
            <m:t xml:space="preserve">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absentéisme= </m:t>
          </m:r>
          <m:f>
            <m:fPr>
              <m:ctrlPr>
                <w:rPr>
                  <w:rFonts w:ascii="Cambria Math" w:hAnsi="Cambria Math"/>
                  <w:i/>
                </w:rPr>
              </m:ctrlPr>
            </m:fPr>
            <m:num>
              <m:r>
                <w:rPr>
                  <w:rFonts w:ascii="Cambria Math" w:hAnsi="Cambria Math"/>
                </w:rPr>
                <m:t xml:space="preserve">Nombre de jours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absence total sur la période d'étude</m:t>
              </m:r>
            </m:num>
            <m:den>
              <m:r>
                <w:rPr>
                  <w:rFonts w:ascii="Cambria Math" w:hAnsi="Cambria Math"/>
                </w:rPr>
                <m:t xml:space="preserve">Nombre de jours sur la période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étude</m:t>
              </m:r>
            </m:den>
          </m:f>
        </m:oMath>
      </m:oMathPara>
    </w:p>
    <w:p w14:paraId="39553C3D" w14:textId="186C3432" w:rsidR="00D479BF" w:rsidRDefault="00D479BF" w:rsidP="006A3FB9">
      <w:pPr>
        <w:pStyle w:val="Sansinterligne"/>
      </w:pPr>
    </w:p>
    <w:p w14:paraId="0A1B1053" w14:textId="4B4DEF6F" w:rsidR="006A3D5B" w:rsidRDefault="006A3D5B" w:rsidP="006A3FB9">
      <w:pPr>
        <w:pStyle w:val="Sansinterligne"/>
      </w:pPr>
    </w:p>
    <w:p w14:paraId="07E74068" w14:textId="4D9E8968" w:rsidR="006A3D5B" w:rsidRDefault="006A3D5B" w:rsidP="006A3FB9">
      <w:pPr>
        <w:pStyle w:val="Sansinterligne"/>
      </w:pPr>
    </w:p>
    <w:p w14:paraId="560A3A64" w14:textId="616EDF79" w:rsidR="006A3D5B" w:rsidRDefault="006A3D5B" w:rsidP="006A3FB9">
      <w:pPr>
        <w:pStyle w:val="Sansinterligne"/>
      </w:pPr>
    </w:p>
    <w:p w14:paraId="75801A4B" w14:textId="4E7D9A51" w:rsidR="006A3D5B" w:rsidRDefault="006A3D5B" w:rsidP="006A3FB9">
      <w:pPr>
        <w:pStyle w:val="Sansinterligne"/>
      </w:pPr>
    </w:p>
    <w:p w14:paraId="439604FE" w14:textId="6D4A6FDE" w:rsidR="006A3D5B" w:rsidRDefault="006A3D5B" w:rsidP="006A3FB9">
      <w:pPr>
        <w:pStyle w:val="Sansinterligne"/>
      </w:pPr>
    </w:p>
    <w:p w14:paraId="5BB2918E" w14:textId="6C86E2CE" w:rsidR="006A3D5B" w:rsidRDefault="006A3D5B" w:rsidP="006A3FB9">
      <w:pPr>
        <w:pStyle w:val="Sansinterligne"/>
      </w:pPr>
    </w:p>
    <w:p w14:paraId="0DB7DA19" w14:textId="61369BDD" w:rsidR="006A3D5B" w:rsidRDefault="006A3D5B" w:rsidP="006A3FB9">
      <w:pPr>
        <w:pStyle w:val="Sansinterligne"/>
      </w:pPr>
    </w:p>
    <w:p w14:paraId="070662A0" w14:textId="1B0258D6" w:rsidR="006A3D5B" w:rsidRDefault="006A3D5B" w:rsidP="006A3FB9">
      <w:pPr>
        <w:pStyle w:val="Sansinterligne"/>
      </w:pPr>
    </w:p>
    <w:p w14:paraId="4416D2DF" w14:textId="3AA499A4" w:rsidR="006A3D5B" w:rsidRDefault="006A3D5B" w:rsidP="006A3FB9">
      <w:pPr>
        <w:pStyle w:val="Sansinterligne"/>
      </w:pPr>
    </w:p>
    <w:p w14:paraId="57A7003E" w14:textId="3CC1384B" w:rsidR="006A3D5B" w:rsidRDefault="006A3D5B" w:rsidP="006A3FB9">
      <w:pPr>
        <w:pStyle w:val="Sansinterligne"/>
      </w:pPr>
    </w:p>
    <w:p w14:paraId="5B99730E" w14:textId="28DFC9D0" w:rsidR="006A3D5B" w:rsidRDefault="006A3D5B" w:rsidP="006A3FB9">
      <w:pPr>
        <w:pStyle w:val="Sansinterligne"/>
      </w:pPr>
    </w:p>
    <w:p w14:paraId="2C4DEF5B" w14:textId="44E431C7" w:rsidR="006A3D5B" w:rsidRDefault="006A3D5B" w:rsidP="006A3FB9">
      <w:pPr>
        <w:pStyle w:val="Sansinterligne"/>
      </w:pPr>
    </w:p>
    <w:p w14:paraId="01567038" w14:textId="6C1BCE69" w:rsidR="006A3D5B" w:rsidRDefault="006A3D5B" w:rsidP="006A3FB9">
      <w:pPr>
        <w:pStyle w:val="Sansinterligne"/>
      </w:pPr>
    </w:p>
    <w:p w14:paraId="01CA8996" w14:textId="520CECAC" w:rsidR="006A3D5B" w:rsidRDefault="006A3D5B" w:rsidP="006A3FB9">
      <w:pPr>
        <w:pStyle w:val="Sansinterligne"/>
      </w:pPr>
    </w:p>
    <w:p w14:paraId="54E070A1" w14:textId="414DC1C8" w:rsidR="006A3D5B" w:rsidRDefault="006A3D5B" w:rsidP="006A3FB9">
      <w:pPr>
        <w:pStyle w:val="Sansinterligne"/>
      </w:pPr>
    </w:p>
    <w:p w14:paraId="5F0FE1B5" w14:textId="7F52C49A" w:rsidR="006A3D5B" w:rsidRDefault="006A3D5B" w:rsidP="006A3FB9">
      <w:pPr>
        <w:pStyle w:val="Sansinterligne"/>
      </w:pPr>
    </w:p>
    <w:p w14:paraId="254D3EB5" w14:textId="1F6B7BD9" w:rsidR="006A3D5B" w:rsidRDefault="006A3D5B" w:rsidP="006A3FB9">
      <w:pPr>
        <w:pStyle w:val="Sansinterligne"/>
      </w:pPr>
    </w:p>
    <w:p w14:paraId="797B025B" w14:textId="77777777" w:rsidR="006A3D5B" w:rsidRPr="006A3FB9" w:rsidRDefault="006A3D5B" w:rsidP="006A3FB9">
      <w:pPr>
        <w:pStyle w:val="Sansinterligne"/>
      </w:pPr>
    </w:p>
    <w:tbl>
      <w:tblPr>
        <w:tblpPr w:leftFromText="141" w:rightFromText="141" w:vertAnchor="text" w:horzAnchor="margin" w:tblpXSpec="center" w:tblpY="1531"/>
        <w:tblW w:w="10055" w:type="dxa"/>
        <w:tblCellMar>
          <w:left w:w="0" w:type="dxa"/>
          <w:right w:w="0" w:type="dxa"/>
        </w:tblCellMar>
        <w:tblLook w:val="04A0" w:firstRow="1" w:lastRow="0" w:firstColumn="1" w:lastColumn="0" w:noHBand="0" w:noVBand="1"/>
      </w:tblPr>
      <w:tblGrid>
        <w:gridCol w:w="1750"/>
        <w:gridCol w:w="3430"/>
        <w:gridCol w:w="4875"/>
      </w:tblGrid>
      <w:tr w:rsidR="006A3D5B" w:rsidRPr="00843D17" w14:paraId="09107E8A" w14:textId="77777777" w:rsidTr="006A3D5B">
        <w:trPr>
          <w:trHeight w:val="516"/>
        </w:trPr>
        <w:tc>
          <w:tcPr>
            <w:tcW w:w="175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144" w:type="dxa"/>
              <w:bottom w:w="72" w:type="dxa"/>
              <w:right w:w="144" w:type="dxa"/>
            </w:tcMar>
            <w:vAlign w:val="center"/>
            <w:hideMark/>
          </w:tcPr>
          <w:p w14:paraId="23C21370" w14:textId="77777777" w:rsidR="006A3D5B" w:rsidRPr="00843D17" w:rsidRDefault="006A3D5B" w:rsidP="006A3D5B">
            <w:pPr>
              <w:pStyle w:val="Sansinterligne"/>
              <w:spacing w:before="240"/>
            </w:pPr>
          </w:p>
        </w:tc>
        <w:tc>
          <w:tcPr>
            <w:tcW w:w="3430" w:type="dxa"/>
            <w:tcBorders>
              <w:top w:val="single" w:sz="8" w:space="0" w:color="FFFFFF"/>
              <w:left w:val="single" w:sz="8" w:space="0" w:color="FFFFFF"/>
              <w:bottom w:val="single" w:sz="24" w:space="0" w:color="FFFFFF"/>
              <w:right w:val="single" w:sz="8" w:space="0" w:color="FFFFFF"/>
            </w:tcBorders>
            <w:shd w:val="clear" w:color="auto" w:fill="00A0D2"/>
            <w:tcMar>
              <w:top w:w="72" w:type="dxa"/>
              <w:left w:w="144" w:type="dxa"/>
              <w:bottom w:w="72" w:type="dxa"/>
              <w:right w:w="144" w:type="dxa"/>
            </w:tcMar>
            <w:vAlign w:val="bottom"/>
            <w:hideMark/>
          </w:tcPr>
          <w:p w14:paraId="67708029" w14:textId="77777777" w:rsidR="006A3D5B" w:rsidRPr="00843D17" w:rsidRDefault="006A3D5B" w:rsidP="006A3D5B">
            <w:pPr>
              <w:pStyle w:val="Sansinterligne"/>
              <w:spacing w:before="240"/>
              <w:jc w:val="center"/>
              <w:rPr>
                <w:color w:val="FFFFFF" w:themeColor="background1"/>
              </w:rPr>
            </w:pPr>
            <w:r w:rsidRPr="00843D17">
              <w:rPr>
                <w:b/>
                <w:bCs/>
                <w:color w:val="FFFFFF" w:themeColor="background1"/>
              </w:rPr>
              <w:t>Définition</w:t>
            </w:r>
          </w:p>
        </w:tc>
        <w:tc>
          <w:tcPr>
            <w:tcW w:w="4875" w:type="dxa"/>
            <w:tcBorders>
              <w:top w:val="single" w:sz="8" w:space="0" w:color="FFFFFF"/>
              <w:left w:val="single" w:sz="8" w:space="0" w:color="FFFFFF"/>
              <w:bottom w:val="single" w:sz="24" w:space="0" w:color="FFFFFF"/>
              <w:right w:val="single" w:sz="8" w:space="0" w:color="FFFFFF"/>
            </w:tcBorders>
            <w:shd w:val="clear" w:color="auto" w:fill="00A0D2"/>
            <w:tcMar>
              <w:top w:w="72" w:type="dxa"/>
              <w:left w:w="144" w:type="dxa"/>
              <w:bottom w:w="72" w:type="dxa"/>
              <w:right w:w="144" w:type="dxa"/>
            </w:tcMar>
            <w:vAlign w:val="center"/>
            <w:hideMark/>
          </w:tcPr>
          <w:p w14:paraId="61F181E1" w14:textId="77777777" w:rsidR="006A3D5B" w:rsidRPr="00843D17" w:rsidRDefault="006A3D5B" w:rsidP="006A3D5B">
            <w:pPr>
              <w:pStyle w:val="Sansinterligne"/>
              <w:spacing w:before="240"/>
              <w:jc w:val="center"/>
            </w:pPr>
            <w:r>
              <w:rPr>
                <w:b/>
                <w:bCs/>
                <w:color w:val="FFFFFF" w:themeColor="background1"/>
              </w:rPr>
              <w:t>R</w:t>
            </w:r>
            <w:r w:rsidRPr="00843D17">
              <w:rPr>
                <w:b/>
                <w:bCs/>
                <w:color w:val="FFFFFF" w:themeColor="background1"/>
              </w:rPr>
              <w:t>ôles</w:t>
            </w:r>
          </w:p>
        </w:tc>
      </w:tr>
      <w:tr w:rsidR="006A3D5B" w:rsidRPr="00843D17" w14:paraId="4C74AF17" w14:textId="77777777" w:rsidTr="006A3D5B">
        <w:trPr>
          <w:trHeight w:val="847"/>
        </w:trPr>
        <w:tc>
          <w:tcPr>
            <w:tcW w:w="1750" w:type="dxa"/>
            <w:tcBorders>
              <w:top w:val="single" w:sz="24"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58D339E4" w14:textId="77777777" w:rsidR="006A3D5B" w:rsidRPr="00843D17" w:rsidRDefault="006A3D5B" w:rsidP="006A3D5B">
            <w:pPr>
              <w:pStyle w:val="Sansinterligne"/>
              <w:spacing w:before="240"/>
              <w:rPr>
                <w:color w:val="FFFFFF" w:themeColor="background1"/>
              </w:rPr>
            </w:pPr>
            <w:r w:rsidRPr="00843D17">
              <w:rPr>
                <w:b/>
                <w:bCs/>
                <w:color w:val="FFFFFF" w:themeColor="background1"/>
              </w:rPr>
              <w:t>Nombre de jours d’arrêts</w:t>
            </w:r>
          </w:p>
        </w:tc>
        <w:tc>
          <w:tcPr>
            <w:tcW w:w="3430" w:type="dxa"/>
            <w:tcBorders>
              <w:top w:val="single" w:sz="24"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A60BDCA" w14:textId="77777777" w:rsidR="006A3D5B" w:rsidRPr="00843D17" w:rsidRDefault="006A3D5B" w:rsidP="006A3D5B">
            <w:pPr>
              <w:pStyle w:val="Sansinterligne"/>
              <w:spacing w:before="240"/>
            </w:pPr>
            <w:r w:rsidRPr="00843D17">
              <w:t>Volume total des jours d’arrêts sur l’année</w:t>
            </w:r>
          </w:p>
        </w:tc>
        <w:tc>
          <w:tcPr>
            <w:tcW w:w="4875" w:type="dxa"/>
            <w:tcBorders>
              <w:top w:val="single" w:sz="24"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2C5DBFAE" w14:textId="77777777" w:rsidR="00843D17" w:rsidRPr="00843D17" w:rsidRDefault="00843D17" w:rsidP="00154541">
            <w:pPr>
              <w:pStyle w:val="Sansinterligne"/>
              <w:numPr>
                <w:ilvl w:val="0"/>
                <w:numId w:val="35"/>
              </w:numPr>
              <w:spacing w:before="240"/>
            </w:pPr>
            <w:r w:rsidRPr="00843D17">
              <w:t>Prise de conscience des volumes</w:t>
            </w:r>
          </w:p>
          <w:p w14:paraId="238F5320" w14:textId="77777777" w:rsidR="00843D17" w:rsidRPr="00843D17" w:rsidRDefault="00843D17" w:rsidP="00154541">
            <w:pPr>
              <w:pStyle w:val="Sansinterligne"/>
              <w:numPr>
                <w:ilvl w:val="0"/>
                <w:numId w:val="35"/>
              </w:numPr>
              <w:spacing w:before="240"/>
            </w:pPr>
            <w:r w:rsidRPr="00843D17">
              <w:t xml:space="preserve">Identification des « masses » </w:t>
            </w:r>
            <w:r w:rsidRPr="00843D17">
              <w:sym w:font="Wingdings" w:char="F0E0"/>
            </w:r>
            <w:r w:rsidRPr="00843D17">
              <w:t xml:space="preserve"> focaliser l’action</w:t>
            </w:r>
          </w:p>
        </w:tc>
      </w:tr>
      <w:tr w:rsidR="006A3D5B" w:rsidRPr="00843D17" w14:paraId="3EF02FD9" w14:textId="77777777" w:rsidTr="006A3D5B">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336DF599" w14:textId="77777777" w:rsidR="006A3D5B" w:rsidRPr="00843D17" w:rsidRDefault="006A3D5B" w:rsidP="006A3D5B">
            <w:pPr>
              <w:pStyle w:val="Sansinterligne"/>
              <w:spacing w:before="240"/>
              <w:rPr>
                <w:color w:val="FFFFFF" w:themeColor="background1"/>
              </w:rPr>
            </w:pPr>
            <w:r w:rsidRPr="00843D17">
              <w:rPr>
                <w:b/>
                <w:bCs/>
                <w:color w:val="FFFFFF" w:themeColor="background1"/>
              </w:rPr>
              <w:t>Taux d’absentéisme</w:t>
            </w:r>
          </w:p>
        </w:tc>
        <w:tc>
          <w:tcPr>
            <w:tcW w:w="3430"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1C73CC2C" w14:textId="77777777" w:rsidR="006A3D5B" w:rsidRPr="00843D17" w:rsidRDefault="006A3D5B" w:rsidP="006A3D5B">
            <w:pPr>
              <w:pStyle w:val="Sansinterligne"/>
              <w:spacing w:before="240"/>
            </w:pPr>
            <w:r w:rsidRPr="00843D17">
              <w:t>Part des jours de l’année passés en arrêt de travail sur toute la population</w:t>
            </w:r>
          </w:p>
        </w:tc>
        <w:tc>
          <w:tcPr>
            <w:tcW w:w="4875"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216C6271" w14:textId="77777777" w:rsidR="00843D17" w:rsidRPr="00843D17" w:rsidRDefault="00843D17" w:rsidP="00154541">
            <w:pPr>
              <w:pStyle w:val="Sansinterligne"/>
              <w:numPr>
                <w:ilvl w:val="0"/>
                <w:numId w:val="36"/>
              </w:numPr>
              <w:spacing w:before="240"/>
            </w:pPr>
            <w:r w:rsidRPr="00843D17">
              <w:t>Pilotage global</w:t>
            </w:r>
          </w:p>
          <w:p w14:paraId="56095434" w14:textId="77777777" w:rsidR="00843D17" w:rsidRPr="00843D17" w:rsidRDefault="00843D17" w:rsidP="00154541">
            <w:pPr>
              <w:pStyle w:val="Sansinterligne"/>
              <w:numPr>
                <w:ilvl w:val="0"/>
                <w:numId w:val="36"/>
              </w:numPr>
              <w:spacing w:before="240"/>
            </w:pPr>
            <w:r w:rsidRPr="00843D17">
              <w:t>Comparaison à la concurrence</w:t>
            </w:r>
          </w:p>
        </w:tc>
      </w:tr>
      <w:tr w:rsidR="006A3D5B" w:rsidRPr="00843D17" w14:paraId="1558B86C" w14:textId="77777777" w:rsidTr="006A3D5B">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1F687352" w14:textId="77777777" w:rsidR="006A3D5B" w:rsidRPr="00843D17" w:rsidRDefault="006A3D5B" w:rsidP="006A3D5B">
            <w:pPr>
              <w:pStyle w:val="Sansinterligne"/>
              <w:spacing w:before="240"/>
              <w:rPr>
                <w:color w:val="FFFFFF" w:themeColor="background1"/>
              </w:rPr>
            </w:pPr>
            <w:r w:rsidRPr="00843D17">
              <w:rPr>
                <w:b/>
                <w:bCs/>
                <w:color w:val="FFFFFF" w:themeColor="background1"/>
              </w:rPr>
              <w:t>Prévalence</w:t>
            </w:r>
          </w:p>
        </w:tc>
        <w:tc>
          <w:tcPr>
            <w:tcW w:w="3430"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051CE251" w14:textId="77777777" w:rsidR="006A3D5B" w:rsidRPr="00843D17" w:rsidRDefault="006A3D5B" w:rsidP="006A3D5B">
            <w:pPr>
              <w:pStyle w:val="Sansinterligne"/>
              <w:spacing w:before="240"/>
            </w:pPr>
            <w:r w:rsidRPr="00843D17">
              <w:t>Part des salariés ayant eu au moins un arrêt dans l’année</w:t>
            </w:r>
          </w:p>
        </w:tc>
        <w:tc>
          <w:tcPr>
            <w:tcW w:w="4875"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4022E284" w14:textId="77777777" w:rsidR="00843D17" w:rsidRPr="00843D17" w:rsidRDefault="00843D17" w:rsidP="00154541">
            <w:pPr>
              <w:pStyle w:val="Sansinterligne"/>
              <w:numPr>
                <w:ilvl w:val="0"/>
                <w:numId w:val="37"/>
              </w:numPr>
              <w:spacing w:before="240"/>
            </w:pPr>
            <w:r w:rsidRPr="00843D17">
              <w:t>Indicateur du contexte socio-économique d’une entreprise et des risques psychosociaux</w:t>
            </w:r>
          </w:p>
        </w:tc>
      </w:tr>
      <w:tr w:rsidR="006A3D5B" w:rsidRPr="00843D17" w14:paraId="3F6B2126" w14:textId="77777777" w:rsidTr="006A3D5B">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07A7D23E" w14:textId="77777777" w:rsidR="006A3D5B" w:rsidRPr="00843D17" w:rsidRDefault="006A3D5B" w:rsidP="006A3D5B">
            <w:pPr>
              <w:pStyle w:val="Sansinterligne"/>
              <w:spacing w:before="240"/>
              <w:rPr>
                <w:color w:val="FFFFFF" w:themeColor="background1"/>
              </w:rPr>
            </w:pPr>
            <w:r w:rsidRPr="00843D17">
              <w:rPr>
                <w:b/>
                <w:bCs/>
                <w:color w:val="FFFFFF" w:themeColor="background1"/>
              </w:rPr>
              <w:t>Fréquence</w:t>
            </w:r>
          </w:p>
        </w:tc>
        <w:tc>
          <w:tcPr>
            <w:tcW w:w="3430"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4C39412E" w14:textId="77777777" w:rsidR="006A3D5B" w:rsidRPr="00843D17" w:rsidRDefault="006A3D5B" w:rsidP="006A3D5B">
            <w:pPr>
              <w:pStyle w:val="Sansinterligne"/>
              <w:spacing w:before="240"/>
            </w:pPr>
            <w:r w:rsidRPr="00843D17">
              <w:t>Nombre moyen d’arrêts par salarié dans l’année</w:t>
            </w:r>
          </w:p>
        </w:tc>
        <w:tc>
          <w:tcPr>
            <w:tcW w:w="4875"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4B866571" w14:textId="77777777" w:rsidR="00843D17" w:rsidRPr="00843D17" w:rsidRDefault="00843D17" w:rsidP="00154541">
            <w:pPr>
              <w:pStyle w:val="Sansinterligne"/>
              <w:numPr>
                <w:ilvl w:val="0"/>
                <w:numId w:val="38"/>
              </w:numPr>
              <w:spacing w:before="240"/>
            </w:pPr>
            <w:r w:rsidRPr="00843D17">
              <w:t>Analyse et comparaison des populations entre elles</w:t>
            </w:r>
          </w:p>
          <w:p w14:paraId="7DEE70D2" w14:textId="77777777" w:rsidR="00843D17" w:rsidRPr="00843D17" w:rsidRDefault="00843D17" w:rsidP="00154541">
            <w:pPr>
              <w:pStyle w:val="Sansinterligne"/>
              <w:numPr>
                <w:ilvl w:val="0"/>
                <w:numId w:val="38"/>
              </w:numPr>
              <w:spacing w:before="240"/>
            </w:pPr>
            <w:r w:rsidRPr="00843D17">
              <w:t>Analyse et comparaison des arrêts par durée</w:t>
            </w:r>
          </w:p>
        </w:tc>
      </w:tr>
      <w:tr w:rsidR="006A3D5B" w:rsidRPr="00843D17" w14:paraId="1C94ED9C" w14:textId="77777777" w:rsidTr="006A3D5B">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0BE38833" w14:textId="77777777" w:rsidR="006A3D5B" w:rsidRPr="00843D17" w:rsidRDefault="006A3D5B" w:rsidP="006A3D5B">
            <w:pPr>
              <w:pStyle w:val="Sansinterligne"/>
              <w:spacing w:before="240"/>
              <w:rPr>
                <w:color w:val="FFFFFF" w:themeColor="background1"/>
              </w:rPr>
            </w:pPr>
            <w:r w:rsidRPr="00843D17">
              <w:rPr>
                <w:b/>
                <w:bCs/>
                <w:color w:val="FFFFFF" w:themeColor="background1"/>
              </w:rPr>
              <w:t>Durée moyenne annuelle</w:t>
            </w:r>
          </w:p>
        </w:tc>
        <w:tc>
          <w:tcPr>
            <w:tcW w:w="3430"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2ECB464" w14:textId="77777777" w:rsidR="006A3D5B" w:rsidRPr="00843D17" w:rsidRDefault="006A3D5B" w:rsidP="006A3D5B">
            <w:pPr>
              <w:pStyle w:val="Sansinterligne"/>
              <w:spacing w:before="240"/>
            </w:pPr>
            <w:r w:rsidRPr="00843D17">
              <w:t>Nombre moyen de jours d’arrêt dans l’année pour un salarié arrêté au moins une fois</w:t>
            </w:r>
          </w:p>
        </w:tc>
        <w:tc>
          <w:tcPr>
            <w:tcW w:w="4875"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DD12C15" w14:textId="77777777" w:rsidR="00843D17" w:rsidRPr="00843D17" w:rsidRDefault="00843D17" w:rsidP="00154541">
            <w:pPr>
              <w:pStyle w:val="Sansinterligne"/>
              <w:numPr>
                <w:ilvl w:val="0"/>
                <w:numId w:val="39"/>
              </w:numPr>
              <w:spacing w:before="240"/>
            </w:pPr>
            <w:r w:rsidRPr="00843D17">
              <w:t>Indicateur notamment de la santé des salariés et du rôle de l’âge</w:t>
            </w:r>
          </w:p>
        </w:tc>
      </w:tr>
    </w:tbl>
    <w:p w14:paraId="061C249D" w14:textId="77777777" w:rsidR="00843D17" w:rsidRDefault="00843D17">
      <w:pPr>
        <w:jc w:val="left"/>
        <w:rPr>
          <w:rFonts w:eastAsiaTheme="majorEastAsia" w:cstheme="majorBidi"/>
          <w:color w:val="2F5496" w:themeColor="accent1" w:themeShade="BF"/>
          <w:sz w:val="26"/>
          <w:szCs w:val="26"/>
        </w:rPr>
      </w:pPr>
      <w:r>
        <w:br w:type="page"/>
      </w:r>
    </w:p>
    <w:p w14:paraId="0F86952F" w14:textId="6EC7E7FF" w:rsidR="00A103B7" w:rsidRDefault="00A103B7" w:rsidP="00A103B7">
      <w:pPr>
        <w:pStyle w:val="Titre2"/>
      </w:pPr>
      <w:bookmarkStart w:id="17" w:name="_Toc112883454"/>
      <w:r>
        <w:lastRenderedPageBreak/>
        <w:t>Quel est son coût réel sur les entreprises ?</w:t>
      </w:r>
      <w:bookmarkEnd w:id="17"/>
    </w:p>
    <w:p w14:paraId="5EC74AE0" w14:textId="6A14888D" w:rsidR="005F5B85" w:rsidRPr="00163B1C" w:rsidRDefault="005F5B85" w:rsidP="005F5B85">
      <w:pPr>
        <w:rPr>
          <w:b/>
          <w:bCs/>
        </w:rPr>
      </w:pPr>
    </w:p>
    <w:p w14:paraId="0A31D9ED" w14:textId="76CD726F" w:rsidR="006A3D5B" w:rsidRDefault="00EE78D8" w:rsidP="006A3D5B">
      <w:pPr>
        <w:pStyle w:val="Sansinterligne"/>
      </w:pPr>
      <w:r>
        <w:t>L’absentéisme engendre des coûts complexes en pratique pour l’entreprise</w:t>
      </w:r>
      <w:r w:rsidR="006A3D5B">
        <w:t>. Il existe deux types de coûts selon qu’ils soient directs ou indirects.</w:t>
      </w:r>
    </w:p>
    <w:p w14:paraId="42ABFBE5" w14:textId="77777777" w:rsidR="00EE78D8" w:rsidRDefault="00EE78D8" w:rsidP="006A3D5B">
      <w:pPr>
        <w:pStyle w:val="Sansinterligne"/>
      </w:pPr>
    </w:p>
    <w:p w14:paraId="35820A54" w14:textId="1F058065" w:rsidR="006A3D5B" w:rsidRDefault="006A3D5B" w:rsidP="00154541">
      <w:pPr>
        <w:pStyle w:val="Sansinterligne"/>
        <w:numPr>
          <w:ilvl w:val="0"/>
          <w:numId w:val="33"/>
        </w:numPr>
        <w:rPr>
          <w:rFonts w:ascii="Utopia-Bold" w:hAnsi="Utopia-Bold" w:cs="Utopia-Bold"/>
          <w:b/>
          <w:bCs/>
        </w:rPr>
      </w:pPr>
      <w:r>
        <w:rPr>
          <w:rFonts w:ascii="Utopia-Bold" w:hAnsi="Utopia-Bold" w:cs="Utopia-Bold"/>
          <w:b/>
          <w:bCs/>
        </w:rPr>
        <w:t xml:space="preserve">Les coûts directs : </w:t>
      </w:r>
    </w:p>
    <w:p w14:paraId="0E4A81ED" w14:textId="569FA0FC" w:rsidR="006A3D5B" w:rsidRPr="006A3D5B" w:rsidRDefault="006A3D5B" w:rsidP="006A3D5B">
      <w:pPr>
        <w:pStyle w:val="Sansinterligne"/>
      </w:pPr>
      <w:r>
        <w:t>Ce sont les plus simples à évaluer, puisqu’ils sont constitués principalement des montants de salaires et des cotisations sociales associés à la période d’absence d’un salarié. Ainsi, il s’agit de considérer le complément patronal durant l’absence du salarié par rapport aux</w:t>
      </w:r>
      <w:r>
        <w:rPr>
          <w:color w:val="000000"/>
        </w:rPr>
        <w:t xml:space="preserve"> indemnités journalières de la Sécurité sociale, et le maintien du salaire pendant le délai de carence.</w:t>
      </w:r>
    </w:p>
    <w:p w14:paraId="325A2CC2" w14:textId="5AEB4580" w:rsidR="006A3D5B" w:rsidRDefault="006A3D5B" w:rsidP="006A3D5B">
      <w:pPr>
        <w:pStyle w:val="Sansinterligne"/>
        <w:rPr>
          <w:color w:val="000000"/>
        </w:rPr>
      </w:pPr>
      <w:r>
        <w:rPr>
          <w:color w:val="000000"/>
        </w:rPr>
        <w:t>Ce coût d´dépend essentiellement de la politique RH de l’entreprise et de la convention collective : en effet, une entreprise peut décider si oui ou non elle souhaite maintenir le salaire d’un employé pendant le délai de carence en cas de maladie lorsque son ancienneté est inférieure `a un an.</w:t>
      </w:r>
    </w:p>
    <w:p w14:paraId="0ED61A04" w14:textId="77777777" w:rsidR="00EE78D8" w:rsidRDefault="00EE78D8" w:rsidP="006A3D5B">
      <w:pPr>
        <w:pStyle w:val="Sansinterligne"/>
        <w:rPr>
          <w:color w:val="000000"/>
        </w:rPr>
      </w:pPr>
    </w:p>
    <w:p w14:paraId="4873E338" w14:textId="5641C362" w:rsidR="006A3D5B" w:rsidRDefault="006A3D5B" w:rsidP="00154541">
      <w:pPr>
        <w:pStyle w:val="Sansinterligne"/>
        <w:numPr>
          <w:ilvl w:val="0"/>
          <w:numId w:val="33"/>
        </w:numPr>
        <w:rPr>
          <w:rFonts w:ascii="Utopia-Bold" w:hAnsi="Utopia-Bold" w:cs="Utopia-Bold"/>
          <w:b/>
          <w:bCs/>
          <w:color w:val="000000"/>
        </w:rPr>
      </w:pPr>
      <w:r>
        <w:rPr>
          <w:rFonts w:ascii="Utopia-Bold" w:hAnsi="Utopia-Bold" w:cs="Utopia-Bold"/>
          <w:b/>
          <w:bCs/>
          <w:color w:val="000000"/>
        </w:rPr>
        <w:t>Les co</w:t>
      </w:r>
      <w:r w:rsidR="00DF01E9">
        <w:rPr>
          <w:rFonts w:ascii="Utopia-Bold" w:hAnsi="Utopia-Bold" w:cs="Utopia-Bold"/>
          <w:b/>
          <w:bCs/>
          <w:color w:val="000000"/>
        </w:rPr>
        <w:t>û</w:t>
      </w:r>
      <w:r>
        <w:rPr>
          <w:rFonts w:ascii="Utopia-Bold" w:hAnsi="Utopia-Bold" w:cs="Utopia-Bold"/>
          <w:b/>
          <w:bCs/>
          <w:color w:val="000000"/>
        </w:rPr>
        <w:t>ts indirects</w:t>
      </w:r>
    </w:p>
    <w:p w14:paraId="346DBF65" w14:textId="438DB9E7" w:rsidR="006A3D5B" w:rsidRDefault="006A3D5B" w:rsidP="006A3D5B">
      <w:pPr>
        <w:pStyle w:val="Sansinterligne"/>
        <w:rPr>
          <w:color w:val="000000"/>
        </w:rPr>
      </w:pPr>
      <w:r>
        <w:rPr>
          <w:color w:val="000000"/>
        </w:rPr>
        <w:t>Il existe certains co</w:t>
      </w:r>
      <w:r w:rsidR="00DF01E9">
        <w:rPr>
          <w:color w:val="000000"/>
        </w:rPr>
        <w:t>û</w:t>
      </w:r>
      <w:r>
        <w:rPr>
          <w:color w:val="000000"/>
        </w:rPr>
        <w:t xml:space="preserve">ts, dits </w:t>
      </w:r>
      <w:r>
        <w:rPr>
          <w:rFonts w:ascii="Utopia-Italic" w:hAnsi="Utopia-Italic" w:cs="Utopia-Italic"/>
          <w:i/>
          <w:iCs/>
          <w:color w:val="000000"/>
        </w:rPr>
        <w:t>indirects</w:t>
      </w:r>
      <w:r>
        <w:rPr>
          <w:color w:val="000000"/>
        </w:rPr>
        <w:t xml:space="preserve">, </w:t>
      </w:r>
      <w:r w:rsidR="00DF01E9">
        <w:rPr>
          <w:color w:val="000000"/>
        </w:rPr>
        <w:t>reliés</w:t>
      </w:r>
      <w:r>
        <w:rPr>
          <w:color w:val="000000"/>
        </w:rPr>
        <w:t xml:space="preserve"> principalement `a des risques sociaux </w:t>
      </w:r>
      <w:r w:rsidR="00DF01E9">
        <w:rPr>
          <w:color w:val="000000"/>
        </w:rPr>
        <w:t xml:space="preserve">engendrés </w:t>
      </w:r>
      <w:r>
        <w:rPr>
          <w:color w:val="000000"/>
        </w:rPr>
        <w:t xml:space="preserve">par l’absence d’un </w:t>
      </w:r>
      <w:r w:rsidR="00DF01E9">
        <w:rPr>
          <w:color w:val="000000"/>
        </w:rPr>
        <w:t>salarié</w:t>
      </w:r>
      <w:r>
        <w:rPr>
          <w:color w:val="000000"/>
        </w:rPr>
        <w:t>, susceptibles de faire augmenter significativement le co</w:t>
      </w:r>
      <w:r w:rsidR="00DF01E9">
        <w:rPr>
          <w:color w:val="000000"/>
        </w:rPr>
        <w:t>û</w:t>
      </w:r>
      <w:r>
        <w:rPr>
          <w:color w:val="000000"/>
        </w:rPr>
        <w:t>t de l’absent</w:t>
      </w:r>
      <w:r w:rsidR="00DF01E9">
        <w:rPr>
          <w:color w:val="000000"/>
        </w:rPr>
        <w:t>é</w:t>
      </w:r>
      <w:r>
        <w:rPr>
          <w:color w:val="000000"/>
        </w:rPr>
        <w:t xml:space="preserve">isme. Parmi ceux-ci peuvent </w:t>
      </w:r>
      <w:r w:rsidR="00DF01E9">
        <w:rPr>
          <w:color w:val="000000"/>
        </w:rPr>
        <w:t>ê</w:t>
      </w:r>
      <w:r>
        <w:rPr>
          <w:color w:val="000000"/>
        </w:rPr>
        <w:t>tre nomm</w:t>
      </w:r>
      <w:r w:rsidR="00DF01E9">
        <w:rPr>
          <w:color w:val="000000"/>
        </w:rPr>
        <w:t>é</w:t>
      </w:r>
      <w:r>
        <w:rPr>
          <w:color w:val="000000"/>
        </w:rPr>
        <w:t>s :</w:t>
      </w:r>
    </w:p>
    <w:p w14:paraId="2F4FBF1F"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de remplacement </w:t>
      </w:r>
      <w:r w:rsidRPr="00EE78D8">
        <w:rPr>
          <w:b/>
          <w:bCs/>
          <w:color w:val="000000"/>
        </w:rPr>
        <w:t>:</w:t>
      </w:r>
      <w:r>
        <w:rPr>
          <w:color w:val="000000"/>
        </w:rPr>
        <w:t xml:space="preserve"> selon la politique RH de l’entreprise, un salari</w:t>
      </w:r>
      <w:r w:rsidR="00DF01E9">
        <w:rPr>
          <w:color w:val="000000"/>
        </w:rPr>
        <w:t>é</w:t>
      </w:r>
      <w:r>
        <w:rPr>
          <w:color w:val="000000"/>
        </w:rPr>
        <w:t xml:space="preserve"> absent</w:t>
      </w:r>
      <w:r w:rsidR="00DF01E9">
        <w:rPr>
          <w:color w:val="000000"/>
        </w:rPr>
        <w:t xml:space="preserve"> </w:t>
      </w:r>
      <w:r>
        <w:rPr>
          <w:color w:val="000000"/>
        </w:rPr>
        <w:t xml:space="preserve">peut </w:t>
      </w:r>
      <w:r w:rsidR="00DF01E9">
        <w:rPr>
          <w:color w:val="000000"/>
        </w:rPr>
        <w:t>ê</w:t>
      </w:r>
      <w:r>
        <w:rPr>
          <w:color w:val="000000"/>
        </w:rPr>
        <w:t xml:space="preserve">tre </w:t>
      </w:r>
      <w:r w:rsidR="00DF01E9">
        <w:rPr>
          <w:color w:val="000000"/>
        </w:rPr>
        <w:t>remplacé</w:t>
      </w:r>
      <w:r>
        <w:rPr>
          <w:color w:val="000000"/>
        </w:rPr>
        <w:t xml:space="preserve"> par un autre </w:t>
      </w:r>
      <w:r w:rsidR="00DF01E9">
        <w:rPr>
          <w:color w:val="000000"/>
        </w:rPr>
        <w:t>salarié</w:t>
      </w:r>
      <w:r>
        <w:rPr>
          <w:color w:val="000000"/>
        </w:rPr>
        <w:t>, en CDD ou en int</w:t>
      </w:r>
      <w:r w:rsidR="00DF01E9">
        <w:rPr>
          <w:color w:val="000000"/>
        </w:rPr>
        <w:t>éri</w:t>
      </w:r>
      <w:r>
        <w:rPr>
          <w:color w:val="000000"/>
        </w:rPr>
        <w:t>m, ce qui engendrera</w:t>
      </w:r>
      <w:r w:rsidR="00DF01E9">
        <w:rPr>
          <w:color w:val="000000"/>
        </w:rPr>
        <w:t xml:space="preserve"> </w:t>
      </w:r>
      <w:r>
        <w:rPr>
          <w:color w:val="000000"/>
        </w:rPr>
        <w:t>n</w:t>
      </w:r>
      <w:r w:rsidR="00DF01E9">
        <w:rPr>
          <w:color w:val="000000"/>
        </w:rPr>
        <w:t>é</w:t>
      </w:r>
      <w:r>
        <w:rPr>
          <w:color w:val="000000"/>
        </w:rPr>
        <w:t>cessairement un co</w:t>
      </w:r>
      <w:r w:rsidR="00DF01E9">
        <w:rPr>
          <w:color w:val="000000"/>
        </w:rPr>
        <w:t>û</w:t>
      </w:r>
      <w:r>
        <w:rPr>
          <w:color w:val="000000"/>
        </w:rPr>
        <w:t>t suppl</w:t>
      </w:r>
      <w:r w:rsidR="00DF01E9">
        <w:rPr>
          <w:color w:val="000000"/>
        </w:rPr>
        <w:t>é</w:t>
      </w:r>
      <w:r>
        <w:rPr>
          <w:color w:val="000000"/>
        </w:rPr>
        <w:t xml:space="preserve">mentaire </w:t>
      </w:r>
      <w:r w:rsidR="00DF01E9">
        <w:rPr>
          <w:color w:val="000000"/>
        </w:rPr>
        <w:t>à</w:t>
      </w:r>
      <w:r>
        <w:rPr>
          <w:color w:val="000000"/>
        </w:rPr>
        <w:t xml:space="preserve"> l’entreprise.</w:t>
      </w:r>
    </w:p>
    <w:p w14:paraId="2008CA39"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de gestion </w:t>
      </w:r>
      <w:r w:rsidRPr="00EE78D8">
        <w:rPr>
          <w:color w:val="000000"/>
        </w:rPr>
        <w:t>: la gestion des absences reste un processus long et co</w:t>
      </w:r>
      <w:r w:rsidR="00DF01E9" w:rsidRPr="00EE78D8">
        <w:rPr>
          <w:color w:val="000000"/>
        </w:rPr>
        <w:t>û</w:t>
      </w:r>
      <w:r w:rsidRPr="00EE78D8">
        <w:rPr>
          <w:color w:val="000000"/>
        </w:rPr>
        <w:t>teux</w:t>
      </w:r>
      <w:r w:rsidR="00DF01E9" w:rsidRPr="00EE78D8">
        <w:rPr>
          <w:color w:val="000000"/>
        </w:rPr>
        <w:t xml:space="preserve"> </w:t>
      </w:r>
      <w:r w:rsidRPr="00EE78D8">
        <w:rPr>
          <w:color w:val="000000"/>
        </w:rPr>
        <w:t>pour les ressources humaines.</w:t>
      </w:r>
    </w:p>
    <w:p w14:paraId="2CD79606"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ts li</w:t>
      </w:r>
      <w:r w:rsidR="00DF01E9" w:rsidRPr="00EE78D8">
        <w:rPr>
          <w:rFonts w:ascii="Utopia-Bold" w:hAnsi="Utopia-Bold" w:cs="Utopia-Bold"/>
          <w:b/>
          <w:bCs/>
          <w:color w:val="000000"/>
        </w:rPr>
        <w:t>é</w:t>
      </w:r>
      <w:r w:rsidRPr="00EE78D8">
        <w:rPr>
          <w:rFonts w:ascii="Utopia-Bold" w:hAnsi="Utopia-Bold" w:cs="Utopia-Bold"/>
          <w:b/>
          <w:bCs/>
          <w:color w:val="000000"/>
        </w:rPr>
        <w:t xml:space="preserve">s aux dysfonctionnements organisationnels </w:t>
      </w:r>
      <w:r w:rsidRPr="00EE78D8">
        <w:rPr>
          <w:b/>
          <w:bCs/>
          <w:color w:val="000000"/>
        </w:rPr>
        <w:t>:</w:t>
      </w:r>
      <w:r w:rsidRPr="00EE78D8">
        <w:rPr>
          <w:color w:val="000000"/>
        </w:rPr>
        <w:t xml:space="preserve"> une absence provoque</w:t>
      </w:r>
      <w:r w:rsidR="00DF01E9" w:rsidRPr="00EE78D8">
        <w:rPr>
          <w:color w:val="000000"/>
        </w:rPr>
        <w:t xml:space="preserve"> </w:t>
      </w:r>
      <w:r w:rsidRPr="00EE78D8">
        <w:rPr>
          <w:color w:val="000000"/>
        </w:rPr>
        <w:t>effectivement</w:t>
      </w:r>
      <w:r w:rsidR="00DF01E9" w:rsidRPr="00EE78D8">
        <w:rPr>
          <w:color w:val="000000"/>
        </w:rPr>
        <w:t xml:space="preserve"> </w:t>
      </w:r>
      <w:r w:rsidRPr="00EE78D8">
        <w:rPr>
          <w:color w:val="000000"/>
        </w:rPr>
        <w:t xml:space="preserve">un dysfonctionnement dans son </w:t>
      </w:r>
      <w:r w:rsidR="00DF01E9" w:rsidRPr="00EE78D8">
        <w:rPr>
          <w:color w:val="000000"/>
        </w:rPr>
        <w:t>é</w:t>
      </w:r>
      <w:r w:rsidRPr="00EE78D8">
        <w:rPr>
          <w:color w:val="000000"/>
        </w:rPr>
        <w:t>quipe puisque les t</w:t>
      </w:r>
      <w:r w:rsidR="00DF01E9" w:rsidRPr="00EE78D8">
        <w:rPr>
          <w:color w:val="000000"/>
        </w:rPr>
        <w:t>â</w:t>
      </w:r>
      <w:r w:rsidRPr="00EE78D8">
        <w:rPr>
          <w:color w:val="000000"/>
        </w:rPr>
        <w:t>ches qui lui reviendraient</w:t>
      </w:r>
      <w:r w:rsidR="00DF01E9" w:rsidRPr="00EE78D8">
        <w:rPr>
          <w:color w:val="000000"/>
        </w:rPr>
        <w:t xml:space="preserve"> </w:t>
      </w:r>
      <w:r w:rsidRPr="00EE78D8">
        <w:rPr>
          <w:color w:val="000000"/>
        </w:rPr>
        <w:t xml:space="preserve">en temps normal doivent </w:t>
      </w:r>
      <w:r w:rsidR="00DF01E9" w:rsidRPr="00EE78D8">
        <w:rPr>
          <w:color w:val="000000"/>
        </w:rPr>
        <w:t>ê</w:t>
      </w:r>
      <w:r w:rsidRPr="00EE78D8">
        <w:rPr>
          <w:color w:val="000000"/>
        </w:rPr>
        <w:t xml:space="preserve">tre </w:t>
      </w:r>
      <w:r w:rsidR="00DF01E9" w:rsidRPr="00EE78D8">
        <w:rPr>
          <w:color w:val="000000"/>
        </w:rPr>
        <w:t>redistribuées</w:t>
      </w:r>
      <w:r w:rsidRPr="00EE78D8">
        <w:rPr>
          <w:color w:val="000000"/>
        </w:rPr>
        <w:t xml:space="preserve"> </w:t>
      </w:r>
      <w:r w:rsidR="00DF01E9" w:rsidRPr="00EE78D8">
        <w:rPr>
          <w:color w:val="000000"/>
        </w:rPr>
        <w:t>à</w:t>
      </w:r>
      <w:r w:rsidRPr="00EE78D8">
        <w:rPr>
          <w:color w:val="000000"/>
        </w:rPr>
        <w:t xml:space="preserve"> d’autres </w:t>
      </w:r>
      <w:r w:rsidR="00DF01E9" w:rsidRPr="00EE78D8">
        <w:rPr>
          <w:color w:val="000000"/>
        </w:rPr>
        <w:t>salariés</w:t>
      </w:r>
      <w:r w:rsidRPr="00EE78D8">
        <w:rPr>
          <w:color w:val="000000"/>
        </w:rPr>
        <w:t>. A ce titre, elles</w:t>
      </w:r>
      <w:r w:rsidR="00DF01E9" w:rsidRPr="00EE78D8">
        <w:rPr>
          <w:color w:val="000000"/>
        </w:rPr>
        <w:t xml:space="preserve"> </w:t>
      </w:r>
      <w:r w:rsidRPr="00EE78D8">
        <w:rPr>
          <w:color w:val="000000"/>
        </w:rPr>
        <w:t xml:space="preserve">peuvent </w:t>
      </w:r>
      <w:r w:rsidR="00DF01E9" w:rsidRPr="00EE78D8">
        <w:rPr>
          <w:color w:val="000000"/>
        </w:rPr>
        <w:t>ê</w:t>
      </w:r>
      <w:r w:rsidRPr="00EE78D8">
        <w:rPr>
          <w:color w:val="000000"/>
        </w:rPr>
        <w:t xml:space="preserve">tre </w:t>
      </w:r>
      <w:r w:rsidR="00DF01E9" w:rsidRPr="00EE78D8">
        <w:rPr>
          <w:color w:val="000000"/>
        </w:rPr>
        <w:t>redistribuées</w:t>
      </w:r>
      <w:r w:rsidRPr="00EE78D8">
        <w:rPr>
          <w:color w:val="000000"/>
        </w:rPr>
        <w:t xml:space="preserve"> </w:t>
      </w:r>
      <w:r w:rsidR="00DF01E9" w:rsidRPr="00EE78D8">
        <w:rPr>
          <w:color w:val="000000"/>
        </w:rPr>
        <w:t>à</w:t>
      </w:r>
      <w:r w:rsidRPr="00EE78D8">
        <w:rPr>
          <w:color w:val="000000"/>
        </w:rPr>
        <w:t xml:space="preserve"> des coll</w:t>
      </w:r>
      <w:r w:rsidR="00DF01E9" w:rsidRPr="00EE78D8">
        <w:rPr>
          <w:color w:val="000000"/>
        </w:rPr>
        <w:t>è</w:t>
      </w:r>
      <w:r w:rsidRPr="00EE78D8">
        <w:rPr>
          <w:color w:val="000000"/>
        </w:rPr>
        <w:t>gues, ce qui pourra engendrer des heures suppl</w:t>
      </w:r>
      <w:r w:rsidR="00DF01E9" w:rsidRPr="00EE78D8">
        <w:rPr>
          <w:color w:val="000000"/>
        </w:rPr>
        <w:t>é</w:t>
      </w:r>
      <w:r w:rsidRPr="00EE78D8">
        <w:rPr>
          <w:color w:val="000000"/>
        </w:rPr>
        <w:t>mentaires,</w:t>
      </w:r>
      <w:r w:rsidR="00DF01E9" w:rsidRPr="00EE78D8">
        <w:rPr>
          <w:color w:val="000000"/>
        </w:rPr>
        <w:t xml:space="preserve"> </w:t>
      </w:r>
      <w:r w:rsidRPr="00EE78D8">
        <w:rPr>
          <w:color w:val="000000"/>
        </w:rPr>
        <w:t xml:space="preserve">ou elles peuvent </w:t>
      </w:r>
      <w:r w:rsidR="00DF01E9" w:rsidRPr="00EE78D8">
        <w:rPr>
          <w:color w:val="000000"/>
        </w:rPr>
        <w:t>ê</w:t>
      </w:r>
      <w:r w:rsidRPr="00EE78D8">
        <w:rPr>
          <w:color w:val="000000"/>
        </w:rPr>
        <w:t>tre relay</w:t>
      </w:r>
      <w:r w:rsidR="00DF01E9" w:rsidRPr="00EE78D8">
        <w:rPr>
          <w:color w:val="000000"/>
        </w:rPr>
        <w:t>é</w:t>
      </w:r>
      <w:r w:rsidRPr="00EE78D8">
        <w:rPr>
          <w:color w:val="000000"/>
        </w:rPr>
        <w:t xml:space="preserve">es </w:t>
      </w:r>
      <w:r w:rsidR="00DF01E9" w:rsidRPr="00EE78D8">
        <w:rPr>
          <w:color w:val="000000"/>
        </w:rPr>
        <w:t>à</w:t>
      </w:r>
      <w:r w:rsidRPr="00EE78D8">
        <w:rPr>
          <w:color w:val="000000"/>
        </w:rPr>
        <w:t xml:space="preserve"> un rempla</w:t>
      </w:r>
      <w:r w:rsidR="00DF01E9" w:rsidRPr="00EE78D8">
        <w:rPr>
          <w:color w:val="000000"/>
        </w:rPr>
        <w:t>ç</w:t>
      </w:r>
      <w:r w:rsidRPr="00EE78D8">
        <w:rPr>
          <w:color w:val="000000"/>
        </w:rPr>
        <w:t>ant qu’il faudra alors former.</w:t>
      </w:r>
    </w:p>
    <w:p w14:paraId="0FCF1A09"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ts d’</w:t>
      </w:r>
      <w:r w:rsidR="00DF01E9" w:rsidRPr="00EE78D8">
        <w:rPr>
          <w:rFonts w:ascii="Utopia-Bold" w:hAnsi="Utopia-Bold" w:cs="Utopia-Bold"/>
          <w:b/>
          <w:bCs/>
          <w:color w:val="000000"/>
        </w:rPr>
        <w:t>improductivité</w:t>
      </w:r>
      <w:r w:rsidRPr="00EE78D8">
        <w:rPr>
          <w:rFonts w:ascii="Utopia-Bold" w:hAnsi="Utopia-Bold" w:cs="Utopia-Bold"/>
          <w:b/>
          <w:bCs/>
          <w:color w:val="000000"/>
        </w:rPr>
        <w:t xml:space="preserve"> </w:t>
      </w:r>
      <w:r w:rsidRPr="00EE78D8">
        <w:rPr>
          <w:b/>
          <w:bCs/>
          <w:color w:val="000000"/>
        </w:rPr>
        <w:t>:</w:t>
      </w:r>
      <w:r w:rsidRPr="00EE78D8">
        <w:rPr>
          <w:color w:val="000000"/>
        </w:rPr>
        <w:t xml:space="preserve"> Une personne </w:t>
      </w:r>
      <w:r w:rsidR="00DF01E9" w:rsidRPr="00EE78D8">
        <w:rPr>
          <w:color w:val="000000"/>
        </w:rPr>
        <w:t>remplaçant</w:t>
      </w:r>
      <w:r w:rsidRPr="00EE78D8">
        <w:rPr>
          <w:color w:val="000000"/>
        </w:rPr>
        <w:t xml:space="preserve"> un </w:t>
      </w:r>
      <w:r w:rsidR="00DF01E9" w:rsidRPr="00EE78D8">
        <w:rPr>
          <w:color w:val="000000"/>
        </w:rPr>
        <w:t>salarié</w:t>
      </w:r>
      <w:r w:rsidRPr="00EE78D8">
        <w:rPr>
          <w:color w:val="000000"/>
        </w:rPr>
        <w:t xml:space="preserve"> absent aura besoin</w:t>
      </w:r>
      <w:r w:rsidR="00DF01E9" w:rsidRPr="00EE78D8">
        <w:rPr>
          <w:color w:val="000000"/>
        </w:rPr>
        <w:t xml:space="preserve"> </w:t>
      </w:r>
      <w:r w:rsidRPr="00EE78D8">
        <w:rPr>
          <w:color w:val="000000"/>
        </w:rPr>
        <w:t xml:space="preserve">de temps pour se former aux </w:t>
      </w:r>
      <w:r w:rsidR="00DF01E9" w:rsidRPr="00EE78D8">
        <w:rPr>
          <w:color w:val="000000"/>
        </w:rPr>
        <w:t>différentes</w:t>
      </w:r>
      <w:r w:rsidRPr="00EE78D8">
        <w:rPr>
          <w:color w:val="000000"/>
        </w:rPr>
        <w:t xml:space="preserve"> </w:t>
      </w:r>
      <w:r w:rsidR="00DF01E9" w:rsidRPr="00EE78D8">
        <w:rPr>
          <w:color w:val="000000"/>
        </w:rPr>
        <w:t>tâches</w:t>
      </w:r>
      <w:r w:rsidRPr="00EE78D8">
        <w:rPr>
          <w:color w:val="000000"/>
        </w:rPr>
        <w:t xml:space="preserve"> qui lui seront </w:t>
      </w:r>
      <w:r w:rsidR="00DF01E9" w:rsidRPr="00EE78D8">
        <w:rPr>
          <w:color w:val="000000"/>
        </w:rPr>
        <w:t>confiées</w:t>
      </w:r>
      <w:r w:rsidRPr="00EE78D8">
        <w:rPr>
          <w:color w:val="000000"/>
        </w:rPr>
        <w:t>, et seront moins</w:t>
      </w:r>
      <w:r w:rsidR="00DF01E9" w:rsidRPr="00EE78D8">
        <w:rPr>
          <w:color w:val="000000"/>
        </w:rPr>
        <w:t xml:space="preserve"> </w:t>
      </w:r>
      <w:r w:rsidRPr="00EE78D8">
        <w:rPr>
          <w:color w:val="000000"/>
        </w:rPr>
        <w:t xml:space="preserve">efficaces que le </w:t>
      </w:r>
      <w:r w:rsidR="00DF01E9" w:rsidRPr="00EE78D8">
        <w:rPr>
          <w:color w:val="000000"/>
        </w:rPr>
        <w:t>salarié</w:t>
      </w:r>
      <w:r w:rsidRPr="00EE78D8">
        <w:rPr>
          <w:color w:val="000000"/>
        </w:rPr>
        <w:t xml:space="preserve"> </w:t>
      </w:r>
      <w:r w:rsidR="00DF01E9" w:rsidRPr="00EE78D8">
        <w:rPr>
          <w:color w:val="000000"/>
        </w:rPr>
        <w:t>remplacé</w:t>
      </w:r>
      <w:r w:rsidRPr="00EE78D8">
        <w:rPr>
          <w:color w:val="000000"/>
        </w:rPr>
        <w:t>.</w:t>
      </w:r>
    </w:p>
    <w:p w14:paraId="4703C5F0"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sociaux </w:t>
      </w:r>
      <w:r w:rsidRPr="00EE78D8">
        <w:rPr>
          <w:b/>
          <w:bCs/>
          <w:color w:val="000000"/>
        </w:rPr>
        <w:t>:</w:t>
      </w:r>
      <w:r w:rsidRPr="00EE78D8">
        <w:rPr>
          <w:color w:val="000000"/>
        </w:rPr>
        <w:t xml:space="preserve"> les d</w:t>
      </w:r>
      <w:r w:rsidR="00DF01E9" w:rsidRPr="00EE78D8">
        <w:rPr>
          <w:color w:val="000000"/>
        </w:rPr>
        <w:t>é</w:t>
      </w:r>
      <w:r w:rsidRPr="00EE78D8">
        <w:rPr>
          <w:color w:val="000000"/>
        </w:rPr>
        <w:t>penses et la r</w:t>
      </w:r>
      <w:r w:rsidR="00DF01E9" w:rsidRPr="00EE78D8">
        <w:rPr>
          <w:color w:val="000000"/>
        </w:rPr>
        <w:t>é</w:t>
      </w:r>
      <w:r w:rsidRPr="00EE78D8">
        <w:rPr>
          <w:color w:val="000000"/>
        </w:rPr>
        <w:t>organisation du travail engendr</w:t>
      </w:r>
      <w:r w:rsidR="00DF01E9" w:rsidRPr="00EE78D8">
        <w:rPr>
          <w:color w:val="000000"/>
        </w:rPr>
        <w:t>é</w:t>
      </w:r>
      <w:r w:rsidRPr="00EE78D8">
        <w:rPr>
          <w:color w:val="000000"/>
        </w:rPr>
        <w:t>es par une</w:t>
      </w:r>
      <w:r w:rsidR="00DF01E9" w:rsidRPr="00EE78D8">
        <w:rPr>
          <w:color w:val="000000"/>
        </w:rPr>
        <w:t xml:space="preserve"> </w:t>
      </w:r>
      <w:r w:rsidRPr="00EE78D8">
        <w:rPr>
          <w:color w:val="000000"/>
        </w:rPr>
        <w:t>absence peuvent venir d</w:t>
      </w:r>
      <w:r w:rsidR="00DF01E9" w:rsidRPr="00EE78D8">
        <w:rPr>
          <w:color w:val="000000"/>
        </w:rPr>
        <w:t>é</w:t>
      </w:r>
      <w:r w:rsidRPr="00EE78D8">
        <w:rPr>
          <w:color w:val="000000"/>
        </w:rPr>
        <w:t>grader le climat social puisque les salari</w:t>
      </w:r>
      <w:r w:rsidR="00DF01E9" w:rsidRPr="00EE78D8">
        <w:rPr>
          <w:color w:val="000000"/>
        </w:rPr>
        <w:t>é</w:t>
      </w:r>
      <w:r w:rsidRPr="00EE78D8">
        <w:rPr>
          <w:color w:val="000000"/>
        </w:rPr>
        <w:t>s pr</w:t>
      </w:r>
      <w:r w:rsidR="00DF01E9" w:rsidRPr="00EE78D8">
        <w:rPr>
          <w:color w:val="000000"/>
        </w:rPr>
        <w:t>é</w:t>
      </w:r>
      <w:r w:rsidRPr="00EE78D8">
        <w:rPr>
          <w:color w:val="000000"/>
        </w:rPr>
        <w:t>sents peuvent voir</w:t>
      </w:r>
      <w:r w:rsidR="00DF01E9" w:rsidRPr="00EE78D8">
        <w:rPr>
          <w:color w:val="000000"/>
        </w:rPr>
        <w:t xml:space="preserve"> </w:t>
      </w:r>
      <w:r w:rsidRPr="00EE78D8">
        <w:rPr>
          <w:color w:val="000000"/>
        </w:rPr>
        <w:t>leur charge de travail augmenter significativement.</w:t>
      </w:r>
    </w:p>
    <w:p w14:paraId="78D4C03C" w14:textId="67D73B1D" w:rsidR="00163B1C" w:rsidRP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d’image </w:t>
      </w:r>
      <w:r w:rsidRPr="00EE78D8">
        <w:rPr>
          <w:b/>
          <w:bCs/>
          <w:color w:val="000000"/>
        </w:rPr>
        <w:t>:</w:t>
      </w:r>
      <w:r w:rsidRPr="00EE78D8">
        <w:rPr>
          <w:color w:val="000000"/>
        </w:rPr>
        <w:t xml:space="preserve"> le risque de perdre en </w:t>
      </w:r>
      <w:r w:rsidR="00DF01E9" w:rsidRPr="00EE78D8">
        <w:rPr>
          <w:color w:val="000000"/>
        </w:rPr>
        <w:t>productivité</w:t>
      </w:r>
      <w:r w:rsidRPr="00EE78D8">
        <w:rPr>
          <w:color w:val="000000"/>
        </w:rPr>
        <w:t xml:space="preserve"> </w:t>
      </w:r>
      <w:r w:rsidR="00DF01E9" w:rsidRPr="00EE78D8">
        <w:rPr>
          <w:color w:val="000000"/>
        </w:rPr>
        <w:t>é</w:t>
      </w:r>
      <w:r w:rsidRPr="00EE78D8">
        <w:rPr>
          <w:color w:val="000000"/>
        </w:rPr>
        <w:t>tant tr</w:t>
      </w:r>
      <w:r w:rsidR="00DF01E9" w:rsidRPr="00EE78D8">
        <w:rPr>
          <w:color w:val="000000"/>
        </w:rPr>
        <w:t>è</w:t>
      </w:r>
      <w:r w:rsidRPr="00EE78D8">
        <w:rPr>
          <w:color w:val="000000"/>
        </w:rPr>
        <w:t xml:space="preserve">s </w:t>
      </w:r>
      <w:r w:rsidR="00DF01E9" w:rsidRPr="00EE78D8">
        <w:rPr>
          <w:color w:val="000000"/>
        </w:rPr>
        <w:t>prononcé</w:t>
      </w:r>
      <w:r w:rsidRPr="00EE78D8">
        <w:rPr>
          <w:color w:val="000000"/>
        </w:rPr>
        <w:t>,</w:t>
      </w:r>
    </w:p>
    <w:p w14:paraId="64EAEA5E" w14:textId="232E0A7E" w:rsidR="00163B1C" w:rsidRPr="00163B1C" w:rsidRDefault="00163B1C" w:rsidP="00163B1C">
      <w:pPr>
        <w:rPr>
          <w:b/>
          <w:bCs/>
        </w:rPr>
      </w:pPr>
    </w:p>
    <w:p w14:paraId="38553E4B" w14:textId="394397C4" w:rsidR="00163B1C" w:rsidRPr="00163B1C" w:rsidRDefault="00163B1C" w:rsidP="00163B1C">
      <w:pPr>
        <w:rPr>
          <w:b/>
          <w:bCs/>
        </w:rPr>
      </w:pPr>
    </w:p>
    <w:p w14:paraId="7C1870AE" w14:textId="77777777" w:rsidR="00C57E5E" w:rsidRDefault="00C57E5E">
      <w:pPr>
        <w:jc w:val="left"/>
        <w:rPr>
          <w:rFonts w:asciiTheme="majorHAnsi" w:eastAsiaTheme="majorEastAsia" w:hAnsiTheme="majorHAnsi" w:cstheme="majorBidi"/>
          <w:spacing w:val="-10"/>
          <w:kern w:val="28"/>
          <w:sz w:val="56"/>
          <w:szCs w:val="56"/>
        </w:rPr>
      </w:pPr>
      <w:r>
        <w:br w:type="page"/>
      </w:r>
    </w:p>
    <w:p w14:paraId="24138CA4" w14:textId="74A86ADC" w:rsidR="00260AC0" w:rsidRDefault="00260AC0" w:rsidP="006E5444">
      <w:pPr>
        <w:pStyle w:val="Titre1"/>
      </w:pPr>
      <w:r>
        <w:lastRenderedPageBreak/>
        <w:t>Etude de la base de données :</w:t>
      </w:r>
    </w:p>
    <w:p w14:paraId="1D072FCB" w14:textId="77777777" w:rsidR="00260AC0" w:rsidRDefault="00260AC0" w:rsidP="00260AC0"/>
    <w:p w14:paraId="5E760429" w14:textId="77777777" w:rsidR="00260AC0" w:rsidRDefault="00260AC0" w:rsidP="006E5444">
      <w:pPr>
        <w:pStyle w:val="Titre2"/>
      </w:pPr>
      <w:bookmarkStart w:id="18" w:name="_Toc111644466"/>
      <w:bookmarkStart w:id="19" w:name="_Toc112883455"/>
      <w:r>
        <w:t>Présentation de la base données</w:t>
      </w:r>
      <w:bookmarkEnd w:id="18"/>
      <w:bookmarkEnd w:id="19"/>
    </w:p>
    <w:p w14:paraId="708A8A8F" w14:textId="77777777" w:rsidR="00260AC0" w:rsidRPr="002F2F04" w:rsidRDefault="00260AC0" w:rsidP="00260AC0"/>
    <w:p w14:paraId="0DF27ED9" w14:textId="77777777" w:rsidR="00260AC0" w:rsidRDefault="00260AC0" w:rsidP="006E5444">
      <w:pPr>
        <w:pStyle w:val="Titre3"/>
      </w:pPr>
      <w:bookmarkStart w:id="20" w:name="_Toc111644467"/>
      <w:bookmarkStart w:id="21" w:name="_Toc112883456"/>
      <w:r>
        <w:t>Extraction de la base de données</w:t>
      </w:r>
      <w:bookmarkEnd w:id="20"/>
      <w:bookmarkEnd w:id="21"/>
    </w:p>
    <w:p w14:paraId="2AF8F7B7" w14:textId="77777777" w:rsidR="00260AC0" w:rsidRPr="00D1236C" w:rsidRDefault="00260AC0" w:rsidP="00260AC0"/>
    <w:p w14:paraId="2C43F9C1" w14:textId="77777777" w:rsidR="00260AC0" w:rsidRDefault="00260AC0" w:rsidP="00260AC0">
      <w:pPr>
        <w:pStyle w:val="Sansinterligne"/>
      </w:pPr>
      <w:r>
        <w:t>Les données que nous utilisons pour cette étude sont des données de prestation en prévoyance collective du portefeuille de Generali VIE fournies par la direction de la Techniques Assurance.</w:t>
      </w:r>
    </w:p>
    <w:p w14:paraId="46D12586" w14:textId="77777777" w:rsidR="00260AC0" w:rsidRDefault="00260AC0" w:rsidP="00260AC0">
      <w:pPr>
        <w:pStyle w:val="Sansinterligne"/>
      </w:pPr>
      <w:r>
        <w:t>Cette base de données est alimentée par les équipes de gestion, actualisée et mise à jour chaque mois puis importé dans le logiciel de gestion AVT, utilisé par l’ensemble des équipes de souscription et surveillance de portefeuille pour leurs opérations au quotidien.</w:t>
      </w:r>
    </w:p>
    <w:p w14:paraId="6099594C" w14:textId="77777777" w:rsidR="00260AC0" w:rsidRDefault="00260AC0" w:rsidP="00260AC0">
      <w:pPr>
        <w:pStyle w:val="Sansinterligne"/>
      </w:pPr>
      <w:r>
        <w:t xml:space="preserve">Cette base de données nous donne accès à l’ensemble des sinistres ITIP survenu sur le périmètre collectif depuis 2012. </w:t>
      </w:r>
    </w:p>
    <w:p w14:paraId="7603ADB8" w14:textId="77777777" w:rsidR="00260AC0" w:rsidRDefault="00260AC0" w:rsidP="00260AC0">
      <w:pPr>
        <w:pStyle w:val="Sansinterligne"/>
      </w:pPr>
      <w:r>
        <w:t>Nous allons à présent nous focaliser dans le détail de la structure de cette base de données et des informations qu’elle pourra nous apporter dans notre démarche.</w:t>
      </w:r>
    </w:p>
    <w:p w14:paraId="062C6861" w14:textId="77777777" w:rsidR="00260AC0" w:rsidRDefault="00260AC0" w:rsidP="00260AC0">
      <w:pPr>
        <w:spacing w:after="0"/>
        <w:jc w:val="left"/>
      </w:pPr>
    </w:p>
    <w:p w14:paraId="70AD0084" w14:textId="77777777" w:rsidR="00260AC0" w:rsidRPr="002F2F04" w:rsidRDefault="00260AC0" w:rsidP="006E5444">
      <w:pPr>
        <w:pStyle w:val="Titre3"/>
      </w:pPr>
      <w:bookmarkStart w:id="22" w:name="_Toc111644468"/>
      <w:bookmarkStart w:id="23" w:name="_Toc112883457"/>
      <w:r>
        <w:t>Quelle est la structure de la base de données d’étude ?</w:t>
      </w:r>
      <w:bookmarkEnd w:id="22"/>
      <w:bookmarkEnd w:id="23"/>
    </w:p>
    <w:p w14:paraId="37F9B965" w14:textId="77777777" w:rsidR="00260AC0" w:rsidRDefault="00260AC0" w:rsidP="00260AC0">
      <w:pPr>
        <w:pStyle w:val="Sansinterligne"/>
        <w:spacing w:before="240"/>
      </w:pPr>
      <w:r>
        <w:t>La base de données d’étude est structurée par ligne, chacune d’elle correspond à un sinistre prévoyance, voici une liste non-exhaustive des garanties couvertes :</w:t>
      </w:r>
    </w:p>
    <w:p w14:paraId="024A31D6" w14:textId="77777777" w:rsidR="00260AC0" w:rsidRDefault="00260AC0" w:rsidP="00260AC0">
      <w:pPr>
        <w:pStyle w:val="Sansinterligne"/>
      </w:pPr>
    </w:p>
    <w:p w14:paraId="73667F8F" w14:textId="77777777" w:rsidR="00260AC0" w:rsidRDefault="00260AC0" w:rsidP="00260AC0">
      <w:pPr>
        <w:pStyle w:val="Sansinterligne"/>
        <w:jc w:val="center"/>
      </w:pPr>
      <w:r>
        <w:rPr>
          <w:noProof/>
        </w:rPr>
        <w:drawing>
          <wp:inline distT="0" distB="0" distL="0" distR="0" wp14:anchorId="14431AEF" wp14:editId="6D6D00B6">
            <wp:extent cx="5018567" cy="381315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610" cy="3821549"/>
                    </a:xfrm>
                    <a:prstGeom prst="rect">
                      <a:avLst/>
                    </a:prstGeom>
                  </pic:spPr>
                </pic:pic>
              </a:graphicData>
            </a:graphic>
          </wp:inline>
        </w:drawing>
      </w:r>
    </w:p>
    <w:p w14:paraId="3E388038" w14:textId="77777777" w:rsidR="00260AC0" w:rsidRDefault="00260AC0" w:rsidP="00260AC0">
      <w:pPr>
        <w:pStyle w:val="Sansinterligne"/>
        <w:spacing w:before="240"/>
      </w:pPr>
      <w:r>
        <w:t>La base de données initiale est composée de 63 variables pour chacun des sinistres, nous avons sélectionné parmi celles-ci, les variables suivantes :</w:t>
      </w:r>
    </w:p>
    <w:p w14:paraId="189BCB13" w14:textId="77777777" w:rsidR="00260AC0" w:rsidRDefault="00260AC0" w:rsidP="00260AC0">
      <w:pPr>
        <w:pStyle w:val="Sansinterligne"/>
      </w:pPr>
    </w:p>
    <w:p w14:paraId="2BCA4C81" w14:textId="77777777" w:rsidR="00260AC0" w:rsidRDefault="00260AC0" w:rsidP="00260AC0">
      <w:pPr>
        <w:pStyle w:val="Sansinterligne"/>
        <w:jc w:val="center"/>
      </w:pPr>
      <w:r>
        <w:rPr>
          <w:noProof/>
        </w:rPr>
        <w:lastRenderedPageBreak/>
        <w:drawing>
          <wp:inline distT="0" distB="0" distL="0" distR="0" wp14:anchorId="09C147AC" wp14:editId="56E74735">
            <wp:extent cx="4816444" cy="5080000"/>
            <wp:effectExtent l="0" t="0" r="381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92"/>
                    <a:stretch/>
                  </pic:blipFill>
                  <pic:spPr bwMode="auto">
                    <a:xfrm>
                      <a:off x="0" y="0"/>
                      <a:ext cx="4816444" cy="5080000"/>
                    </a:xfrm>
                    <a:prstGeom prst="rect">
                      <a:avLst/>
                    </a:prstGeom>
                    <a:ln>
                      <a:noFill/>
                    </a:ln>
                    <a:extLst>
                      <a:ext uri="{53640926-AAD7-44D8-BBD7-CCE9431645EC}">
                        <a14:shadowObscured xmlns:a14="http://schemas.microsoft.com/office/drawing/2010/main"/>
                      </a:ext>
                    </a:extLst>
                  </pic:spPr>
                </pic:pic>
              </a:graphicData>
            </a:graphic>
          </wp:inline>
        </w:drawing>
      </w:r>
    </w:p>
    <w:p w14:paraId="0AE5B7F9" w14:textId="77777777" w:rsidR="00260AC0" w:rsidRDefault="00260AC0" w:rsidP="00260AC0">
      <w:pPr>
        <w:pStyle w:val="Sansinterligne"/>
        <w:jc w:val="center"/>
      </w:pPr>
    </w:p>
    <w:p w14:paraId="29CF8D65" w14:textId="77777777" w:rsidR="00260AC0" w:rsidRDefault="00260AC0" w:rsidP="00260AC0">
      <w:pPr>
        <w:spacing w:before="240"/>
        <w:jc w:val="left"/>
        <w:rPr>
          <w:rFonts w:eastAsiaTheme="majorEastAsia" w:cstheme="majorBidi"/>
          <w:color w:val="7030A0"/>
          <w:sz w:val="32"/>
          <w:szCs w:val="32"/>
        </w:rPr>
      </w:pPr>
      <w:r>
        <w:t>Après avoir sélectionné les informations intéressantes pour notre étude, un travail de data-</w:t>
      </w:r>
      <w:proofErr w:type="spellStart"/>
      <w:r>
        <w:t>cleaning</w:t>
      </w:r>
      <w:proofErr w:type="spellEnd"/>
      <w:r>
        <w:t xml:space="preserve"> était nécessaire pour différentes raisons, d’abord pour homogénéiser les données car elles ont été saisies par différentes équipes de gestions qui n’ont pas les mêmes process et les mêmes normes depuis 2012 donc il s’agira d’effectuer un travail d’homogénéisation des données, de plus il faut pouvoir être capable de capter les erreurs de saisie et de faire des choix quant au nettoyage ou au remplacement de celles-ci afin d’avoir la base de données la plus « propre » possible.</w:t>
      </w:r>
      <w:r>
        <w:br w:type="page"/>
      </w:r>
    </w:p>
    <w:p w14:paraId="1A702F8A" w14:textId="77777777" w:rsidR="00260AC0" w:rsidRPr="006F030E" w:rsidRDefault="00260AC0" w:rsidP="006E5444">
      <w:pPr>
        <w:pStyle w:val="Titre2"/>
      </w:pPr>
      <w:bookmarkStart w:id="24" w:name="_Toc111644469"/>
      <w:bookmarkStart w:id="25" w:name="_Toc112883458"/>
      <w:r>
        <w:lastRenderedPageBreak/>
        <w:t>Traitement de la donnée</w:t>
      </w:r>
      <w:bookmarkEnd w:id="24"/>
      <w:bookmarkEnd w:id="25"/>
    </w:p>
    <w:p w14:paraId="5CDC7E6C" w14:textId="77777777" w:rsidR="00260AC0" w:rsidRPr="00F91915" w:rsidRDefault="00260AC0" w:rsidP="006E5444">
      <w:pPr>
        <w:pStyle w:val="Titre3"/>
        <w:spacing w:before="240"/>
      </w:pPr>
      <w:bookmarkStart w:id="26" w:name="_Toc111644470"/>
      <w:bookmarkStart w:id="27" w:name="_Toc112883459"/>
      <w:r>
        <w:t>Ciblage sur le risque arrêt de travail</w:t>
      </w:r>
      <w:bookmarkEnd w:id="26"/>
      <w:bookmarkEnd w:id="27"/>
    </w:p>
    <w:p w14:paraId="11EAE568" w14:textId="77777777" w:rsidR="00260AC0" w:rsidRDefault="00260AC0" w:rsidP="00260AC0">
      <w:pPr>
        <w:pStyle w:val="Sansinterligne"/>
        <w:spacing w:before="240"/>
      </w:pPr>
      <w:r>
        <w:t>Pour étudier le risque arrêt de travail, il s’agit de sélectionner dans la base de données uniquement les sinistres de type ITT : Incapacité temporaire de travail. Pour ce faire, nous avons sélectionné dans la suite uniquement les sinistres dont la garantie élémentaire couverte contient les mentions “ITT” ou “INV” ou tout autres garanties incapacité/invalidité. De plus, parmi les données sélectionnées en incapacité, nous souhaitions ne considérer que les sinistres d’une durée inférieure à 3 ans, durée maximum légale de l’incapacité, c’est pourquoi nous avons calculé des variables à partir des données initiales pour en tirer les informations utiles à notre étude, ces variables vont être présentées et expliquées dans la suite.</w:t>
      </w:r>
    </w:p>
    <w:p w14:paraId="7B6F7708" w14:textId="77777777" w:rsidR="00260AC0" w:rsidRDefault="00260AC0" w:rsidP="00260AC0">
      <w:pPr>
        <w:pStyle w:val="Sansinterligne"/>
      </w:pPr>
    </w:p>
    <w:p w14:paraId="7E366D35" w14:textId="77777777" w:rsidR="00260AC0" w:rsidRPr="00F91915" w:rsidRDefault="00260AC0" w:rsidP="006E5444">
      <w:pPr>
        <w:pStyle w:val="Titre3"/>
        <w:spacing w:before="240"/>
      </w:pPr>
      <w:bookmarkStart w:id="28" w:name="_Toc111644471"/>
      <w:bookmarkStart w:id="29" w:name="_Toc112883460"/>
      <w:r>
        <w:t>Quels choix a-t-on effectué pour le nettoyage de la base de données ?</w:t>
      </w:r>
      <w:bookmarkEnd w:id="28"/>
      <w:bookmarkEnd w:id="29"/>
    </w:p>
    <w:p w14:paraId="09087B79" w14:textId="77777777" w:rsidR="00260AC0" w:rsidRDefault="00260AC0" w:rsidP="00260AC0">
      <w:pPr>
        <w:pStyle w:val="Sansinterligne"/>
        <w:spacing w:before="240"/>
      </w:pPr>
      <w:r>
        <w:t xml:space="preserve">Dans le processus de nettoyage d’une base de données différents cas de figures peuvent exister lorsque l’on parle d’une donnée que l’on juge impropre, celle-ci peut être erroné, décalée à cause d’une erreur de saisie manuelle par exemple, ou tout simplement manquante. Dans ces différents cas de figure plusieurs façons de résoudre le problème existent, on peut soit essayer de corriger les erreurs de saisie ce qui en pratique peut s’avérer très compliqué lorsque l’on travaille avec une base de données conséquente (notre base de données initiale contient 697000 lignes), soit trouver la source de l’erreur lorsqu’elle est automatique et la réparer, soit simplement supprimer la donnée. Dans le cas de notre étude, l’objectif était d’avoir la base de données la plus précise et donc pour ce faire nous avons fait les choix suivants : </w:t>
      </w:r>
    </w:p>
    <w:p w14:paraId="2575961E" w14:textId="77777777" w:rsidR="00260AC0" w:rsidRDefault="00260AC0" w:rsidP="00154541">
      <w:pPr>
        <w:pStyle w:val="Sansinterligne"/>
        <w:numPr>
          <w:ilvl w:val="0"/>
          <w:numId w:val="23"/>
        </w:numPr>
        <w:jc w:val="both"/>
      </w:pPr>
      <w:r>
        <w:t>Supprimer les lignes qui possédaient des informations importantes manquantes (ex : le code option)</w:t>
      </w:r>
    </w:p>
    <w:p w14:paraId="2B0CC97A" w14:textId="77777777" w:rsidR="00260AC0" w:rsidRDefault="00260AC0" w:rsidP="00154541">
      <w:pPr>
        <w:pStyle w:val="Sansinterligne"/>
        <w:numPr>
          <w:ilvl w:val="0"/>
          <w:numId w:val="23"/>
        </w:numPr>
        <w:jc w:val="both"/>
      </w:pPr>
      <w:r>
        <w:t>Homogénéiser et simplifier les informations de certaines variables (ex : les garanties élémentaires, les codes options), par exemple en regroupant, dans le cas des garanties élémentaires, l’ensemble des garanties faisant référence à de l’incapacité sous la mention « ITT »</w:t>
      </w:r>
    </w:p>
    <w:p w14:paraId="249A193A" w14:textId="77777777" w:rsidR="00260AC0" w:rsidRDefault="00260AC0" w:rsidP="00154541">
      <w:pPr>
        <w:pStyle w:val="Sansinterligne"/>
        <w:numPr>
          <w:ilvl w:val="0"/>
          <w:numId w:val="23"/>
        </w:numPr>
        <w:jc w:val="both"/>
      </w:pPr>
      <w:r>
        <w:t xml:space="preserve">Corriger lorsque c’était possible les erreurs de saisie :  par exemple lors de la saisie du nom et du prénom de l’assuré, dans de nombreux cas le nom et le prénom étaient saisis dans le même champ, celui du nom, ce qui fait qu’un grand nombre de prénoms d’assuré étaient manquants dans la variable prénom car saisi dans le champ nom. Cette anomalie par exemple était corrigeable pour la plupart des dossiers </w:t>
      </w:r>
    </w:p>
    <w:p w14:paraId="46C6799F" w14:textId="77777777" w:rsidR="00260AC0" w:rsidRPr="00F91915" w:rsidRDefault="00260AC0" w:rsidP="00260AC0">
      <w:pPr>
        <w:pStyle w:val="Sansinterligne"/>
      </w:pPr>
    </w:p>
    <w:p w14:paraId="4734A167" w14:textId="77777777" w:rsidR="00260AC0" w:rsidRDefault="00260AC0">
      <w:pPr>
        <w:jc w:val="left"/>
        <w:rPr>
          <w:rFonts w:eastAsiaTheme="majorEastAsia" w:cstheme="majorBidi"/>
          <w:color w:val="2F5496" w:themeColor="accent1" w:themeShade="BF"/>
          <w:sz w:val="26"/>
          <w:szCs w:val="26"/>
        </w:rPr>
      </w:pPr>
      <w:bookmarkStart w:id="30" w:name="_Toc111644472"/>
      <w:r>
        <w:br w:type="page"/>
      </w:r>
    </w:p>
    <w:p w14:paraId="4920C1B0" w14:textId="77777777" w:rsidR="00260AC0" w:rsidRDefault="00260AC0" w:rsidP="00260AC0">
      <w:pPr>
        <w:pStyle w:val="Titre2"/>
      </w:pPr>
      <w:bookmarkStart w:id="31" w:name="_Toc112883461"/>
      <w:r>
        <w:lastRenderedPageBreak/>
        <w:t>Variables d’étude à calculer</w:t>
      </w:r>
      <w:bookmarkEnd w:id="30"/>
      <w:bookmarkEnd w:id="31"/>
      <w:r>
        <w:t xml:space="preserve"> </w:t>
      </w:r>
    </w:p>
    <w:p w14:paraId="08B34B8A" w14:textId="77777777" w:rsidR="00260AC0" w:rsidRDefault="00260AC0" w:rsidP="00260AC0">
      <w:pPr>
        <w:pStyle w:val="Titre3"/>
        <w:spacing w:before="240"/>
      </w:pPr>
      <w:bookmarkStart w:id="32" w:name="_Toc111644473"/>
      <w:bookmarkStart w:id="33" w:name="_Toc112883462"/>
      <w:r>
        <w:t>Durée de l’</w:t>
      </w:r>
      <w:r w:rsidRPr="006B0751">
        <w:t>arrêt</w:t>
      </w:r>
      <w:r>
        <w:t xml:space="preserve"> de travail</w:t>
      </w:r>
      <w:bookmarkEnd w:id="32"/>
      <w:bookmarkEnd w:id="33"/>
    </w:p>
    <w:p w14:paraId="6165B55D" w14:textId="77777777" w:rsidR="00260AC0" w:rsidRDefault="00260AC0" w:rsidP="00260AC0">
      <w:pPr>
        <w:pStyle w:val="Sansinterligne"/>
        <w:spacing w:before="240"/>
      </w:pPr>
      <w:r>
        <w:t>L’une des informations importantes que nous devons capter grâce à cette base de données pour notre étude est la durée de l’arrêt de travail, pour cela nous devons procéder avec les informations que nous possédons et en particulier grâce à la période de couverture, ainsi on calcule la durée d’un sinistre incapacité de la façon suivante :</w:t>
      </w:r>
    </w:p>
    <w:p w14:paraId="15EB8E86" w14:textId="77777777" w:rsidR="00260AC0" w:rsidRPr="00A31EC0" w:rsidRDefault="00260AC0" w:rsidP="00260AC0">
      <w:pPr>
        <w:pStyle w:val="Sansinterligne"/>
        <w:spacing w:before="240"/>
        <w:rPr>
          <w:rFonts w:eastAsiaTheme="minorEastAsia"/>
        </w:rPr>
      </w:pPr>
      <m:oMathPara>
        <m:oMath>
          <m:r>
            <w:rPr>
              <w:rFonts w:ascii="Cambria Math" w:hAnsi="Cambria Math"/>
            </w:rPr>
            <m:t xml:space="preserve">Durée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arrêt=FIN_COUVERTURE-DEB_COUVERTURE+1</m:t>
          </m:r>
        </m:oMath>
      </m:oMathPara>
    </w:p>
    <w:p w14:paraId="0448B09C" w14:textId="5EDC2172" w:rsidR="00B71D8B" w:rsidRPr="00602D96" w:rsidRDefault="00260AC0" w:rsidP="00602D96">
      <w:pPr>
        <w:pStyle w:val="Sansinterligne"/>
        <w:spacing w:before="240"/>
        <w:rPr>
          <w:rFonts w:eastAsiaTheme="minorEastAsia"/>
        </w:rPr>
      </w:pPr>
      <w:r>
        <w:rPr>
          <w:rFonts w:eastAsiaTheme="minorEastAsia"/>
        </w:rPr>
        <w:t>D’ailleurs</w:t>
      </w:r>
      <w:r w:rsidR="00EB1625">
        <w:rPr>
          <w:rFonts w:eastAsiaTheme="minorEastAsia"/>
        </w:rPr>
        <w:t xml:space="preserve"> nous ne possédons pas l’information sur la durée de la franchise pour chaque arrêt dans nos données</w:t>
      </w:r>
      <w:r>
        <w:rPr>
          <w:rFonts w:eastAsiaTheme="minorEastAsia"/>
        </w:rPr>
        <w:t xml:space="preserve"> </w:t>
      </w:r>
      <w:r w:rsidR="00EB1625">
        <w:rPr>
          <w:rFonts w:eastAsiaTheme="minorEastAsia"/>
        </w:rPr>
        <w:t xml:space="preserve">donc </w:t>
      </w:r>
      <w:r>
        <w:rPr>
          <w:rFonts w:eastAsiaTheme="minorEastAsia"/>
        </w:rPr>
        <w:t xml:space="preserve">il faut tenir compte que cette façon de calculer la durée d’un arrêt de travail n’est pas totalement exacte car elle ignore </w:t>
      </w:r>
      <w:r w:rsidR="00EB1625">
        <w:rPr>
          <w:rFonts w:eastAsiaTheme="minorEastAsia"/>
        </w:rPr>
        <w:t>cette période</w:t>
      </w:r>
      <w:r>
        <w:rPr>
          <w:rFonts w:eastAsiaTheme="minorEastAsia"/>
        </w:rPr>
        <w:t>.</w:t>
      </w:r>
    </w:p>
    <w:p w14:paraId="64CA06D0" w14:textId="18ADCC7B" w:rsidR="00260AC0" w:rsidRDefault="00260AC0" w:rsidP="00260AC0">
      <w:pPr>
        <w:pStyle w:val="Titre3"/>
        <w:spacing w:before="720"/>
      </w:pPr>
      <w:bookmarkStart w:id="34" w:name="_Toc112883463"/>
      <w:r>
        <w:t>Taux d’absentéisme</w:t>
      </w:r>
      <w:bookmarkEnd w:id="34"/>
      <w:r>
        <w:t xml:space="preserve"> </w:t>
      </w:r>
    </w:p>
    <w:p w14:paraId="35743B45" w14:textId="77777777" w:rsidR="00260AC0" w:rsidRDefault="00260AC0" w:rsidP="00260AC0">
      <w:pPr>
        <w:pStyle w:val="Sansinterligne"/>
        <w:spacing w:before="240"/>
      </w:pPr>
      <w:r>
        <w:t>Cette variable à calculer est très importante et représente un enjeu important de cette étude, notamment pour la modélisation GLM dans la suite, elle est cependant assez complexe à calculer dans le contexte de l’étude avec les données en notre possession. La difficulté de ce calcul provient du fait que nous avons besoin de l’information du notre de jour arrêté total sur une année pour chaque assuré et que cette base référence uniquement les sinistres un à un, la solution que nous avons choisie pour calculer ce taux dans la suite est la création d’une nouvelle base de données qui cette fois-ci sera une base de données agrégée par assurés et par année de survenance.</w:t>
      </w:r>
    </w:p>
    <w:p w14:paraId="47129A83" w14:textId="520DB66B" w:rsidR="00260AC0" w:rsidRDefault="00B71D8B" w:rsidP="00260AC0">
      <w:pPr>
        <w:pStyle w:val="Sansinterligne"/>
        <w:spacing w:before="240"/>
      </w:pPr>
      <w:r>
        <w:t>Rappelons à présent la formule de calcul de ce taux présenté dans la première partie :</w:t>
      </w:r>
    </w:p>
    <w:p w14:paraId="731C0787" w14:textId="08BC9893" w:rsidR="00B71D8B" w:rsidRDefault="00B71D8B" w:rsidP="00260AC0">
      <w:pPr>
        <w:pStyle w:val="Sansinterligne"/>
        <w:spacing w:before="240"/>
      </w:pPr>
      <m:oMathPara>
        <m:oMath>
          <m:r>
            <w:rPr>
              <w:rFonts w:ascii="Cambria Math" w:hAnsi="Cambria Math"/>
            </w:rPr>
            <m:t xml:space="preserve">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absentéisme= </m:t>
          </m:r>
          <m:f>
            <m:fPr>
              <m:ctrlPr>
                <w:rPr>
                  <w:rFonts w:ascii="Cambria Math" w:hAnsi="Cambria Math"/>
                  <w:i/>
                </w:rPr>
              </m:ctrlPr>
            </m:fPr>
            <m:num>
              <m:r>
                <w:rPr>
                  <w:rFonts w:ascii="Cambria Math" w:hAnsi="Cambria Math"/>
                </w:rPr>
                <m:t xml:space="preserve">Nombre de jours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absence total sur la période d'étude</m:t>
              </m:r>
            </m:num>
            <m:den>
              <m:r>
                <w:rPr>
                  <w:rFonts w:ascii="Cambria Math" w:hAnsi="Cambria Math"/>
                </w:rPr>
                <m:t xml:space="preserve">Nombre de jours sur la période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étud</m:t>
              </m:r>
            </m:den>
          </m:f>
        </m:oMath>
      </m:oMathPara>
    </w:p>
    <w:p w14:paraId="2FBE6244" w14:textId="77777777" w:rsidR="00260AC0" w:rsidRDefault="00260AC0" w:rsidP="00260AC0">
      <w:pPr>
        <w:pStyle w:val="Sansinterligne"/>
        <w:spacing w:before="240"/>
        <w:rPr>
          <w:color w:val="7030A0"/>
          <w:sz w:val="32"/>
          <w:szCs w:val="32"/>
        </w:rPr>
      </w:pPr>
      <w:r>
        <w:br w:type="page"/>
      </w:r>
    </w:p>
    <w:p w14:paraId="35CC99E7" w14:textId="77777777" w:rsidR="00260AC0" w:rsidRDefault="00260AC0" w:rsidP="00260AC0">
      <w:pPr>
        <w:pStyle w:val="Titre1"/>
      </w:pPr>
      <w:bookmarkStart w:id="35" w:name="_Toc111644474"/>
      <w:bookmarkStart w:id="36" w:name="_Toc112883464"/>
      <w:r>
        <w:lastRenderedPageBreak/>
        <w:t>Analyse descriptive</w:t>
      </w:r>
      <w:bookmarkEnd w:id="35"/>
      <w:bookmarkEnd w:id="36"/>
    </w:p>
    <w:p w14:paraId="7BD33BFE" w14:textId="6E7F9EAF" w:rsidR="00E351F0" w:rsidRDefault="00E351F0" w:rsidP="00E351F0">
      <w:pPr>
        <w:spacing w:before="240"/>
        <w:jc w:val="left"/>
      </w:pPr>
      <w:bookmarkStart w:id="37" w:name="_Toc111644475"/>
      <w:r>
        <w:t>Dans cette partie nous tacherons d’analyser nos données en nous intéressant d’abord à la taille de notre portefeuille d’étude, puis à l’évolution du nombre d’arrêts de travail et sa saisonnalité.</w:t>
      </w:r>
    </w:p>
    <w:p w14:paraId="30F7A420" w14:textId="304503EE" w:rsidR="003B3EDA" w:rsidRDefault="00982F68" w:rsidP="00982F68">
      <w:pPr>
        <w:pStyle w:val="Titre2"/>
      </w:pPr>
      <w:bookmarkStart w:id="38" w:name="_Toc112883465"/>
      <w:r>
        <w:t>Evolution du risque arrêt de travail sur les dernières années</w:t>
      </w:r>
      <w:bookmarkEnd w:id="38"/>
    </w:p>
    <w:p w14:paraId="62B496BA" w14:textId="238C4224" w:rsidR="00982F68" w:rsidRDefault="00982F68" w:rsidP="00033CE8">
      <w:pPr>
        <w:pStyle w:val="Titre3"/>
        <w:spacing w:before="360"/>
      </w:pPr>
      <w:bookmarkStart w:id="39" w:name="_Toc112883466"/>
      <w:r>
        <w:t>Evolution globale du portefeuille arrêt de travail</w:t>
      </w:r>
      <w:bookmarkEnd w:id="39"/>
    </w:p>
    <w:p w14:paraId="49AD1738" w14:textId="4657B804" w:rsidR="00982F68" w:rsidRDefault="00982F68" w:rsidP="00033CE8">
      <w:pPr>
        <w:spacing w:before="480"/>
      </w:pPr>
      <w:r>
        <w:t>Nous nous intéresserons dans un premier temps à l’évolution du nombre d’arrêts de travail sans différencier incapacité, invalidité et sans prendre en compte l’évolution du portefeuille collectif. En effet l’évolution du portefeuille par année est une information importante pour que l’on puisse avoir des données comparables entre années.</w:t>
      </w:r>
    </w:p>
    <w:p w14:paraId="2E3B53D6" w14:textId="35554C29" w:rsidR="00982F68" w:rsidRPr="00982F68" w:rsidRDefault="00982F68" w:rsidP="00294B8F">
      <w:pPr>
        <w:jc w:val="center"/>
      </w:pPr>
    </w:p>
    <w:p w14:paraId="6E607210" w14:textId="77777777" w:rsidR="00BB40B6" w:rsidRDefault="00A84E4C" w:rsidP="00BB40B6">
      <w:pPr>
        <w:pStyle w:val="Sansinterligne"/>
        <w:keepNext/>
      </w:pPr>
      <w:r>
        <w:rPr>
          <w:noProof/>
        </w:rPr>
        <w:drawing>
          <wp:inline distT="0" distB="0" distL="0" distR="0" wp14:anchorId="31C962AF" wp14:editId="46A0391D">
            <wp:extent cx="5762625" cy="2604770"/>
            <wp:effectExtent l="152400" t="152400" r="352425" b="36703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604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4F61A00" w14:textId="3B799CC6" w:rsidR="00982F68" w:rsidRPr="00982F68" w:rsidRDefault="00BB40B6" w:rsidP="00BB40B6">
      <w:pPr>
        <w:pStyle w:val="Lgende"/>
        <w:jc w:val="center"/>
      </w:pPr>
      <w:r>
        <w:t xml:space="preserve">Figure </w:t>
      </w:r>
      <w:fldSimple w:instr=" SEQ Figure \* ARABIC ">
        <w:r w:rsidR="00E26834">
          <w:rPr>
            <w:noProof/>
          </w:rPr>
          <w:t>3</w:t>
        </w:r>
      </w:fldSimple>
      <w:r>
        <w:t xml:space="preserve"> : Evolution du nombre d'arrêts par année de survenance</w:t>
      </w:r>
    </w:p>
    <w:p w14:paraId="161C5D53" w14:textId="74FC8ECB" w:rsidR="00C4573A" w:rsidRDefault="00BB40B6" w:rsidP="00033CE8">
      <w:pPr>
        <w:spacing w:before="480"/>
        <w:jc w:val="left"/>
      </w:pPr>
      <w:r>
        <w:t>On observe une croissance relativement constante du nombre d’arrêt</w:t>
      </w:r>
      <w:r w:rsidR="00033CE8">
        <w:t xml:space="preserve"> de travail</w:t>
      </w:r>
      <w:r>
        <w:t xml:space="preserve"> entre 2014 et 2018 puis une forte hausse sur 2019/2020 suivi d’un retour à la normal en 2021. Nous verrons dans la suite lorsque nous étudierons la saisonnalité que la forte hausse sur 2020 est très probablement dû à un « effet COVID » car on observe une hausse significative des nombres d’arrêts durant les périodes de vague d’infection. La hausse en 2019 est surement dû à un agrandissement du portefeuille collectif.</w:t>
      </w:r>
    </w:p>
    <w:p w14:paraId="17FF0566" w14:textId="22491D42" w:rsidR="00033CE8" w:rsidRDefault="00033CE8" w:rsidP="00033CE8">
      <w:pPr>
        <w:spacing w:before="240"/>
        <w:jc w:val="left"/>
      </w:pPr>
      <w:r>
        <w:t>En divisant le nombre d’arrêts par la taille du portefeuille collectif, nous obtenons alors un taux d’arrêts maladie par salarié, ce qui semble très intéressant pour comparer les différentes années.</w:t>
      </w:r>
    </w:p>
    <w:p w14:paraId="69F43FD8" w14:textId="77777777" w:rsidR="00033CE8" w:rsidRDefault="00033CE8" w:rsidP="00033CE8">
      <w:pPr>
        <w:spacing w:before="240"/>
        <w:jc w:val="left"/>
      </w:pPr>
    </w:p>
    <w:p w14:paraId="4659902B" w14:textId="5AF5C142" w:rsidR="00033CE8" w:rsidRDefault="00033CE8" w:rsidP="00033CE8">
      <w:pPr>
        <w:pStyle w:val="Titre3"/>
        <w:spacing w:before="360"/>
      </w:pPr>
      <w:bookmarkStart w:id="40" w:name="_Toc112883467"/>
      <w:r>
        <w:lastRenderedPageBreak/>
        <w:t>Saisonnalité des arrêts de travail</w:t>
      </w:r>
      <w:r w:rsidR="00A41C6F">
        <w:t xml:space="preserve"> et mise en valeur d’un effet COVID sur 2020</w:t>
      </w:r>
      <w:bookmarkEnd w:id="40"/>
    </w:p>
    <w:p w14:paraId="03285366" w14:textId="4B92C621" w:rsidR="00A41C6F" w:rsidRDefault="00A41C6F" w:rsidP="001969F9">
      <w:pPr>
        <w:spacing w:before="240"/>
      </w:pPr>
      <w:r>
        <w:t>Il s’agit ici de s’intéresser à la saisonnalité de la survenance des arrêts de travail sur notre portefeuille afin de constater les tendances sur les dernières années.</w:t>
      </w:r>
    </w:p>
    <w:p w14:paraId="57D9467E" w14:textId="77777777" w:rsidR="00A41C6F" w:rsidRDefault="00A41C6F" w:rsidP="003D4032">
      <w:pPr>
        <w:keepNext/>
        <w:spacing w:after="0"/>
      </w:pPr>
      <w:r>
        <w:rPr>
          <w:noProof/>
        </w:rPr>
        <w:drawing>
          <wp:inline distT="0" distB="0" distL="0" distR="0" wp14:anchorId="6ED451F1" wp14:editId="598B9562">
            <wp:extent cx="5760720" cy="3020695"/>
            <wp:effectExtent l="152400" t="152400" r="354330" b="3702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B248549" w14:textId="5FE211E2" w:rsidR="00A41C6F" w:rsidRDefault="00A41C6F" w:rsidP="003D4032">
      <w:pPr>
        <w:pStyle w:val="Lgende"/>
        <w:jc w:val="center"/>
      </w:pPr>
      <w:r>
        <w:t xml:space="preserve">Figure </w:t>
      </w:r>
      <w:fldSimple w:instr=" SEQ Figure \* ARABIC ">
        <w:r w:rsidR="00E26834">
          <w:rPr>
            <w:noProof/>
          </w:rPr>
          <w:t>4</w:t>
        </w:r>
      </w:fldSimple>
      <w:r>
        <w:t xml:space="preserve"> : Saisonnalité des arrêts de travail entre 2018 et 2021</w:t>
      </w:r>
    </w:p>
    <w:p w14:paraId="6A485DAE" w14:textId="078648A4" w:rsidR="00A41C6F" w:rsidRDefault="00A41C6F" w:rsidP="003D4032">
      <w:pPr>
        <w:spacing w:after="0"/>
      </w:pPr>
      <w:r>
        <w:t xml:space="preserve">Ce graphique est très intéressant car il nous permet de constater </w:t>
      </w:r>
      <w:r w:rsidR="003D4032">
        <w:t>une réelle saisonnalité</w:t>
      </w:r>
      <w:r>
        <w:t xml:space="preserve"> </w:t>
      </w:r>
      <w:r w:rsidR="003D4032">
        <w:t>du nombre d’arrêts par année si l’on omet l’année 2020 et son caractère exceptionnel, nous nous intéress</w:t>
      </w:r>
      <w:r w:rsidR="006E5444">
        <w:t>er</w:t>
      </w:r>
      <w:r w:rsidR="003D4032">
        <w:t>ons à cette année dans la suite mais dans un premier temps, nous allons considérer un nouveau graphique sans cette année :</w:t>
      </w:r>
    </w:p>
    <w:p w14:paraId="025655AB" w14:textId="77777777" w:rsidR="003D4032" w:rsidRDefault="003D4032" w:rsidP="003D4032">
      <w:pPr>
        <w:keepNext/>
        <w:spacing w:after="0"/>
      </w:pPr>
      <w:r>
        <w:rPr>
          <w:noProof/>
        </w:rPr>
        <w:lastRenderedPageBreak/>
        <w:drawing>
          <wp:inline distT="0" distB="0" distL="0" distR="0" wp14:anchorId="5AF33AE5" wp14:editId="4BABCCC4">
            <wp:extent cx="5760720" cy="3020695"/>
            <wp:effectExtent l="152400" t="152400" r="354330" b="3702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861D583" w14:textId="794D7082" w:rsidR="003D4032" w:rsidRDefault="003D4032" w:rsidP="003D4032">
      <w:pPr>
        <w:pStyle w:val="Lgende"/>
        <w:jc w:val="center"/>
      </w:pPr>
      <w:r>
        <w:t xml:space="preserve">Figure </w:t>
      </w:r>
      <w:fldSimple w:instr=" SEQ Figure \* ARABIC ">
        <w:r w:rsidR="00E26834">
          <w:rPr>
            <w:noProof/>
          </w:rPr>
          <w:t>5</w:t>
        </w:r>
      </w:fldSimple>
      <w:r>
        <w:t xml:space="preserve"> : </w:t>
      </w:r>
      <w:r w:rsidRPr="00A12E2E">
        <w:t xml:space="preserve">Saisonnalité des arrêts de travail </w:t>
      </w:r>
      <w:r>
        <w:t>sur</w:t>
      </w:r>
      <w:r w:rsidRPr="00A12E2E">
        <w:t xml:space="preserve"> 2018</w:t>
      </w:r>
      <w:r>
        <w:t xml:space="preserve">, 2019 et </w:t>
      </w:r>
      <w:r w:rsidRPr="00A12E2E">
        <w:t>2021</w:t>
      </w:r>
    </w:p>
    <w:p w14:paraId="32712C20" w14:textId="09C6E2EB" w:rsidR="003D4032" w:rsidRDefault="003D4032" w:rsidP="003D4032">
      <w:r>
        <w:t xml:space="preserve">On remarque une baisse significative </w:t>
      </w:r>
      <w:r w:rsidR="00F13C33">
        <w:t xml:space="preserve">du nombre d’arrêts entre la </w:t>
      </w:r>
      <w:r w:rsidR="008C35AC">
        <w:t>période</w:t>
      </w:r>
      <w:r w:rsidR="00F13C33">
        <w:t xml:space="preserve"> automne-hiver et la période printemps-été, cette baisse est bien évidemment dû en partie à la présence accrue des maladies ordinaires comme par exemple le rhûme ou la grippe en hiver en sachant notamment que les maladies ordinaires représentent une partie importante du nombre d’arrêts maladie déclarés chaque année, </w:t>
      </w:r>
      <w:r w:rsidR="008C35AC">
        <w:t>46% des arrêts maladie selon l’étude effectuée par REHALTO. Pour bien se rendre compte de cette différence, considérons le graphique suivant qui présente le nombre d’arrêts de travail par saison :</w:t>
      </w:r>
    </w:p>
    <w:p w14:paraId="57F4188C" w14:textId="77777777" w:rsidR="008C35AC" w:rsidRDefault="008C35AC" w:rsidP="001969F9">
      <w:pPr>
        <w:keepNext/>
        <w:spacing w:after="0"/>
      </w:pPr>
      <w:r>
        <w:rPr>
          <w:noProof/>
        </w:rPr>
        <w:drawing>
          <wp:inline distT="0" distB="0" distL="0" distR="0" wp14:anchorId="54A5DED1" wp14:editId="75C1E083">
            <wp:extent cx="5760720" cy="3020695"/>
            <wp:effectExtent l="152400" t="152400" r="354330" b="3702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DFC048C" w14:textId="0BDCA410" w:rsidR="008C35AC" w:rsidRDefault="008C35AC" w:rsidP="008C35AC">
      <w:pPr>
        <w:pStyle w:val="Lgende"/>
        <w:jc w:val="center"/>
      </w:pPr>
      <w:r>
        <w:t xml:space="preserve">Figure </w:t>
      </w:r>
      <w:fldSimple w:instr=" SEQ Figure \* ARABIC ">
        <w:r w:rsidR="00E26834">
          <w:rPr>
            <w:noProof/>
          </w:rPr>
          <w:t>6</w:t>
        </w:r>
      </w:fldSimple>
      <w:r>
        <w:t xml:space="preserve"> :  Nombre d'arrêts de travail par saison</w:t>
      </w:r>
    </w:p>
    <w:p w14:paraId="33756D5E" w14:textId="14BC07A0" w:rsidR="008C35AC" w:rsidRDefault="008C35AC" w:rsidP="008C35AC">
      <w:r>
        <w:lastRenderedPageBreak/>
        <w:t>Sur 201</w:t>
      </w:r>
      <w:r w:rsidR="001969F9">
        <w:t>8</w:t>
      </w:r>
      <w:r>
        <w:t xml:space="preserve">, nous </w:t>
      </w:r>
      <w:r w:rsidR="001969F9">
        <w:t>observons</w:t>
      </w:r>
      <w:r>
        <w:t xml:space="preserve"> une hausse de 34,7% du nombre d’arrêts entre </w:t>
      </w:r>
      <w:r w:rsidR="001969F9">
        <w:t>l’été (=9196) et l’hiver (=12387), une légère baisse de 7,2% entre printemps et été et une hausse 9% entre été et l’automne.</w:t>
      </w:r>
    </w:p>
    <w:p w14:paraId="0C7D51B5" w14:textId="32D82F8E" w:rsidR="001969F9" w:rsidRDefault="001969F9" w:rsidP="001969F9">
      <w:pPr>
        <w:spacing w:after="120"/>
      </w:pPr>
      <w:r>
        <w:t>Intéressons-nous à présent à l’année 2020 et à l’effet COVID que l’on observe bien sur nos données.</w:t>
      </w:r>
    </w:p>
    <w:p w14:paraId="4566DCC5" w14:textId="5B4427AE" w:rsidR="001969F9" w:rsidRDefault="001969F9" w:rsidP="001969F9">
      <w:pPr>
        <w:pStyle w:val="Titre3"/>
        <w:spacing w:before="240"/>
      </w:pPr>
      <w:bookmarkStart w:id="41" w:name="_Toc112883468"/>
      <w:r>
        <w:t>Effet COVID sur l’année 2020</w:t>
      </w:r>
      <w:bookmarkEnd w:id="41"/>
    </w:p>
    <w:p w14:paraId="60B3272F" w14:textId="6F1372C7" w:rsidR="00350A0A" w:rsidRPr="00350A0A" w:rsidRDefault="00350A0A" w:rsidP="00350A0A">
      <w:r>
        <w:t>Nous reconsidérons à présent le graphique d’évolution du nombre d’arrêts de travail par année de survenance depuis 2018 et sans omettre d’année :</w:t>
      </w:r>
    </w:p>
    <w:p w14:paraId="4B44E232" w14:textId="77777777" w:rsidR="00A41C6F" w:rsidRDefault="00A41C6F" w:rsidP="001969F9">
      <w:pPr>
        <w:pStyle w:val="Sansinterligne"/>
        <w:keepNext/>
        <w:spacing w:before="240"/>
        <w:jc w:val="center"/>
      </w:pPr>
      <w:r>
        <w:rPr>
          <w:noProof/>
        </w:rPr>
        <w:drawing>
          <wp:inline distT="0" distB="0" distL="0" distR="0" wp14:anchorId="441C5790" wp14:editId="145442CC">
            <wp:extent cx="5925053" cy="1995311"/>
            <wp:effectExtent l="152400" t="152400" r="381000" b="36703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3267" cy="1998077"/>
                    </a:xfrm>
                    <a:prstGeom prst="rect">
                      <a:avLst/>
                    </a:prstGeom>
                    <a:ln>
                      <a:noFill/>
                    </a:ln>
                    <a:effectLst>
                      <a:outerShdw blurRad="292100" dist="139700" dir="2700000" algn="tl" rotWithShape="0">
                        <a:srgbClr val="333333">
                          <a:alpha val="65000"/>
                        </a:srgbClr>
                      </a:outerShdw>
                    </a:effectLst>
                  </pic:spPr>
                </pic:pic>
              </a:graphicData>
            </a:graphic>
          </wp:inline>
        </w:drawing>
      </w:r>
    </w:p>
    <w:p w14:paraId="57F182D3" w14:textId="671D95BB" w:rsidR="001969F9" w:rsidRDefault="00A41C6F" w:rsidP="001969F9">
      <w:pPr>
        <w:pStyle w:val="Lgende"/>
        <w:jc w:val="center"/>
      </w:pPr>
      <w:r>
        <w:t xml:space="preserve">Figure </w:t>
      </w:r>
      <w:fldSimple w:instr=" SEQ Figure \* ARABIC ">
        <w:r w:rsidR="00E26834">
          <w:rPr>
            <w:noProof/>
          </w:rPr>
          <w:t>7</w:t>
        </w:r>
      </w:fldSimple>
      <w:r>
        <w:t xml:space="preserve"> : Mise en valeur d'un « effet COVID » en comparaison avec la courbe d'évolution </w:t>
      </w:r>
      <w:r w:rsidR="003D4032">
        <w:t>des hospitalisations</w:t>
      </w:r>
      <w:r>
        <w:t xml:space="preserve"> sur 2020</w:t>
      </w:r>
    </w:p>
    <w:p w14:paraId="50CE334D" w14:textId="77777777" w:rsidR="00621C55" w:rsidRDefault="00421FAA" w:rsidP="001969F9">
      <w:pPr>
        <w:pStyle w:val="Sansinterligne"/>
      </w:pPr>
      <w:r>
        <w:t xml:space="preserve">Nous observons un énorme bond du nombre d’arrêts intervenus en mars 2020, date de la première grosse vague d’infection de COVID-19 en France et du premier confinement. Puis avec le confinement et les mesures gouvernementales, nous observons un nombre d’arrêts inférieur à la moyenne sur la période avril-juin, ce qui correspond à la période du premier confinement. Ensuite, nous observons </w:t>
      </w:r>
      <w:r w:rsidR="009177F2">
        <w:t xml:space="preserve">une hausse significative du nombre d’arrêts sur la période septembre-novembre, ce qui semble correspondre avec la seconde grosse vague d’infection intervenue en 2020 et qui s’explique aussi par les mesures prises par le gouvernement pour simplifier la mise en arrêt de travail à la suite d’une infection au COVID.  </w:t>
      </w:r>
    </w:p>
    <w:p w14:paraId="4BABC638" w14:textId="77777777" w:rsidR="00621C55" w:rsidRDefault="00621C55" w:rsidP="001969F9">
      <w:pPr>
        <w:pStyle w:val="Sansinterligne"/>
      </w:pPr>
    </w:p>
    <w:p w14:paraId="71D24495" w14:textId="164DE2E1" w:rsidR="00621C55" w:rsidRDefault="00621C55" w:rsidP="00621C55">
      <w:pPr>
        <w:pStyle w:val="Titre3"/>
        <w:spacing w:before="240"/>
      </w:pPr>
      <w:r>
        <w:t>Evolution des types d’arrêts par année de survenance</w:t>
      </w:r>
    </w:p>
    <w:p w14:paraId="7FFC9ED7" w14:textId="31508B8C" w:rsidR="00621C55" w:rsidRDefault="00621C55" w:rsidP="00621C55">
      <w:pPr>
        <w:pStyle w:val="Sansinterligne"/>
        <w:spacing w:before="240"/>
      </w:pPr>
      <w:r>
        <w:t>Nous allons à présent distinguer les différents types d’arrêts :</w:t>
      </w:r>
    </w:p>
    <w:p w14:paraId="7A063593" w14:textId="1D99654B" w:rsidR="00621C55" w:rsidRDefault="00621C55" w:rsidP="00621C55">
      <w:pPr>
        <w:pStyle w:val="Sansinterligne"/>
        <w:numPr>
          <w:ilvl w:val="0"/>
          <w:numId w:val="43"/>
        </w:numPr>
      </w:pPr>
      <w:r>
        <w:t xml:space="preserve">Arrêt court : arrêt inférieur à 10 jours </w:t>
      </w:r>
    </w:p>
    <w:p w14:paraId="2B6C5D84" w14:textId="1C001F18" w:rsidR="00621C55" w:rsidRDefault="00621C55" w:rsidP="00621C55">
      <w:pPr>
        <w:pStyle w:val="Sansinterligne"/>
        <w:numPr>
          <w:ilvl w:val="0"/>
          <w:numId w:val="43"/>
        </w:numPr>
      </w:pPr>
      <w:r>
        <w:t>Arrêt moyen : arrêt durant entre 10 et 90 jours</w:t>
      </w:r>
    </w:p>
    <w:p w14:paraId="65EFA407" w14:textId="4ADE4580" w:rsidR="00621C55" w:rsidRDefault="00621C55" w:rsidP="00621C55">
      <w:pPr>
        <w:pStyle w:val="Sansinterligne"/>
        <w:numPr>
          <w:ilvl w:val="0"/>
          <w:numId w:val="43"/>
        </w:numPr>
      </w:pPr>
      <w:r>
        <w:t>Arrêt long : arrêts d’une durée supérieure à 90 jours</w:t>
      </w:r>
    </w:p>
    <w:p w14:paraId="576C9927" w14:textId="72BE1E78" w:rsidR="00621C55" w:rsidRDefault="00621C55" w:rsidP="001811D2">
      <w:pPr>
        <w:pStyle w:val="Sansinterligne"/>
        <w:spacing w:before="100" w:beforeAutospacing="1"/>
      </w:pPr>
      <w:r>
        <w:t>Il semble très intéressant d’étudier l’évolution du type d’arrêt des salariés notamment pendant l’année 2020, mais aussi pour vérifier certaines tendances que nous pouvons lire dans la littérature comme par exemple le fait que les jeunes ont de plus en plus tendance à faire des arrêts court.</w:t>
      </w:r>
    </w:p>
    <w:p w14:paraId="6DC9FAA9" w14:textId="77777777" w:rsidR="00230D49" w:rsidRDefault="00230D49" w:rsidP="001969F9">
      <w:pPr>
        <w:pStyle w:val="Sansinterligne"/>
      </w:pPr>
    </w:p>
    <w:p w14:paraId="36039151" w14:textId="77777777" w:rsidR="00E26834" w:rsidRDefault="00E26834" w:rsidP="00E26834">
      <w:pPr>
        <w:pStyle w:val="Sansinterligne"/>
        <w:keepNext/>
      </w:pPr>
      <w:r>
        <w:rPr>
          <w:noProof/>
        </w:rPr>
        <w:lastRenderedPageBreak/>
        <w:drawing>
          <wp:inline distT="0" distB="0" distL="0" distR="0" wp14:anchorId="262E6C50" wp14:editId="35025A70">
            <wp:extent cx="5760720" cy="3020695"/>
            <wp:effectExtent l="152400" t="152400" r="354330" b="3702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EA9DAE" w14:textId="589E6880" w:rsidR="00E26834" w:rsidRDefault="00E26834" w:rsidP="00E26834">
      <w:pPr>
        <w:pStyle w:val="Lgende"/>
        <w:jc w:val="center"/>
      </w:pPr>
      <w:r>
        <w:t xml:space="preserve">Figure </w:t>
      </w:r>
      <w:fldSimple w:instr=" SEQ Figure \* ARABIC ">
        <w:r>
          <w:rPr>
            <w:noProof/>
          </w:rPr>
          <w:t>8</w:t>
        </w:r>
      </w:fldSimple>
      <w:r>
        <w:t xml:space="preserve"> : Evolution du nombre d'arrêt par type</w:t>
      </w:r>
    </w:p>
    <w:p w14:paraId="05390C89" w14:textId="034B5031" w:rsidR="00260AC0" w:rsidRDefault="0007518C" w:rsidP="001969F9">
      <w:pPr>
        <w:pStyle w:val="Sansinterligne"/>
        <w:rPr>
          <w:color w:val="7030A0"/>
          <w:sz w:val="32"/>
          <w:szCs w:val="32"/>
        </w:rPr>
      </w:pPr>
      <w:r>
        <w:t>Nous observons ici une hausse significative du nombre d’arrêts moyen sur 2020, cette hausse est encore une fois sûrement dû aux dispositifs d’indemnisations des salariés lors des interruptions de travails à la suite d’un test positif au COVID-19, dans ces cas il était très fréquent que la période d’arrêt dépassait les 10 jours.</w:t>
      </w:r>
      <w:r w:rsidR="00260AC0">
        <w:br w:type="page"/>
      </w:r>
    </w:p>
    <w:bookmarkEnd w:id="37"/>
    <w:p w14:paraId="78A2A089" w14:textId="06C4F52C" w:rsidR="00260AC0" w:rsidRDefault="00621C55" w:rsidP="00621C55">
      <w:pPr>
        <w:pStyle w:val="Titre2"/>
      </w:pPr>
      <w:r>
        <w:lastRenderedPageBreak/>
        <w:t>Mesure de l’absentéisme sur le portefeuille d’étude</w:t>
      </w:r>
    </w:p>
    <w:p w14:paraId="11F58D86" w14:textId="46D4066C" w:rsidR="00260AC0" w:rsidRDefault="00260AC0" w:rsidP="00260AC0"/>
    <w:p w14:paraId="4F072743" w14:textId="310615D2" w:rsidR="003E5258" w:rsidRDefault="003E5258" w:rsidP="00260AC0">
      <w:r>
        <w:t>Nous évaluerons l’absentéisme globale de l’entreprise par année dans un premier temps, puis nous créerons une base de données agrégée par assurée pour pouvoir étudier l’absentéisme individuel et donc de pouvoir étudier plus en détail l’absentéisme sur notre portefeuille d’étude.</w:t>
      </w:r>
    </w:p>
    <w:p w14:paraId="517FF06E" w14:textId="278BBC7E" w:rsidR="003E5258" w:rsidRDefault="003E5258" w:rsidP="00260AC0">
      <w:r>
        <w:t>Nous disposons d’un portefeuille de 600000 assurés donc pour calculer le taux d’absentéisme sur ce portefeuille, il faut dans un premier temps calculer le nombre de jours d’arrêts effectifs par année pour l’ensemble du portefeuille. Nous considérerons le nombre de jours calendaire d’une année comme étant le nombre maximal de jours de travail sur une année pour un assuré</w:t>
      </w:r>
      <w:r w:rsidR="003A76E2">
        <w:t xml:space="preserve">. Avec ses conventions, le taux d’absentéisme que nous calculons est le suivant : </w:t>
      </w:r>
    </w:p>
    <w:p w14:paraId="36CB018B" w14:textId="77777777" w:rsidR="004D3176" w:rsidRDefault="004D3176" w:rsidP="00260AC0"/>
    <w:p w14:paraId="5281EAB8" w14:textId="77777777" w:rsidR="003E5258" w:rsidRPr="00896CA2" w:rsidRDefault="003E5258" w:rsidP="00260AC0">
      <w:bookmarkStart w:id="42" w:name="_GoBack"/>
      <w:bookmarkEnd w:id="42"/>
    </w:p>
    <w:p w14:paraId="43054386" w14:textId="77777777" w:rsidR="00260AC0" w:rsidRDefault="00260AC0">
      <w:pPr>
        <w:jc w:val="left"/>
        <w:rPr>
          <w:rFonts w:asciiTheme="majorHAnsi" w:eastAsiaTheme="majorEastAsia" w:hAnsiTheme="majorHAnsi" w:cstheme="majorBidi"/>
          <w:spacing w:val="-10"/>
          <w:kern w:val="28"/>
          <w:sz w:val="56"/>
          <w:szCs w:val="56"/>
        </w:rPr>
      </w:pPr>
      <w:r>
        <w:br w:type="page"/>
      </w:r>
    </w:p>
    <w:p w14:paraId="78452A7C" w14:textId="77777777" w:rsidR="00260AC0" w:rsidRDefault="00260AC0" w:rsidP="00260AC0">
      <w:pPr>
        <w:pStyle w:val="Titre1"/>
      </w:pPr>
      <w:bookmarkStart w:id="43" w:name="_Toc112883470"/>
      <w:r>
        <w:lastRenderedPageBreak/>
        <w:t>Aspect théorique des modèles linéaires généralisés</w:t>
      </w:r>
      <w:bookmarkEnd w:id="43"/>
    </w:p>
    <w:p w14:paraId="107BDE25" w14:textId="77777777" w:rsidR="00260AC0" w:rsidRDefault="00260AC0" w:rsidP="00260AC0">
      <w:pPr>
        <w:rPr>
          <w:sz w:val="20"/>
          <w:szCs w:val="20"/>
        </w:rPr>
      </w:pPr>
    </w:p>
    <w:p w14:paraId="7B05F818" w14:textId="77777777" w:rsidR="00260AC0" w:rsidRDefault="00260AC0" w:rsidP="00260AC0">
      <w:pPr>
        <w:rPr>
          <w:sz w:val="20"/>
          <w:szCs w:val="20"/>
        </w:rPr>
      </w:pPr>
      <w:r>
        <w:rPr>
          <w:sz w:val="20"/>
          <w:szCs w:val="20"/>
        </w:rPr>
        <w:t xml:space="preserve">Les modèles linéaires généralisés ont été introduits par </w:t>
      </w:r>
      <w:proofErr w:type="spellStart"/>
      <w:r>
        <w:rPr>
          <w:sz w:val="20"/>
          <w:szCs w:val="20"/>
        </w:rPr>
        <w:t>Nelder</w:t>
      </w:r>
      <w:proofErr w:type="spellEnd"/>
      <w:r>
        <w:rPr>
          <w:sz w:val="20"/>
          <w:szCs w:val="20"/>
        </w:rPr>
        <w:t xml:space="preserve"> et </w:t>
      </w:r>
      <w:proofErr w:type="spellStart"/>
      <w:r>
        <w:rPr>
          <w:sz w:val="20"/>
          <w:szCs w:val="20"/>
        </w:rPr>
        <w:t>Wedderburn</w:t>
      </w:r>
      <w:proofErr w:type="spellEnd"/>
      <w:r>
        <w:rPr>
          <w:sz w:val="20"/>
          <w:szCs w:val="20"/>
        </w:rPr>
        <w:t xml:space="preserve"> en 1972, ils constituent la base de référence pour modéliser l’effet des variables de segmentation sur un tarif en assurance. Ces modèles sont adaptés à de nombreuses problématiques courante dans le domaine de la statistique et de l’actuariat.</w:t>
      </w:r>
    </w:p>
    <w:p w14:paraId="2F0BBBF0" w14:textId="77777777" w:rsidR="00260AC0" w:rsidRDefault="00260AC0" w:rsidP="00260AC0"/>
    <w:p w14:paraId="7035AC8B" w14:textId="77777777" w:rsidR="00260AC0" w:rsidRDefault="00260AC0" w:rsidP="00260AC0">
      <w:pPr>
        <w:pStyle w:val="Titre2"/>
      </w:pPr>
      <w:bookmarkStart w:id="44" w:name="_Toc112883471"/>
      <w:r>
        <w:t>Intérêt des modèles linéaires généralisés</w:t>
      </w:r>
      <w:bookmarkEnd w:id="44"/>
    </w:p>
    <w:p w14:paraId="56293FD7" w14:textId="77777777" w:rsidR="00260AC0" w:rsidRDefault="00260AC0" w:rsidP="00260AC0">
      <w:pPr>
        <w:pStyle w:val="Sansinterligne"/>
      </w:pPr>
      <w:r w:rsidRPr="00B40245">
        <w:t xml:space="preserve">Les </w:t>
      </w:r>
      <w:r>
        <w:t>modèles linéaires généralisés</w:t>
      </w:r>
      <w:r w:rsidRPr="00B40245">
        <w:t xml:space="preserve"> sont des modèles régulièrement utilisés en assurance </w:t>
      </w:r>
      <w:r>
        <w:t xml:space="preserve">que ce soit en assurance santé (remboursements soins, frais d’hospitalisation), en assurance auto (dommage matériel, vol, …), en assurance MRH (incendie, vol, dégâts des eaux, …). </w:t>
      </w:r>
    </w:p>
    <w:p w14:paraId="0782F1F3" w14:textId="77777777" w:rsidR="00260AC0" w:rsidRDefault="00260AC0" w:rsidP="00260AC0">
      <w:pPr>
        <w:pStyle w:val="Sansinterligne"/>
      </w:pPr>
    </w:p>
    <w:p w14:paraId="4588BEC2" w14:textId="77777777" w:rsidR="00260AC0" w:rsidRDefault="00260AC0" w:rsidP="00260AC0">
      <w:pPr>
        <w:pStyle w:val="Sansinterligne"/>
      </w:pPr>
      <w:r>
        <w:t>Les GLM permettent de :</w:t>
      </w:r>
    </w:p>
    <w:p w14:paraId="2A0AFD42" w14:textId="77777777" w:rsidR="00260AC0" w:rsidRDefault="00260AC0" w:rsidP="00154541">
      <w:pPr>
        <w:pStyle w:val="Sansinterligne"/>
        <w:numPr>
          <w:ilvl w:val="0"/>
          <w:numId w:val="24"/>
        </w:numPr>
        <w:jc w:val="both"/>
      </w:pPr>
      <w:r>
        <w:t xml:space="preserve">Modéliser des réponses diverses </w:t>
      </w:r>
    </w:p>
    <w:p w14:paraId="02A28C38" w14:textId="77777777" w:rsidR="00260AC0" w:rsidRDefault="00260AC0" w:rsidP="00154541">
      <w:pPr>
        <w:pStyle w:val="Sansinterligne"/>
        <w:numPr>
          <w:ilvl w:val="0"/>
          <w:numId w:val="24"/>
        </w:numPr>
        <w:jc w:val="both"/>
      </w:pPr>
      <w:r>
        <w:t>Intégrer toute type d’information exogène susceptible d’influer sur la variable dépendante (réponse Y)</w:t>
      </w:r>
    </w:p>
    <w:p w14:paraId="30E9FF82" w14:textId="77777777" w:rsidR="00260AC0" w:rsidRDefault="00260AC0" w:rsidP="00154541">
      <w:pPr>
        <w:pStyle w:val="Sansinterligne"/>
        <w:numPr>
          <w:ilvl w:val="0"/>
          <w:numId w:val="24"/>
        </w:numPr>
        <w:jc w:val="both"/>
      </w:pPr>
      <w:r>
        <w:t>Quantifier l’impact des facteurs de risque X (sens/intensité)</w:t>
      </w:r>
    </w:p>
    <w:p w14:paraId="1BFBFCCA" w14:textId="77777777" w:rsidR="00260AC0" w:rsidRDefault="00260AC0" w:rsidP="00154541">
      <w:pPr>
        <w:pStyle w:val="Sansinterligne"/>
        <w:numPr>
          <w:ilvl w:val="0"/>
          <w:numId w:val="24"/>
        </w:numPr>
        <w:jc w:val="both"/>
      </w:pPr>
      <w:r>
        <w:t>Résidus hétéroscédastiques (la loi varie par profil)</w:t>
      </w:r>
    </w:p>
    <w:p w14:paraId="2D1DA4B4" w14:textId="77777777" w:rsidR="00260AC0" w:rsidRDefault="00260AC0" w:rsidP="00260AC0">
      <w:pPr>
        <w:pStyle w:val="Sansinterligne"/>
      </w:pPr>
    </w:p>
    <w:p w14:paraId="654466A1" w14:textId="77777777" w:rsidR="00260AC0" w:rsidRDefault="00260AC0" w:rsidP="00260AC0">
      <w:pPr>
        <w:pStyle w:val="Sansinterligne"/>
      </w:pPr>
      <w:r>
        <w:t xml:space="preserve">Cependant, leur mise en place nécessite d’introduire deux hypothèses fondamentales : </w:t>
      </w:r>
    </w:p>
    <w:p w14:paraId="0C221525" w14:textId="77777777" w:rsidR="00260AC0" w:rsidRDefault="00260AC0" w:rsidP="00154541">
      <w:pPr>
        <w:pStyle w:val="Sansinterligne"/>
        <w:numPr>
          <w:ilvl w:val="0"/>
          <w:numId w:val="25"/>
        </w:numPr>
        <w:jc w:val="both"/>
      </w:pPr>
      <w:r>
        <w:t xml:space="preserve">Les données que l’on cherche à expliquer sont indépendants entre elles  </w:t>
      </w:r>
    </w:p>
    <w:p w14:paraId="1291DA13" w14:textId="77777777" w:rsidR="00260AC0" w:rsidRDefault="00260AC0" w:rsidP="00154541">
      <w:pPr>
        <w:pStyle w:val="Sansinterligne"/>
        <w:numPr>
          <w:ilvl w:val="0"/>
          <w:numId w:val="25"/>
        </w:numPr>
        <w:jc w:val="both"/>
      </w:pPr>
      <w:r>
        <w:t>Les variables explicatives X sont indépendantes deux à deux</w:t>
      </w:r>
    </w:p>
    <w:p w14:paraId="0067D622" w14:textId="77777777" w:rsidR="00260AC0" w:rsidRDefault="00260AC0" w:rsidP="00260AC0">
      <w:pPr>
        <w:pStyle w:val="Sansinterligne"/>
      </w:pPr>
      <w:r>
        <w:t xml:space="preserve">Ces hypothèses sont très importantes notamment car l’un des intérêts des modèles linéaires généralisés en assurance est la tarification et donc le calcul d’une prime pure, calculée généralement de la façon suivante avec une approche fréquence-sinistre :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N|X</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e>
        </m:d>
        <m:r>
          <w:rPr>
            <w:rFonts w:ascii="Cambria Math" w:hAnsi="Cambria Math"/>
          </w:rPr>
          <m:t xml:space="preserve"> </m:t>
        </m:r>
      </m:oMath>
      <w:r>
        <w:rPr>
          <w:rFonts w:eastAsiaTheme="minorEastAsia"/>
        </w:rPr>
        <w:t xml:space="preserve"> </w:t>
      </w:r>
    </w:p>
    <w:p w14:paraId="2A8E97EA" w14:textId="77777777" w:rsidR="00260AC0" w:rsidRDefault="00260AC0">
      <w:pPr>
        <w:rPr>
          <w:rFonts w:asciiTheme="majorHAnsi" w:eastAsiaTheme="majorEastAsia" w:hAnsiTheme="majorHAnsi" w:cstheme="majorBidi"/>
          <w:color w:val="2F5496" w:themeColor="accent1" w:themeShade="BF"/>
          <w:sz w:val="26"/>
          <w:szCs w:val="26"/>
        </w:rPr>
      </w:pPr>
      <w:r>
        <w:br w:type="page"/>
      </w:r>
    </w:p>
    <w:p w14:paraId="3B66C360" w14:textId="77777777" w:rsidR="00260AC0" w:rsidRDefault="00260AC0" w:rsidP="00260AC0">
      <w:pPr>
        <w:pStyle w:val="Titre2"/>
      </w:pPr>
      <w:bookmarkStart w:id="45" w:name="_Toc112883472"/>
      <w:r>
        <w:lastRenderedPageBreak/>
        <w:t>Principe des GLM</w:t>
      </w:r>
      <w:bookmarkEnd w:id="45"/>
    </w:p>
    <w:p w14:paraId="70621A28" w14:textId="77777777" w:rsidR="00260AC0" w:rsidRDefault="00260AC0" w:rsidP="00260AC0">
      <w:pPr>
        <w:pStyle w:val="Sansinterligne"/>
      </w:pPr>
    </w:p>
    <w:p w14:paraId="7E925A07" w14:textId="77777777" w:rsidR="00260AC0" w:rsidRDefault="00260AC0" w:rsidP="00260AC0">
      <w:pPr>
        <w:pStyle w:val="Titre3"/>
        <w:spacing w:after="240"/>
      </w:pPr>
      <w:bookmarkStart w:id="46" w:name="_Toc112883473"/>
      <w:r>
        <w:t>Composant d’un GLM :</w:t>
      </w:r>
      <w:bookmarkEnd w:id="46"/>
    </w:p>
    <w:p w14:paraId="4F94B527" w14:textId="77777777" w:rsidR="00260AC0" w:rsidRDefault="00260AC0" w:rsidP="00260AC0">
      <w:pPr>
        <w:pStyle w:val="Sansinterligne"/>
      </w:pPr>
      <w:r>
        <w:t>Les différents composants d’un modèle linéaire généralisé sont :</w:t>
      </w:r>
    </w:p>
    <w:p w14:paraId="16F687B1" w14:textId="77777777" w:rsidR="00260AC0" w:rsidRDefault="00260AC0" w:rsidP="00154541">
      <w:pPr>
        <w:pStyle w:val="Sansinterligne"/>
        <w:numPr>
          <w:ilvl w:val="0"/>
          <w:numId w:val="26"/>
        </w:numPr>
        <w:jc w:val="both"/>
      </w:pPr>
      <w:r w:rsidRPr="007244EB">
        <w:rPr>
          <w:b/>
          <w:bCs/>
        </w:rPr>
        <w:t>La loi de la réponse aléatoire Y</w:t>
      </w:r>
      <w:r w:rsidRPr="007244EB">
        <w:rPr>
          <w:b/>
          <w:bCs/>
          <w:vertAlign w:val="subscript"/>
        </w:rPr>
        <w:t>i</w:t>
      </w:r>
      <w:r w:rsidRPr="007244EB">
        <w:rPr>
          <w:b/>
          <w:bCs/>
        </w:rPr>
        <w:t> :</w:t>
      </w:r>
      <w:r>
        <w:t xml:space="preserve"> par hypothèse la distribution de cette loi appartient à la famille exponentielle </w:t>
      </w:r>
    </w:p>
    <w:p w14:paraId="0AC041B5" w14:textId="77777777" w:rsidR="00260AC0" w:rsidRDefault="00260AC0" w:rsidP="00260AC0">
      <w:pPr>
        <w:pStyle w:val="Sansinterligne"/>
        <w:ind w:left="708"/>
      </w:pPr>
      <w:r w:rsidRPr="006B182C">
        <w:rPr>
          <w:u w:val="single"/>
        </w:rPr>
        <w:t>Rappel :</w:t>
      </w:r>
      <w:r w:rsidRPr="006B182C">
        <w:t xml:space="preserve"> </w:t>
      </w:r>
      <w:r>
        <w:t xml:space="preserve"> La densité de probabilité d’une loi appartenant à la famille exponentielle s’écrit de la façon suivante :</w:t>
      </w:r>
    </w:p>
    <w:p w14:paraId="0CA57D45" w14:textId="77777777" w:rsidR="00260AC0" w:rsidRPr="000D7F95" w:rsidRDefault="00260AC0" w:rsidP="00260AC0">
      <w:pPr>
        <w:ind w:left="360"/>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y,ϕ</m:t>
              </m:r>
            </m:e>
          </m:d>
          <m:r>
            <w:rPr>
              <w:rFonts w:ascii="Cambria Math" w:eastAsiaTheme="minorEastAsia" w:hAnsi="Cambria Math"/>
              <w:sz w:val="20"/>
              <w:szCs w:val="20"/>
            </w:rPr>
            <m:t>)</m:t>
          </m:r>
        </m:oMath>
      </m:oMathPara>
    </w:p>
    <w:p w14:paraId="43C3829A" w14:textId="77777777" w:rsidR="00260AC0" w:rsidRDefault="00260AC0" w:rsidP="00260AC0">
      <w:pPr>
        <w:pStyle w:val="Sansinterligne"/>
        <w:ind w:left="1068"/>
      </w:pPr>
      <w:r w:rsidRPr="000D7F95">
        <w:t>Avec :</w:t>
      </w:r>
    </w:p>
    <w:p w14:paraId="3E76332D" w14:textId="77777777" w:rsidR="00260AC0" w:rsidRDefault="00260AC0" w:rsidP="00154541">
      <w:pPr>
        <w:pStyle w:val="Sansinterligne"/>
        <w:numPr>
          <w:ilvl w:val="0"/>
          <w:numId w:val="27"/>
        </w:numPr>
        <w:jc w:val="both"/>
      </w:pPr>
      <w:r>
        <w:t xml:space="preserve">Avec θ le paramètre naturel de la dispersion, </w:t>
      </w:r>
    </w:p>
    <w:p w14:paraId="57960808" w14:textId="77777777" w:rsidR="00260AC0" w:rsidRDefault="00260AC0" w:rsidP="00154541">
      <w:pPr>
        <w:pStyle w:val="Sansinterligne"/>
        <w:numPr>
          <w:ilvl w:val="0"/>
          <w:numId w:val="27"/>
        </w:numPr>
        <w:jc w:val="both"/>
      </w:pPr>
      <w:proofErr w:type="gramStart"/>
      <w:r>
        <w:t>φ</w:t>
      </w:r>
      <w:proofErr w:type="gramEnd"/>
      <w:r>
        <w:t xml:space="preserve"> le paramètre de dispersion, b une fonction définie sur </w:t>
      </w:r>
      <m:oMath>
        <m:r>
          <m:rPr>
            <m:scr m:val="double-struck"/>
          </m:rPr>
          <w:rPr>
            <w:rFonts w:ascii="Cambria Math" w:hAnsi="Cambria Math"/>
          </w:rPr>
          <m:t>R</m:t>
        </m:r>
      </m:oMath>
      <w:r>
        <w:t xml:space="preserve"> deux fois dérivable et de dérivée première injective, </w:t>
      </w:r>
    </w:p>
    <w:p w14:paraId="31BF0E12" w14:textId="77777777" w:rsidR="00260AC0" w:rsidRDefault="00260AC0" w:rsidP="00154541">
      <w:pPr>
        <w:pStyle w:val="Sansinterligne"/>
        <w:numPr>
          <w:ilvl w:val="0"/>
          <w:numId w:val="27"/>
        </w:numPr>
        <w:jc w:val="both"/>
      </w:pPr>
      <w:proofErr w:type="gramStart"/>
      <w:r>
        <w:t>c</w:t>
      </w:r>
      <w:proofErr w:type="gramEnd"/>
      <w:r>
        <w:t xml:space="preserve"> une fonction définie sur </w:t>
      </w:r>
      <m:oMath>
        <m:r>
          <m:rPr>
            <m:scr m:val="double-struck"/>
          </m:rPr>
          <w:rPr>
            <w:rFonts w:ascii="Cambria Math" w:hAnsi="Cambria Math"/>
          </w:rPr>
          <m:t>R²</m:t>
        </m:r>
      </m:oMath>
      <w:r>
        <w:t xml:space="preserve"> </w:t>
      </w:r>
    </w:p>
    <w:p w14:paraId="098BA95A" w14:textId="77777777" w:rsidR="00260AC0" w:rsidRDefault="00260AC0" w:rsidP="00260AC0">
      <w:pPr>
        <w:pStyle w:val="Sansinterligne"/>
        <w:ind w:left="708"/>
      </w:pPr>
    </w:p>
    <w:p w14:paraId="4DEC88E2" w14:textId="77777777" w:rsidR="00260AC0" w:rsidRDefault="00260AC0" w:rsidP="00260AC0">
      <w:pPr>
        <w:pStyle w:val="Sansinterligne"/>
        <w:ind w:left="708"/>
      </w:pPr>
      <w:r>
        <w:t>De plus on a en particulier avec les lois de cette famille :</w:t>
      </w:r>
    </w:p>
    <w:p w14:paraId="064C1FDF" w14:textId="77777777" w:rsidR="00260AC0" w:rsidRDefault="00260AC0" w:rsidP="00260AC0">
      <w:pPr>
        <w:pStyle w:val="Sansinterligne"/>
        <w:spacing w:before="240"/>
        <w:ind w:left="708"/>
        <w:jc w:val="center"/>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oMath>
      <w:r>
        <w:rPr>
          <w:rFonts w:eastAsiaTheme="minorEastAsia"/>
          <w:sz w:val="20"/>
          <w:szCs w:val="20"/>
        </w:rPr>
        <w:t xml:space="preserve"> </w:t>
      </w:r>
      <w:proofErr w:type="gramStart"/>
      <w:r>
        <w:rPr>
          <w:rFonts w:eastAsiaTheme="minorEastAsia"/>
          <w:sz w:val="20"/>
          <w:szCs w:val="20"/>
        </w:rPr>
        <w:t>ainsi</w:t>
      </w:r>
      <w:proofErr w:type="gramEnd"/>
      <w:r>
        <w:rPr>
          <w:rFonts w:eastAsiaTheme="minorEastAsia"/>
          <w:sz w:val="20"/>
          <w:szCs w:val="20"/>
        </w:rPr>
        <w:t xml:space="preserve"> que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r>
          <m:rPr>
            <m:sty m:val="p"/>
          </m:rPr>
          <w:rPr>
            <w:rFonts w:ascii="Cambria Math" w:hAnsi="Cambria Math"/>
            <w:sz w:val="20"/>
            <w:szCs w:val="20"/>
          </w:rPr>
          <m:t>ϕ</m:t>
        </m:r>
      </m:oMath>
    </w:p>
    <w:p w14:paraId="316F525A" w14:textId="77777777" w:rsidR="00260AC0" w:rsidRDefault="00260AC0" w:rsidP="00260AC0">
      <w:pPr>
        <w:pStyle w:val="Paragraphedeliste"/>
      </w:pPr>
    </w:p>
    <w:p w14:paraId="16B72435" w14:textId="77777777" w:rsidR="00260AC0" w:rsidRPr="00AA148E" w:rsidRDefault="00260AC0" w:rsidP="00154541">
      <w:pPr>
        <w:pStyle w:val="Sansinterligne"/>
        <w:numPr>
          <w:ilvl w:val="0"/>
          <w:numId w:val="26"/>
        </w:numPr>
        <w:jc w:val="both"/>
      </w:pPr>
      <w:r w:rsidRPr="007244EB">
        <w:rPr>
          <w:b/>
          <w:bCs/>
        </w:rPr>
        <w:t>Le prédicteur</w:t>
      </w:r>
      <w:r>
        <w:t xml:space="preserve"> noté </w:t>
      </w:r>
      <w:proofErr w:type="spellStart"/>
      <w:r>
        <w:rPr>
          <w:rFonts w:cstheme="minorHAnsi"/>
        </w:rPr>
        <w:t>η</w:t>
      </w:r>
      <w:r>
        <w:rPr>
          <w:vertAlign w:val="subscript"/>
        </w:rPr>
        <w:t>i</w:t>
      </w:r>
      <w:proofErr w:type="spellEnd"/>
      <w:r>
        <w:rPr>
          <w:vertAlign w:val="subscript"/>
        </w:rPr>
        <w:t xml:space="preserve"> </w:t>
      </w:r>
      <w:r>
        <w:t xml:space="preserve">et défini tel que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r>
          <m:rPr>
            <m:sty m:val="p"/>
          </m:rPr>
          <w:rPr>
            <w:rFonts w:ascii="Cambria Math" w:hAnsi="Cambria Math"/>
            <w:vertAlign w:val="subscript"/>
          </w:rPr>
          <m:t>=</m:t>
        </m:r>
        <m:nary>
          <m:naryPr>
            <m:chr m:val="∑"/>
            <m:limLoc m:val="undOvr"/>
            <m:ctrlPr>
              <w:rPr>
                <w:rFonts w:ascii="Cambria Math" w:hAnsi="Cambria Math"/>
                <w:vertAlign w:val="subscript"/>
              </w:rPr>
            </m:ctrlPr>
          </m:naryPr>
          <m:sub>
            <m:r>
              <w:rPr>
                <w:rFonts w:ascii="Cambria Math" w:hAnsi="Cambria Math"/>
                <w:vertAlign w:val="subscript"/>
              </w:rPr>
              <m:t>j=1</m:t>
            </m:r>
          </m:sub>
          <m:sup>
            <m:r>
              <w:rPr>
                <w:rFonts w:ascii="Cambria Math" w:hAnsi="Cambria Math"/>
                <w:vertAlign w:val="subscript"/>
              </w:rPr>
              <m:t>J</m:t>
            </m:r>
          </m:sup>
          <m:e>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j</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ij</m:t>
                </m:r>
              </m:sub>
            </m:sSub>
          </m:e>
        </m:nary>
      </m:oMath>
      <w:r>
        <w:rPr>
          <w:rFonts w:eastAsiaTheme="minorEastAsia"/>
          <w:vertAlign w:val="subscript"/>
        </w:rPr>
        <w:t xml:space="preserve"> </w:t>
      </w:r>
      <w:r>
        <w:rPr>
          <w:rFonts w:eastAsiaTheme="minorEastAsia"/>
        </w:rPr>
        <w:t>est linéaire et déterministe : il est calculé via les facteurs de risques explicatifs</w:t>
      </w:r>
    </w:p>
    <w:p w14:paraId="0AF4D31C" w14:textId="77777777" w:rsidR="00260AC0" w:rsidRDefault="00260AC0" w:rsidP="00154541">
      <w:pPr>
        <w:pStyle w:val="Sansinterligne"/>
        <w:numPr>
          <w:ilvl w:val="0"/>
          <w:numId w:val="26"/>
        </w:numPr>
        <w:spacing w:after="240"/>
        <w:jc w:val="both"/>
      </w:pPr>
      <w:r>
        <w:rPr>
          <w:b/>
          <w:bCs/>
        </w:rPr>
        <w:t xml:space="preserve">La fonction de lien g : </w:t>
      </w:r>
      <w:r>
        <w:t>elle est par définition monotone, dérivable et inversible. Elle est définie et utilisée en pratique de la façon suivante :</w:t>
      </w:r>
    </w:p>
    <w:p w14:paraId="6D538215" w14:textId="77777777" w:rsidR="00260AC0" w:rsidRPr="00D20CD3" w:rsidRDefault="00260AC0" w:rsidP="00260AC0">
      <w:pPr>
        <w:pStyle w:val="Sansinterligne"/>
        <w:spacing w:after="240"/>
      </w:pPr>
      <m:oMathPara>
        <m:oMathParaPr>
          <m:jc m:val="center"/>
        </m:oMathParaPr>
        <m:oMath>
          <m:r>
            <w:rPr>
              <w:rFonts w:ascii="Cambria Math" w:hAnsi="Cambria Math"/>
            </w:rPr>
            <m:t>g</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oMath>
      </m:oMathPara>
    </w:p>
    <w:p w14:paraId="37B24036" w14:textId="77777777" w:rsidR="00260AC0" w:rsidRDefault="00260AC0" w:rsidP="00260AC0">
      <w:r>
        <w:t>En pratique, il faut adapter la fonction de lien au domaine de définition de Y, voici un tableau qui présente les différentes fonction lien utilisées en pratique :</w:t>
      </w:r>
    </w:p>
    <w:p w14:paraId="4C5636B3" w14:textId="77777777" w:rsidR="00260AC0" w:rsidRDefault="00260AC0" w:rsidP="00260AC0">
      <w:pPr>
        <w:jc w:val="center"/>
      </w:pPr>
      <w:r>
        <w:rPr>
          <w:noProof/>
        </w:rPr>
        <w:drawing>
          <wp:inline distT="0" distB="0" distL="0" distR="0" wp14:anchorId="176B4E92" wp14:editId="0AB1F469">
            <wp:extent cx="4518837" cy="2531884"/>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4869" cy="2546470"/>
                    </a:xfrm>
                    <a:prstGeom prst="rect">
                      <a:avLst/>
                    </a:prstGeom>
                  </pic:spPr>
                </pic:pic>
              </a:graphicData>
            </a:graphic>
          </wp:inline>
        </w:drawing>
      </w:r>
    </w:p>
    <w:p w14:paraId="227D5E20" w14:textId="77777777" w:rsidR="00260AC0" w:rsidRDefault="00260AC0" w:rsidP="00260AC0">
      <w:pPr>
        <w:pStyle w:val="Sansinterligne"/>
      </w:pPr>
      <w:r>
        <w:t>La fonction de lien canonique est la fonction lien qui associe la moyenne µ au paramètre canonique θ. Elle est telle que :</w:t>
      </w:r>
    </w:p>
    <w:p w14:paraId="3E90B715" w14:textId="77777777" w:rsidR="00260AC0" w:rsidRPr="000E5D7F" w:rsidRDefault="00260AC0" w:rsidP="00260AC0">
      <w:pPr>
        <w:pStyle w:val="Sansinterligne"/>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rPr>
                <m:t>θ</m:t>
              </m:r>
            </m:e>
            <m:sub>
              <m:r>
                <m:rPr>
                  <m:sty m:val="p"/>
                </m:rPr>
                <w:rPr>
                  <w:rFonts w:ascii="Cambria Math" w:hAnsi="Cambria Math"/>
                  <w:vertAlign w:val="subscript"/>
                </w:rPr>
                <m:t>i</m:t>
              </m:r>
            </m:sub>
          </m:sSub>
        </m:oMath>
      </m:oMathPara>
    </w:p>
    <w:p w14:paraId="50CC8914" w14:textId="77777777" w:rsidR="00260AC0" w:rsidRDefault="00260AC0" w:rsidP="00260AC0">
      <w:pPr>
        <w:pStyle w:val="Sansinterligne"/>
        <w:spacing w:before="240"/>
      </w:pPr>
      <w:r>
        <w:rPr>
          <w:rFonts w:eastAsiaTheme="minorEastAsia"/>
        </w:rPr>
        <w:t>On trouvera ci-dessous la fonction de lien canonique associée à certaines lois usuelles :</w:t>
      </w:r>
    </w:p>
    <w:p w14:paraId="51B3A60C" w14:textId="77777777" w:rsidR="00260AC0" w:rsidRDefault="00260AC0" w:rsidP="00260AC0">
      <w:pPr>
        <w:spacing w:before="240"/>
        <w:jc w:val="center"/>
      </w:pPr>
      <w:r>
        <w:rPr>
          <w:noProof/>
        </w:rPr>
        <w:lastRenderedPageBreak/>
        <w:drawing>
          <wp:inline distT="0" distB="0" distL="0" distR="0" wp14:anchorId="67FA0A8D" wp14:editId="7E73BC14">
            <wp:extent cx="4795284" cy="1527989"/>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1699" cy="1533220"/>
                    </a:xfrm>
                    <a:prstGeom prst="rect">
                      <a:avLst/>
                    </a:prstGeom>
                  </pic:spPr>
                </pic:pic>
              </a:graphicData>
            </a:graphic>
          </wp:inline>
        </w:drawing>
      </w:r>
    </w:p>
    <w:p w14:paraId="73F5F5C5" w14:textId="77777777" w:rsidR="00260AC0" w:rsidRDefault="00260AC0" w:rsidP="00260AC0"/>
    <w:p w14:paraId="3DE2777C" w14:textId="77777777" w:rsidR="00260AC0" w:rsidRDefault="00260AC0" w:rsidP="00260AC0">
      <w:r>
        <w:t xml:space="preserve">A présent, présentons quelques modèles fréquemment utilisés dans le contexte assurantiel : </w:t>
      </w:r>
    </w:p>
    <w:p w14:paraId="340E9FB2" w14:textId="77777777" w:rsidR="00260AC0" w:rsidRDefault="00260AC0" w:rsidP="00260AC0"/>
    <w:p w14:paraId="30114CBA" w14:textId="77777777" w:rsidR="00260AC0" w:rsidRDefault="00260AC0" w:rsidP="00260AC0"/>
    <w:p w14:paraId="22B945FA" w14:textId="77777777" w:rsidR="00260AC0" w:rsidRDefault="00260AC0" w:rsidP="00260AC0">
      <w:pPr>
        <w:pStyle w:val="Titre3"/>
        <w:spacing w:after="240"/>
      </w:pPr>
      <w:bookmarkStart w:id="47" w:name="_Toc112883474"/>
      <w:r>
        <w:t>Modèle gaussien :</w:t>
      </w:r>
      <w:bookmarkEnd w:id="47"/>
    </w:p>
    <w:p w14:paraId="38BE4975" w14:textId="77777777" w:rsidR="00260AC0" w:rsidRDefault="00260AC0" w:rsidP="00260AC0">
      <w:pPr>
        <w:pStyle w:val="Sansinterligne"/>
      </w:pPr>
      <w:r>
        <w:t xml:space="preserve">Dans le cas d’un échantillon gaussien, les densités d’une famille de lois </w:t>
      </w:r>
      <m:oMath>
        <m:r>
          <m:rPr>
            <m:sty m:val="p"/>
          </m:rPr>
          <w:rPr>
            <w:rFonts w:ascii="Cambria Math" w:hAnsi="Cambria Math"/>
          </w:rPr>
          <m:t>Ν</m:t>
        </m:r>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s’écrivent :</w:t>
      </w:r>
    </w:p>
    <w:p w14:paraId="7714EBD6" w14:textId="77777777" w:rsidR="00260AC0" w:rsidRPr="00DA298E" w:rsidRDefault="00260AC0" w:rsidP="00260AC0">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2πσ²</m:t>
                  </m:r>
                </m:e>
              </m:rad>
            </m:den>
          </m:f>
          <m:r>
            <m:rPr>
              <m:sty m:val="p"/>
            </m:rPr>
            <w:rPr>
              <w:rFonts w:ascii="Cambria Math" w:hAnsi="Cambria Math"/>
            </w:rPr>
            <m:t xml:space="preserve">  exp⁡[-</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2</m:t>
                  </m:r>
                </m:sup>
              </m:sSup>
            </m:num>
            <m:den>
              <m:r>
                <m:rPr>
                  <m:sty m:val="p"/>
                </m:rPr>
                <w:rPr>
                  <w:rFonts w:ascii="Cambria Math" w:hAnsi="Cambria Math"/>
                </w:rPr>
                <m:t>2σ²</m:t>
              </m:r>
            </m:den>
          </m:f>
          <m:r>
            <m:rPr>
              <m:sty m:val="p"/>
            </m:rPr>
            <w:rPr>
              <w:rFonts w:ascii="Cambria Math" w:hAnsi="Cambria Math"/>
            </w:rPr>
            <m:t>]</m:t>
          </m:r>
        </m:oMath>
      </m:oMathPara>
    </w:p>
    <w:p w14:paraId="78A864E1" w14:textId="77777777" w:rsidR="00260AC0" w:rsidRDefault="00260AC0" w:rsidP="00260AC0">
      <w:pPr>
        <w:spacing w:after="0"/>
      </w:pPr>
      <w:r>
        <w:t>Et appartiennent à la famille exponentielle en posant :</w:t>
      </w:r>
    </w:p>
    <w:p w14:paraId="6F32FA8E" w14:textId="77777777" w:rsidR="00260AC0" w:rsidRPr="00AE645D" w:rsidRDefault="004057A7" w:rsidP="00260AC0">
      <w:pPr>
        <w:spacing w:after="0"/>
        <w:jc w:val="center"/>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 E</m:t>
        </m:r>
        <m:d>
          <m:dPr>
            <m:ctrlPr>
              <w:rPr>
                <w:rFonts w:ascii="Cambria Math" w:hAnsi="Cambria Math"/>
                <w:i/>
              </w:rPr>
            </m:ctrlPr>
          </m:dPr>
          <m:e>
            <m:r>
              <w:rPr>
                <w:rFonts w:ascii="Cambria Math" w:hAnsi="Cambria Math"/>
              </w:rPr>
              <m:t>Yi</m:t>
            </m:r>
          </m:e>
        </m:d>
        <m:r>
          <w:rPr>
            <w:rFonts w:ascii="Cambria Math" w:hAnsi="Cambria Math"/>
          </w:rPr>
          <m:t xml:space="preserve">= </m:t>
        </m:r>
        <m:sSub>
          <m:sSubPr>
            <m:ctrlPr>
              <w:rPr>
                <w:rFonts w:ascii="Cambria Math" w:hAnsi="Cambria Math"/>
              </w:rPr>
            </m:ctrlPr>
          </m:sSubPr>
          <m:e>
            <m:r>
              <w:rPr>
                <w:rFonts w:ascii="Cambria Math" w:hAnsi="Cambria Math"/>
              </w:rPr>
              <m:t>µ</m:t>
            </m:r>
          </m:e>
          <m:sub>
            <m:r>
              <w:rPr>
                <w:rFonts w:ascii="Cambria Math" w:hAnsi="Cambria Math"/>
              </w:rPr>
              <m:t>i</m:t>
            </m:r>
          </m:sub>
        </m:sSub>
      </m:oMath>
      <w:r w:rsidR="00260AC0">
        <w:rPr>
          <w:rFonts w:eastAsiaTheme="minorEastAsia"/>
        </w:rPr>
        <w:t xml:space="preserve"> </w:t>
      </w:r>
    </w:p>
    <w:p w14:paraId="11C30C4E" w14:textId="77777777" w:rsidR="00260AC0" w:rsidRPr="00AE645D" w:rsidRDefault="004057A7" w:rsidP="00260AC0">
      <w:pPr>
        <w:spacing w:after="0"/>
        <w:jc w:val="center"/>
        <w:rPr>
          <w:rFonts w:eastAsiaTheme="minorEastAsia"/>
        </w:rPr>
      </w:pPr>
      <m:oMathPara>
        <m:oMath>
          <m:sSub>
            <m:sSubPr>
              <m:ctrlPr>
                <w:rPr>
                  <w:rFonts w:ascii="Cambria Math" w:hAnsi="Cambria Math"/>
                </w:rPr>
              </m:ctrlPr>
            </m:sSubPr>
            <m:e>
              <m:r>
                <w:rPr>
                  <w:rFonts w:ascii="Cambria Math" w:hAnsi="Cambria Math"/>
                </w:rPr>
                <m:t>a(θ</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²</m:t>
              </m:r>
            </m:num>
            <m:den>
              <m:r>
                <m:rPr>
                  <m:sty m:val="p"/>
                </m:rPr>
                <w:rPr>
                  <w:rFonts w:ascii="Cambria Math" w:hAnsi="Cambria Math"/>
                </w:rPr>
                <m:t>2σ²</m:t>
              </m:r>
            </m:den>
          </m:f>
          <m:r>
            <m:rPr>
              <m:sty m:val="p"/>
            </m:rPr>
            <w:rPr>
              <w:rFonts w:ascii="Cambria Math" w:hAnsi="Cambria Math"/>
            </w:rPr>
            <m:t>]</m:t>
          </m:r>
        </m:oMath>
      </m:oMathPara>
    </w:p>
    <w:p w14:paraId="02BBC36A" w14:textId="77777777" w:rsidR="00260AC0" w:rsidRPr="00AE645D" w:rsidRDefault="004057A7" w:rsidP="00260AC0">
      <w:pPr>
        <w:spacing w:after="0"/>
        <w:jc w:val="center"/>
        <w:rPr>
          <w:rFonts w:eastAsiaTheme="minorEastAsia"/>
        </w:rPr>
      </w:pPr>
      <m:oMathPara>
        <m:oMath>
          <m:sSub>
            <m:sSubPr>
              <m:ctrlPr>
                <w:rPr>
                  <w:rFonts w:ascii="Cambria Math" w:hAnsi="Cambria Math"/>
                </w:rPr>
              </m:ctrlPr>
            </m:sSubPr>
            <m:e>
              <m:r>
                <w:rPr>
                  <w:rFonts w:ascii="Cambria Math" w:hAnsi="Cambria Math"/>
                </w:rPr>
                <m:t>b(θ</m:t>
              </m:r>
            </m:e>
            <m:sub>
              <m:r>
                <w:rPr>
                  <w:rFonts w:ascii="Cambria Math" w:hAnsi="Cambria Math"/>
                </w:rPr>
                <m:t>i</m:t>
              </m:r>
            </m:sub>
          </m:sSub>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sub>
              </m:sSub>
            </m:num>
            <m:den>
              <m:r>
                <m:rPr>
                  <m:sty m:val="p"/>
                </m:rPr>
                <w:rPr>
                  <w:rFonts w:ascii="Cambria Math" w:hAnsi="Cambria Math"/>
                  <w:sz w:val="20"/>
                  <w:szCs w:val="20"/>
                </w:rPr>
                <m:t>ϕ</m:t>
              </m:r>
            </m:den>
          </m:f>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µ</m:t>
                  </m:r>
                </m:e>
                <m:sub>
                  <m:r>
                    <w:rPr>
                      <w:rFonts w:ascii="Cambria Math" w:hAnsi="Cambria Math"/>
                    </w:rPr>
                    <m:t>i</m:t>
                  </m:r>
                </m:sub>
              </m:sSub>
            </m:num>
            <m:den>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oMath>
      </m:oMathPara>
    </w:p>
    <w:p w14:paraId="78445A06" w14:textId="77777777" w:rsidR="00260AC0" w:rsidRPr="00AE645D" w:rsidRDefault="004057A7" w:rsidP="00260AC0">
      <w:pPr>
        <w:spacing w:after="120"/>
        <w:jc w:val="center"/>
        <w:rPr>
          <w:rFonts w:eastAsiaTheme="minorEastAsia"/>
        </w:rPr>
      </w:pPr>
      <m:oMathPara>
        <m:oMath>
          <m:sSub>
            <m:sSubPr>
              <m:ctrlPr>
                <w:rPr>
                  <w:rFonts w:ascii="Cambria Math" w:hAnsi="Cambria Math"/>
                </w:rPr>
              </m:ctrlPr>
            </m:sSubPr>
            <m:e>
              <m:r>
                <w:rPr>
                  <w:rFonts w:ascii="Cambria Math" w:hAnsi="Cambria Math"/>
                </w:rPr>
                <m:t>c(y</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2</m:t>
                  </m:r>
                </m:sup>
              </m:sSub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ln⁡</m:t>
              </m:r>
              <m:r>
                <w:rPr>
                  <w:rFonts w:ascii="Cambria Math" w:hAnsi="Cambria Math"/>
                </w:rPr>
                <m:t>(</m:t>
              </m:r>
              <m:r>
                <m:rPr>
                  <m:sty m:val="p"/>
                </m:rPr>
                <w:rPr>
                  <w:rFonts w:ascii="Cambria Math" w:hAnsi="Cambria Math"/>
                </w:rPr>
                <m:t>2π</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num>
            <m:den>
              <m:r>
                <w:rPr>
                  <w:rFonts w:ascii="Cambria Math" w:hAnsi="Cambria Math"/>
                </w:rPr>
                <m:t>2</m:t>
              </m:r>
            </m:den>
          </m:f>
          <m:r>
            <m:rPr>
              <m:sty m:val="p"/>
            </m:rPr>
            <w:rPr>
              <w:rFonts w:ascii="Cambria Math" w:hAnsi="Cambria Math"/>
            </w:rPr>
            <m:t>]</m:t>
          </m:r>
        </m:oMath>
      </m:oMathPara>
    </w:p>
    <w:p w14:paraId="713E91F0" w14:textId="77777777" w:rsidR="00260AC0" w:rsidRDefault="00260AC0" w:rsidP="00260AC0">
      <w:pPr>
        <w:pStyle w:val="Sansinterligne"/>
      </w:pPr>
      <w:r>
        <w:t xml:space="preserve">On remarque avec la première égalité que la famille gaussienne se met sous forme canonique </w:t>
      </w:r>
    </w:p>
    <w:p w14:paraId="08719B67" w14:textId="77777777" w:rsidR="00260AC0" w:rsidRDefault="00260AC0" w:rsidP="00260AC0">
      <w:pPr>
        <w:pStyle w:val="Sansinterligne"/>
      </w:pPr>
    </w:p>
    <w:p w14:paraId="09637199" w14:textId="77777777" w:rsidR="00260AC0" w:rsidRDefault="00260AC0" w:rsidP="00260AC0">
      <w:pPr>
        <w:pStyle w:val="Sansinterligne"/>
      </w:pPr>
    </w:p>
    <w:p w14:paraId="4709B061" w14:textId="77777777" w:rsidR="00260AC0" w:rsidRDefault="00260AC0" w:rsidP="00260AC0">
      <w:pPr>
        <w:pStyle w:val="Sansinterligne"/>
      </w:pPr>
    </w:p>
    <w:p w14:paraId="59C0631C" w14:textId="77777777" w:rsidR="00260AC0" w:rsidRDefault="00260AC0" w:rsidP="00260AC0">
      <w:pPr>
        <w:pStyle w:val="Sansinterligne"/>
      </w:pPr>
    </w:p>
    <w:p w14:paraId="44A71C43" w14:textId="77777777" w:rsidR="00260AC0" w:rsidRDefault="00260AC0">
      <w:pPr>
        <w:rPr>
          <w:rFonts w:asciiTheme="majorHAnsi" w:eastAsiaTheme="majorEastAsia" w:hAnsiTheme="majorHAnsi" w:cstheme="majorBidi"/>
          <w:color w:val="1F3763" w:themeColor="accent1" w:themeShade="7F"/>
          <w:sz w:val="24"/>
          <w:szCs w:val="24"/>
        </w:rPr>
      </w:pPr>
      <w:r>
        <w:br w:type="page"/>
      </w:r>
    </w:p>
    <w:p w14:paraId="59F4102D" w14:textId="77777777" w:rsidR="00260AC0" w:rsidRPr="00D61CF8" w:rsidRDefault="00260AC0" w:rsidP="00260AC0">
      <w:pPr>
        <w:pStyle w:val="Titre3"/>
        <w:spacing w:after="240"/>
      </w:pPr>
      <w:bookmarkStart w:id="48" w:name="_Toc112883475"/>
      <w:r>
        <w:lastRenderedPageBreak/>
        <w:t>Modèle de Poisson :</w:t>
      </w:r>
      <w:bookmarkEnd w:id="48"/>
    </w:p>
    <w:p w14:paraId="031D8663" w14:textId="77777777" w:rsidR="00260AC0" w:rsidRDefault="00260AC0" w:rsidP="00260AC0">
      <w:pPr>
        <w:pStyle w:val="Sansinterligne"/>
      </w:pPr>
      <w:r>
        <w:t>Le modèle de Poisson est un modèle de comptage pour le définir, on considère n variables indépendantes Yi de loi de Poisson de paramètre µi = E(Yi). Les Yi sont par exemple les effectifs d’une table de contingence. Ces variables admettent pour densités :</w:t>
      </w:r>
    </w:p>
    <w:p w14:paraId="1EB936FE" w14:textId="77777777" w:rsidR="00260AC0" w:rsidRDefault="00260AC0" w:rsidP="00260AC0">
      <w:pPr>
        <w:pStyle w:val="Sansinterligne"/>
      </w:pPr>
    </w:p>
    <w:p w14:paraId="427F7C80" w14:textId="77777777" w:rsidR="00260AC0" w:rsidRDefault="00260AC0" w:rsidP="00260AC0">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e>
                <m:sup>
                  <m:sSub>
                    <m:sSubPr>
                      <m:ctrlPr>
                        <w:rPr>
                          <w:rFonts w:ascii="Cambria Math" w:hAnsi="Cambria Math"/>
                        </w:rPr>
                      </m:ctrlPr>
                    </m:sSubPr>
                    <m:e>
                      <m:r>
                        <m:rPr>
                          <m:sty m:val="p"/>
                        </m:rPr>
                        <w:rPr>
                          <w:rFonts w:ascii="Cambria Math" w:hAnsi="Cambria Math"/>
                        </w:rPr>
                        <m:t>y</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sup>
              </m:sSup>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hAnsi="Cambria Math"/>
                      <w:i/>
                    </w:rPr>
                  </m:ctrlPr>
                </m:e>
              </m:d>
            </m:e>
          </m:fun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m:rPr>
              <m:sty m:val="p"/>
            </m:rPr>
            <w:rPr>
              <w:rFonts w:ascii="Cambria Math" w:hAnsi="Cambria Math"/>
            </w:rPr>
            <m:t>exp⁡</m:t>
          </m:r>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m:t>
                  </m:r>
                </m:e>
              </m:d>
            </m:e>
          </m:func>
          <m:r>
            <w:rPr>
              <w:rFonts w:ascii="Cambria Math" w:hAnsi="Cambria Math"/>
            </w:rPr>
            <m:t>)</m:t>
          </m:r>
        </m:oMath>
      </m:oMathPara>
    </w:p>
    <w:p w14:paraId="2FD81D42" w14:textId="77777777" w:rsidR="00260AC0" w:rsidRPr="00AE645D" w:rsidRDefault="00260AC0" w:rsidP="00260AC0">
      <w:pPr>
        <w:spacing w:after="0"/>
        <w:jc w:val="center"/>
        <w:rPr>
          <w:rFonts w:eastAsiaTheme="minorEastAsia"/>
        </w:rPr>
      </w:pPr>
      <w:r>
        <w:t xml:space="preserve">Avec : </w:t>
      </w: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ln⁡</m:t>
            </m:r>
            <m:r>
              <w:rPr>
                <w:rFonts w:ascii="Cambria Math" w:hAnsi="Cambria Math"/>
              </w:rPr>
              <m:t>(µ</m:t>
            </m:r>
          </m:e>
          <m:sub>
            <m:r>
              <w:rPr>
                <w:rFonts w:ascii="Cambria Math" w:hAnsi="Cambria Math"/>
              </w:rPr>
              <m:t>i</m:t>
            </m:r>
          </m:sub>
        </m:sSub>
        <m:r>
          <w:rPr>
            <w:rFonts w:ascii="Cambria Math" w:hAnsi="Cambria Math"/>
          </w:rPr>
          <m:t>)</m:t>
        </m:r>
      </m:oMath>
      <w:r>
        <w:rPr>
          <w:rFonts w:eastAsiaTheme="minorEastAsia"/>
        </w:rPr>
        <w:t xml:space="preserve"> </w:t>
      </w:r>
    </w:p>
    <w:p w14:paraId="10E72FE4" w14:textId="77777777" w:rsidR="00260AC0" w:rsidRDefault="00260AC0" w:rsidP="00260AC0">
      <w:pPr>
        <w:pStyle w:val="Sansinterligne"/>
      </w:pPr>
      <w:r>
        <w:t>Et donc la fonction de lien canonique de ce modèle est la fonction logarithme népérien.</w:t>
      </w:r>
    </w:p>
    <w:p w14:paraId="1024F92D" w14:textId="77777777" w:rsidR="00260AC0" w:rsidRDefault="00260AC0" w:rsidP="00260AC0">
      <w:pPr>
        <w:pStyle w:val="Sansinterligne"/>
      </w:pPr>
    </w:p>
    <w:p w14:paraId="7577E16D" w14:textId="77777777" w:rsidR="00260AC0" w:rsidRDefault="00260AC0">
      <w:r>
        <w:br w:type="page"/>
      </w:r>
    </w:p>
    <w:p w14:paraId="131007A4" w14:textId="77777777" w:rsidR="00260AC0" w:rsidRDefault="00260AC0" w:rsidP="00260AC0">
      <w:pPr>
        <w:pStyle w:val="Sansinterligne"/>
      </w:pPr>
    </w:p>
    <w:p w14:paraId="6901C790" w14:textId="77777777" w:rsidR="00260AC0" w:rsidRPr="00D61CF8" w:rsidRDefault="00260AC0" w:rsidP="00260AC0">
      <w:pPr>
        <w:pStyle w:val="Titre3"/>
        <w:spacing w:before="120" w:after="240"/>
      </w:pPr>
      <w:bookmarkStart w:id="49" w:name="_Toc112883476"/>
      <w:r>
        <w:t>Modèle Tweedie :</w:t>
      </w:r>
      <w:bookmarkEnd w:id="49"/>
    </w:p>
    <w:p w14:paraId="1DB4C1E5" w14:textId="77777777" w:rsidR="00FB72CD" w:rsidRDefault="00FB72CD" w:rsidP="00260AC0">
      <w:pPr>
        <w:pStyle w:val="Sansinterligne"/>
      </w:pPr>
    </w:p>
    <w:p w14:paraId="3CED4FC1" w14:textId="77777777" w:rsidR="00FB72CD" w:rsidRDefault="00FB72CD" w:rsidP="00260AC0">
      <w:pPr>
        <w:pStyle w:val="Sansinterligne"/>
      </w:pPr>
    </w:p>
    <w:p w14:paraId="0451C6DE" w14:textId="3A7F33A7" w:rsidR="00260AC0" w:rsidRDefault="00260AC0" w:rsidP="00260AC0">
      <w:pPr>
        <w:pStyle w:val="Sansinterligne"/>
      </w:pPr>
      <w:r>
        <w:t>Les variables de réponses Yi admettent dans ce modèle la densité suivante :</w:t>
      </w:r>
    </w:p>
    <w:p w14:paraId="5046E72C" w14:textId="77777777" w:rsidR="00260AC0" w:rsidRDefault="00260AC0" w:rsidP="00260AC0">
      <w:pPr>
        <w:pStyle w:val="Sansinterligne"/>
      </w:pPr>
    </w:p>
    <w:p w14:paraId="4B1F697C" w14:textId="77777777" w:rsidR="00260AC0" w:rsidRPr="00032C50" w:rsidRDefault="00260AC0" w:rsidP="00260AC0">
      <w:pPr>
        <w:pStyle w:val="Sansinterligne"/>
        <w:rPr>
          <w:rFonts w:eastAsiaTheme="minorEastAsia"/>
        </w:rPr>
      </w:pPr>
      <m:oMathPara>
        <m:oMath>
          <m:r>
            <m:rPr>
              <m:sty m:val="p"/>
            </m:rP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 µ</m:t>
              </m:r>
              <m:r>
                <w:rPr>
                  <w:rFonts w:ascii="Cambria Math" w:hAnsi="Cambria Math"/>
                </w:rPr>
                <m:t>,</m:t>
              </m:r>
              <m:r>
                <m:rPr>
                  <m:sty m:val="p"/>
                </m:rPr>
                <w:rPr>
                  <w:rFonts w:ascii="Cambria Math" w:hAnsi="Cambria Math"/>
                  <w:sz w:val="20"/>
                  <w:szCs w:val="20"/>
                </w:rPr>
                <m:t>ϕ</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y,</m:t>
                  </m:r>
                  <m:r>
                    <m:rPr>
                      <m:sty m:val="p"/>
                    </m:rPr>
                    <w:rPr>
                      <w:rFonts w:ascii="Cambria Math" w:hAnsi="Cambria Math"/>
                      <w:sz w:val="20"/>
                      <w:szCs w:val="20"/>
                    </w:rPr>
                    <m:t>ϕ</m:t>
                  </m:r>
                </m:e>
              </m:d>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hAnsi="Cambria Math"/>
                          <w:sz w:val="20"/>
                          <w:szCs w:val="20"/>
                        </w:rPr>
                        <m:t>ϕ</m:t>
                      </m:r>
                    </m:den>
                  </m:f>
                  <m:r>
                    <w:rPr>
                      <w:rFonts w:ascii="Cambria Math" w:eastAsiaTheme="minorEastAsia" w:hAnsi="Cambria Math"/>
                    </w:rPr>
                    <m:t>[y*</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-κ(</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w:rPr>
                      <w:rFonts w:ascii="Cambria Math" w:hAnsi="Cambria Math"/>
                    </w:rPr>
                    <m:t>)]</m:t>
                  </m:r>
                  <m:ctrlPr>
                    <w:rPr>
                      <w:rFonts w:ascii="Cambria Math" w:hAnsi="Cambria Math"/>
                      <w:i/>
                    </w:rPr>
                  </m:ctrlPr>
                </m:e>
              </m:d>
            </m:e>
          </m:func>
        </m:oMath>
      </m:oMathPara>
    </w:p>
    <w:p w14:paraId="0F1EA679" w14:textId="77777777" w:rsidR="00260AC0" w:rsidRDefault="00260AC0" w:rsidP="00260AC0">
      <w:pPr>
        <w:pStyle w:val="Sansinterligne"/>
        <w:rPr>
          <w:rFonts w:eastAsiaTheme="minorEastAsia"/>
        </w:rPr>
      </w:pPr>
    </w:p>
    <w:p w14:paraId="25E51D11" w14:textId="77777777" w:rsidR="00260AC0" w:rsidRDefault="00260AC0" w:rsidP="00260AC0">
      <w:pPr>
        <w:pStyle w:val="Sansinterligne"/>
      </w:pPr>
      <w:r>
        <w:rPr>
          <w:rFonts w:eastAsiaTheme="minorEastAsia"/>
        </w:rPr>
        <w:t xml:space="preserve">Avec :        </w:t>
      </w:r>
      <m:oMath>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1-p</m:t>
                        </m:r>
                      </m:sup>
                    </m:sSup>
                  </m:num>
                  <m:den>
                    <m:r>
                      <w:rPr>
                        <w:rFonts w:ascii="Cambria Math" w:hAnsi="Cambria Math"/>
                      </w:rPr>
                      <m:t>1-p</m:t>
                    </m:r>
                  </m:den>
                </m:f>
                <m:r>
                  <w:rPr>
                    <w:rFonts w:ascii="Cambria Math" w:hAnsi="Cambria Math"/>
                  </w:rPr>
                  <m:t xml:space="preserve">  si p ≠1</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p=1</m:t>
                </m:r>
              </m:e>
            </m:eqArr>
          </m:e>
        </m:d>
      </m:oMath>
      <w:r>
        <w:rPr>
          <w:rFonts w:eastAsiaTheme="minorEastAsia"/>
        </w:rPr>
        <w:t xml:space="preserve">                                          </w:t>
      </w:r>
      <m:oMath>
        <m:r>
          <m:rPr>
            <m:sty m:val="p"/>
          </m:rPr>
          <w:rPr>
            <w:rFonts w:ascii="Cambria Math" w:hAnsi="Cambria Math"/>
          </w:rPr>
          <m:t>κ</m:t>
        </m:r>
        <m:d>
          <m:dPr>
            <m:ctrlPr>
              <w:rPr>
                <w:rFonts w:ascii="Cambria Math" w:hAnsi="Cambria Math"/>
              </w:rPr>
            </m:ctrlPr>
          </m:dPr>
          <m:e>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ctrlPr>
              <w:rPr>
                <w:rFonts w:ascii="Cambria Math" w:hAnsi="Cambria Math"/>
                <w:i/>
              </w:rPr>
            </m:ctrlPr>
          </m:e>
        </m:d>
      </m:oMath>
      <w:r>
        <w:rPr>
          <w:rFonts w:eastAsiaTheme="minorEastAsia"/>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2-p</m:t>
                        </m:r>
                      </m:sup>
                    </m:sSup>
                  </m:num>
                  <m:den>
                    <m:r>
                      <w:rPr>
                        <w:rFonts w:ascii="Cambria Math" w:hAnsi="Cambria Math"/>
                      </w:rPr>
                      <m:t>2-p</m:t>
                    </m:r>
                  </m:den>
                </m:f>
                <m:r>
                  <w:rPr>
                    <w:rFonts w:ascii="Cambria Math" w:hAnsi="Cambria Math"/>
                  </w:rPr>
                  <m:t xml:space="preserve">  si p ≠2</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p=2</m:t>
                </m:r>
              </m:e>
            </m:eqArr>
          </m:e>
        </m:d>
      </m:oMath>
    </w:p>
    <w:p w14:paraId="6198D5FD" w14:textId="77777777" w:rsidR="00260AC0" w:rsidRDefault="00260AC0" w:rsidP="00260AC0">
      <w:pPr>
        <w:pStyle w:val="Sansinterligne"/>
      </w:pPr>
    </w:p>
    <w:p w14:paraId="3F562952" w14:textId="77777777" w:rsidR="00260AC0" w:rsidRDefault="00260AC0" w:rsidP="00260AC0">
      <w:pPr>
        <w:pStyle w:val="Sansinterligne"/>
      </w:pPr>
      <w:r>
        <w:t xml:space="preserve">Avec cette formalisation,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oMath>
      <w:r>
        <w:rPr>
          <w:rFonts w:eastAsiaTheme="minorEastAsia"/>
        </w:rPr>
        <w:t xml:space="preserve"> et </w:t>
      </w:r>
      <m:oMath>
        <m:r>
          <m:rPr>
            <m:scr m:val="double-struck"/>
          </m:rPr>
          <w:rPr>
            <w:rFonts w:ascii="Cambria Math" w:hAnsi="Cambria Math"/>
          </w:rPr>
          <m:t>V</m:t>
        </m:r>
        <m:r>
          <w:rPr>
            <w:rFonts w:ascii="Cambria Math" w:hAnsi="Cambria Math"/>
          </w:rPr>
          <m:t>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ψµ</m:t>
                </m:r>
              </m:e>
              <m:sub>
                <m:r>
                  <w:rPr>
                    <w:rFonts w:ascii="Cambria Math" w:hAnsi="Cambria Math"/>
                  </w:rPr>
                  <m:t>i</m:t>
                </m:r>
              </m:sub>
            </m:sSub>
          </m:e>
          <m:sup>
            <m:r>
              <w:rPr>
                <w:rFonts w:ascii="Cambria Math" w:hAnsi="Cambria Math"/>
              </w:rPr>
              <m:t>p</m:t>
            </m:r>
          </m:sup>
        </m:sSup>
      </m:oMath>
      <w:r>
        <w:rPr>
          <w:rFonts w:eastAsiaTheme="minorEastAsia"/>
        </w:rPr>
        <w:t xml:space="preserve"> avec </w:t>
      </w:r>
      <m:oMath>
        <m:r>
          <m:rPr>
            <m:sty m:val="p"/>
          </m:rPr>
          <w:rPr>
            <w:rFonts w:ascii="Cambria Math" w:hAnsi="Cambria Math"/>
          </w:rPr>
          <m:t>ψ</m:t>
        </m:r>
      </m:oMath>
      <w:r>
        <w:rPr>
          <w:rFonts w:eastAsiaTheme="minorEastAsia"/>
        </w:rPr>
        <w:t xml:space="preserve"> un facteur de dispersion positif.</w:t>
      </w:r>
    </w:p>
    <w:p w14:paraId="677C0388" w14:textId="77777777" w:rsidR="00260AC0" w:rsidRDefault="00260AC0" w:rsidP="00260AC0">
      <w:pPr>
        <w:pStyle w:val="Sansinterligne"/>
      </w:pPr>
    </w:p>
    <w:p w14:paraId="1BA062F5" w14:textId="77777777" w:rsidR="00260AC0" w:rsidRDefault="00260AC0" w:rsidP="00260AC0">
      <w:pPr>
        <w:pStyle w:val="Sansinterligne"/>
      </w:pPr>
    </w:p>
    <w:p w14:paraId="73010FB7" w14:textId="737E552E" w:rsidR="00260AC0" w:rsidRDefault="00FB72CD" w:rsidP="00260AC0">
      <w:pPr>
        <w:pStyle w:val="Sansinterligne"/>
      </w:pPr>
      <w:r>
        <w:t xml:space="preserve">Dans le cadre de ce modèle, on appelle p le paramètre d’indice, il est choisi en fonction de l’application avant d’estimer </w:t>
      </w:r>
      <m:oMath>
        <m:r>
          <m:rPr>
            <m:sty m:val="p"/>
          </m:rPr>
          <w:rPr>
            <w:rFonts w:ascii="Cambria Math" w:hAnsi="Cambria Math"/>
          </w:rPr>
          <m:t>µ</m:t>
        </m:r>
      </m:oMath>
      <w:r>
        <w:t xml:space="preserve"> et </w:t>
      </w:r>
      <m:oMath>
        <m:r>
          <m:rPr>
            <m:sty m:val="p"/>
          </m:rPr>
          <w:rPr>
            <w:rFonts w:ascii="Cambria Math" w:hAnsi="Cambria Math"/>
            <w:sz w:val="20"/>
            <w:szCs w:val="20"/>
          </w:rPr>
          <m:t>ϕ</m:t>
        </m:r>
      </m:oMath>
      <w:r>
        <w:t xml:space="preserve"> et définit le type de distribution :</w:t>
      </w:r>
    </w:p>
    <w:p w14:paraId="7BA9472D" w14:textId="118E0087" w:rsidR="00FB72CD" w:rsidRDefault="00FB72CD" w:rsidP="00154541">
      <w:pPr>
        <w:pStyle w:val="Sansinterligne"/>
        <w:numPr>
          <w:ilvl w:val="0"/>
          <w:numId w:val="30"/>
        </w:numPr>
        <w:spacing w:before="120"/>
      </w:pPr>
      <w:proofErr w:type="gramStart"/>
      <w:r>
        <w:t>p</w:t>
      </w:r>
      <w:proofErr w:type="gramEnd"/>
      <w:r>
        <w:t xml:space="preserve"> &lt; 0 : réalisations dans ℝ; </w:t>
      </w:r>
    </w:p>
    <w:p w14:paraId="2C2500A5" w14:textId="2DED1772" w:rsidR="00FB72CD" w:rsidRDefault="00FB72CD" w:rsidP="00154541">
      <w:pPr>
        <w:pStyle w:val="Sansinterligne"/>
        <w:numPr>
          <w:ilvl w:val="0"/>
          <w:numId w:val="30"/>
        </w:numPr>
        <w:spacing w:before="120"/>
      </w:pPr>
      <w:proofErr w:type="gramStart"/>
      <w:r>
        <w:t>p</w:t>
      </w:r>
      <w:proofErr w:type="gramEnd"/>
      <w:r>
        <w:t xml:space="preserve"> = 0 : loi gaussienne</w:t>
      </w:r>
    </w:p>
    <w:p w14:paraId="4BE4C9C2" w14:textId="6BC9E177" w:rsidR="00FB72CD" w:rsidRDefault="00FB72CD" w:rsidP="00154541">
      <w:pPr>
        <w:pStyle w:val="Sansinterligne"/>
        <w:numPr>
          <w:ilvl w:val="0"/>
          <w:numId w:val="30"/>
        </w:numPr>
        <w:spacing w:before="120"/>
      </w:pPr>
      <w:r>
        <w:t>0 &lt; p &lt; 1 : pas de distribution</w:t>
      </w:r>
    </w:p>
    <w:p w14:paraId="15BD05B8" w14:textId="77777777" w:rsidR="00FB72CD" w:rsidRDefault="00FB72CD" w:rsidP="00154541">
      <w:pPr>
        <w:pStyle w:val="Sansinterligne"/>
        <w:numPr>
          <w:ilvl w:val="0"/>
          <w:numId w:val="30"/>
        </w:numPr>
        <w:spacing w:before="120"/>
      </w:pPr>
      <w:proofErr w:type="gramStart"/>
      <w:r>
        <w:t>p</w:t>
      </w:r>
      <w:proofErr w:type="gramEnd"/>
      <w:r>
        <w:t xml:space="preserve"> = 1 avec = 1 : loi de Poisson</w:t>
      </w:r>
    </w:p>
    <w:p w14:paraId="701ED975" w14:textId="0FB70839" w:rsidR="00FB72CD" w:rsidRDefault="00FB72CD" w:rsidP="00154541">
      <w:pPr>
        <w:pStyle w:val="Sansinterligne"/>
        <w:numPr>
          <w:ilvl w:val="0"/>
          <w:numId w:val="30"/>
        </w:numPr>
        <w:spacing w:before="120"/>
      </w:pPr>
      <w:r>
        <w:t xml:space="preserve">1 &lt; p &lt; 2 : loi composée Poisson-Gamma </w:t>
      </w:r>
    </w:p>
    <w:p w14:paraId="6328C3D1" w14:textId="7BC329A0" w:rsidR="00FB72CD" w:rsidRDefault="00FB72CD" w:rsidP="00154541">
      <w:pPr>
        <w:pStyle w:val="Sansinterligne"/>
        <w:numPr>
          <w:ilvl w:val="0"/>
          <w:numId w:val="30"/>
        </w:numPr>
        <w:spacing w:before="120"/>
      </w:pPr>
      <w:r>
        <w:t xml:space="preserve">2 &lt; p &lt; 3 ou p &gt; 3 : positive stable distributions </w:t>
      </w:r>
    </w:p>
    <w:p w14:paraId="4DF641BF" w14:textId="254A170B" w:rsidR="00FB72CD" w:rsidRDefault="00FB72CD" w:rsidP="00154541">
      <w:pPr>
        <w:pStyle w:val="Sansinterligne"/>
        <w:numPr>
          <w:ilvl w:val="0"/>
          <w:numId w:val="30"/>
        </w:numPr>
        <w:spacing w:before="120"/>
      </w:pPr>
      <w:proofErr w:type="gramStart"/>
      <w:r>
        <w:t>p</w:t>
      </w:r>
      <w:proofErr w:type="gramEnd"/>
      <w:r>
        <w:t xml:space="preserve"> = 2 : loi Gamma</w:t>
      </w:r>
    </w:p>
    <w:p w14:paraId="0AC4E0F6" w14:textId="0920E4CD" w:rsidR="00260AC0" w:rsidRDefault="00FB72CD" w:rsidP="00154541">
      <w:pPr>
        <w:pStyle w:val="Sansinterligne"/>
        <w:numPr>
          <w:ilvl w:val="0"/>
          <w:numId w:val="30"/>
        </w:numPr>
        <w:spacing w:before="120"/>
      </w:pPr>
      <w:proofErr w:type="gramStart"/>
      <w:r>
        <w:t>p</w:t>
      </w:r>
      <w:proofErr w:type="gramEnd"/>
      <w:r>
        <w:t xml:space="preserve"> = 3 : loi inverse gaussienne.</w:t>
      </w:r>
    </w:p>
    <w:p w14:paraId="3DF6EC0C" w14:textId="77777777" w:rsidR="00260AC0" w:rsidRDefault="00260AC0" w:rsidP="00260AC0">
      <w:pPr>
        <w:pStyle w:val="Sansinterligne"/>
      </w:pPr>
    </w:p>
    <w:p w14:paraId="44CA686B" w14:textId="77777777" w:rsidR="00260AC0" w:rsidRDefault="00260AC0">
      <w:pPr>
        <w:rPr>
          <w:rFonts w:asciiTheme="majorHAnsi" w:eastAsiaTheme="majorEastAsia" w:hAnsiTheme="majorHAnsi" w:cstheme="majorBidi"/>
          <w:color w:val="2F5496" w:themeColor="accent1" w:themeShade="BF"/>
          <w:sz w:val="26"/>
          <w:szCs w:val="26"/>
        </w:rPr>
      </w:pPr>
      <w:r>
        <w:br w:type="page"/>
      </w:r>
    </w:p>
    <w:p w14:paraId="2414A578" w14:textId="77777777" w:rsidR="00260AC0" w:rsidRDefault="00260AC0" w:rsidP="00260AC0">
      <w:pPr>
        <w:pStyle w:val="Titre2"/>
      </w:pPr>
      <w:bookmarkStart w:id="50" w:name="_Toc112883477"/>
      <w:r>
        <w:lastRenderedPageBreak/>
        <w:t>Validation d’un modèle GLM :</w:t>
      </w:r>
      <w:bookmarkEnd w:id="50"/>
    </w:p>
    <w:p w14:paraId="471CA2D7" w14:textId="77777777" w:rsidR="00260AC0" w:rsidRPr="00D11D1D" w:rsidRDefault="00260AC0" w:rsidP="00260AC0"/>
    <w:p w14:paraId="309FFF6D" w14:textId="77777777" w:rsidR="00260AC0" w:rsidRDefault="00260AC0" w:rsidP="00260AC0">
      <w:pPr>
        <w:pStyle w:val="Sansinterligne"/>
      </w:pPr>
      <w:r>
        <w:t>Pour valider le modèle linéaire généralisé étudié, il existe les différentes méthodes suivantes :</w:t>
      </w:r>
    </w:p>
    <w:p w14:paraId="0516D2F7" w14:textId="77777777" w:rsidR="00260AC0" w:rsidRDefault="00260AC0" w:rsidP="00260AC0">
      <w:pPr>
        <w:pStyle w:val="Sansinterligne"/>
      </w:pPr>
    </w:p>
    <w:p w14:paraId="57A80374" w14:textId="77777777" w:rsidR="00260AC0" w:rsidRDefault="00260AC0" w:rsidP="00260AC0">
      <w:pPr>
        <w:pStyle w:val="Titre3"/>
      </w:pPr>
      <w:bookmarkStart w:id="51" w:name="_Toc112883478"/>
      <w:r>
        <w:t>Validation croisée (k-fold)</w:t>
      </w:r>
      <w:bookmarkEnd w:id="51"/>
      <w:r>
        <w:t xml:space="preserve">  </w:t>
      </w:r>
    </w:p>
    <w:p w14:paraId="63995C0B" w14:textId="77777777" w:rsidR="00260AC0" w:rsidRDefault="00260AC0" w:rsidP="00260AC0">
      <w:pPr>
        <w:pStyle w:val="Sansinterligne"/>
        <w:spacing w:before="360"/>
      </w:pPr>
      <w:r>
        <w:t>Le découpage de l’échantillon en apprentissage et en validation induit une perte d’un certain volume de données pour calculer les estimateurs mais permet de calculer les erreurs moyenne de l’estimateur, cette segmentation de l’échantillon se fait via les étapes suivantes :</w:t>
      </w:r>
    </w:p>
    <w:p w14:paraId="0D6D0936" w14:textId="77777777" w:rsidR="00260AC0" w:rsidRDefault="00260AC0" w:rsidP="00154541">
      <w:pPr>
        <w:pStyle w:val="Sansinterligne"/>
        <w:numPr>
          <w:ilvl w:val="0"/>
          <w:numId w:val="28"/>
        </w:numPr>
        <w:spacing w:before="120"/>
        <w:ind w:left="1210"/>
        <w:jc w:val="both"/>
      </w:pPr>
      <w:r>
        <w:t>On coupe aléatoirement l’échantillon de données en k sous-échantillons de taille égale</w:t>
      </w:r>
    </w:p>
    <w:p w14:paraId="2B070FB8" w14:textId="77777777" w:rsidR="00260AC0" w:rsidRDefault="00260AC0" w:rsidP="00154541">
      <w:pPr>
        <w:pStyle w:val="Sansinterligne"/>
        <w:numPr>
          <w:ilvl w:val="0"/>
          <w:numId w:val="28"/>
        </w:numPr>
        <w:spacing w:before="120"/>
        <w:ind w:left="1210"/>
        <w:jc w:val="both"/>
      </w:pPr>
      <w:r>
        <w:t>On sélectionne un échantillon de validation et k-1 échantillon d’apprentissage</w:t>
      </w:r>
    </w:p>
    <w:p w14:paraId="48F2DB09" w14:textId="77777777" w:rsidR="00260AC0" w:rsidRDefault="00260AC0" w:rsidP="00154541">
      <w:pPr>
        <w:pStyle w:val="Sansinterligne"/>
        <w:numPr>
          <w:ilvl w:val="0"/>
          <w:numId w:val="28"/>
        </w:numPr>
        <w:spacing w:before="120"/>
        <w:ind w:left="1210"/>
        <w:jc w:val="both"/>
      </w:pPr>
      <w:r>
        <w:t>On fait tourner k fois les étapes précédentes pour que chaque sous-échantillon ait été utilisé une fois en validation</w:t>
      </w:r>
    </w:p>
    <w:p w14:paraId="27C9D644" w14:textId="77777777" w:rsidR="00260AC0" w:rsidRDefault="00260AC0" w:rsidP="00154541">
      <w:pPr>
        <w:pStyle w:val="Sansinterligne"/>
        <w:numPr>
          <w:ilvl w:val="0"/>
          <w:numId w:val="28"/>
        </w:numPr>
        <w:spacing w:before="120"/>
        <w:ind w:left="1210"/>
        <w:jc w:val="both"/>
      </w:pPr>
      <w:r>
        <w:t>On calcule la moyenne sur les k estimation pour obtenir l’estimateur final</w:t>
      </w:r>
    </w:p>
    <w:p w14:paraId="052DBB0F" w14:textId="77777777" w:rsidR="00260AC0" w:rsidRDefault="00260AC0" w:rsidP="00154541">
      <w:pPr>
        <w:pStyle w:val="Sansinterligne"/>
        <w:numPr>
          <w:ilvl w:val="0"/>
          <w:numId w:val="28"/>
        </w:numPr>
        <w:spacing w:before="120"/>
        <w:ind w:left="1210"/>
        <w:jc w:val="both"/>
      </w:pPr>
      <w:r>
        <w:t>On calcule l’erreur moyenne sur les échantillons de validation</w:t>
      </w:r>
    </w:p>
    <w:p w14:paraId="466DE572" w14:textId="77777777" w:rsidR="00260AC0" w:rsidRDefault="00260AC0" w:rsidP="00260AC0">
      <w:pPr>
        <w:pStyle w:val="Sansinterligne"/>
        <w:spacing w:before="120"/>
      </w:pPr>
    </w:p>
    <w:p w14:paraId="01082CB2" w14:textId="77777777" w:rsidR="00260AC0" w:rsidRDefault="00260AC0" w:rsidP="00260AC0">
      <w:pPr>
        <w:pStyle w:val="Sansinterligne"/>
        <w:spacing w:before="120"/>
      </w:pPr>
    </w:p>
    <w:p w14:paraId="0939AAF4" w14:textId="77777777" w:rsidR="009C014E" w:rsidRDefault="00260AC0" w:rsidP="009C014E">
      <w:pPr>
        <w:keepNext/>
        <w:jc w:val="center"/>
      </w:pPr>
      <w:r>
        <w:rPr>
          <w:noProof/>
        </w:rPr>
        <w:drawing>
          <wp:inline distT="0" distB="0" distL="0" distR="0" wp14:anchorId="39034AF2" wp14:editId="2C2686ED">
            <wp:extent cx="5760720" cy="3048000"/>
            <wp:effectExtent l="152400" t="152400" r="354330" b="3619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8693"/>
                    <a:stretch/>
                  </pic:blipFill>
                  <pic:spPr bwMode="auto">
                    <a:xfrm>
                      <a:off x="0" y="0"/>
                      <a:ext cx="5760720" cy="3048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46009DE" w14:textId="347FB9F2" w:rsidR="009C014E" w:rsidRDefault="009C014E" w:rsidP="009C014E">
      <w:pPr>
        <w:pStyle w:val="Lgende"/>
        <w:jc w:val="center"/>
      </w:pPr>
      <w:r>
        <w:t xml:space="preserve">Figure </w:t>
      </w:r>
      <w:fldSimple w:instr=" SEQ Figure \* ARABIC ">
        <w:r w:rsidR="00E26834">
          <w:rPr>
            <w:noProof/>
          </w:rPr>
          <w:t>9</w:t>
        </w:r>
      </w:fldSimple>
      <w:r>
        <w:t xml:space="preserve"> : Exemple illustré d'une validation croisée (4-fold)</w:t>
      </w:r>
    </w:p>
    <w:p w14:paraId="31A759D1" w14:textId="5611F039" w:rsidR="00260AC0" w:rsidRDefault="00260AC0" w:rsidP="00260AC0">
      <w:pPr>
        <w:jc w:val="center"/>
        <w:rPr>
          <w:rFonts w:asciiTheme="majorHAnsi" w:eastAsiaTheme="majorEastAsia" w:hAnsiTheme="majorHAnsi" w:cstheme="majorBidi"/>
          <w:color w:val="1F3763" w:themeColor="accent1" w:themeShade="7F"/>
          <w:sz w:val="24"/>
          <w:szCs w:val="24"/>
        </w:rPr>
      </w:pPr>
      <w:r>
        <w:br w:type="page"/>
      </w:r>
    </w:p>
    <w:p w14:paraId="7C2D86C2" w14:textId="77777777" w:rsidR="00260AC0" w:rsidRDefault="00260AC0" w:rsidP="00260AC0">
      <w:pPr>
        <w:pStyle w:val="Titre3"/>
      </w:pPr>
      <w:bookmarkStart w:id="52" w:name="_Toc112883479"/>
      <w:r>
        <w:lastRenderedPageBreak/>
        <w:t>Validation de la significativité globale du modèle</w:t>
      </w:r>
      <w:bookmarkEnd w:id="52"/>
    </w:p>
    <w:p w14:paraId="7997B207" w14:textId="77777777" w:rsidR="00260AC0" w:rsidRPr="00D11D1D" w:rsidRDefault="00260AC0" w:rsidP="00260AC0"/>
    <w:p w14:paraId="0804AE29" w14:textId="630BE541" w:rsidR="003C4FA0" w:rsidRDefault="003C4FA0" w:rsidP="003C4FA0">
      <w:r>
        <w:t>Pour valider la significativité globale du modèle, il est judicieux de travailler avec des critères de qualité d’ajustement du modèle comme la déviance ou la statistique de Pearson que nous définissons ci-dessous :</w:t>
      </w:r>
    </w:p>
    <w:p w14:paraId="5A66CDD9" w14:textId="7F017A18" w:rsidR="003C4FA0" w:rsidRDefault="003C4FA0" w:rsidP="00154541">
      <w:pPr>
        <w:pStyle w:val="Paragraphedeliste"/>
        <w:numPr>
          <w:ilvl w:val="0"/>
          <w:numId w:val="34"/>
        </w:numPr>
      </w:pPr>
      <w:r>
        <w:t>La déviance :</w:t>
      </w:r>
    </w:p>
    <w:p w14:paraId="76B5DC15" w14:textId="6725D1D2" w:rsidR="003C4FA0" w:rsidRDefault="003C4FA0" w:rsidP="003C4FA0">
      <w:r>
        <w:t xml:space="preserve">Pour définir la déviance du modèle, nous </w:t>
      </w:r>
      <w:r w:rsidR="00D73F95">
        <w:t>introduisons</w:t>
      </w:r>
      <w:r>
        <w:t xml:space="preserve"> la notion de modèle saturé qui est le modèle qui possède autant de paramètres que d’observations. Il est caractérisé par l’égalité entre les facteurs estimés et les observations, c’est-à-dire : </w:t>
      </w:r>
      <m:oMath>
        <m:sSub>
          <m:sSubPr>
            <m:ctrlPr>
              <w:rPr>
                <w:rFonts w:ascii="Cambria Math" w:hAnsi="Cambria Math"/>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Puis nous comparerons ce modèle avec le modèle d’étude pour calculer la déviance.</w:t>
      </w:r>
    </w:p>
    <w:p w14:paraId="534D2167" w14:textId="2B8B13CA" w:rsidR="003C4FA0" w:rsidRDefault="003C4FA0" w:rsidP="003C4FA0">
      <w:r>
        <w:t>Il faut aussi introduire la log-</w:t>
      </w:r>
      <w:r w:rsidR="00D73F95">
        <w:t>vraisemblance</w:t>
      </w:r>
      <w:r>
        <w:t xml:space="preserve"> pour calculer la déviance :</w:t>
      </w:r>
    </w:p>
    <w:p w14:paraId="6CC45DC8" w14:textId="755F7C80" w:rsidR="003C4FA0" w:rsidRDefault="00D73F95" w:rsidP="003C4FA0">
      <w:r>
        <w:t>Soit Y = (Y</w:t>
      </w:r>
      <w:r w:rsidRPr="00D73F95">
        <w:rPr>
          <w:vertAlign w:val="subscript"/>
        </w:rPr>
        <w:t>1</w:t>
      </w:r>
      <w:r>
        <w:t>,  . . .,  Y</w:t>
      </w:r>
      <w:r w:rsidRPr="00D73F95">
        <w:rPr>
          <w:vertAlign w:val="subscript"/>
        </w:rPr>
        <w:t>n</w:t>
      </w:r>
      <w:r>
        <w:t>) le vecteur à expliquer (appartenant à la famille exponentielle) dont la densité s’écrit sous la forme :</w:t>
      </w:r>
    </w:p>
    <w:p w14:paraId="76F6CDCA" w14:textId="77777777" w:rsidR="00D73F95" w:rsidRPr="000D7F95" w:rsidRDefault="00D73F95" w:rsidP="00D73F95">
      <w:pPr>
        <w:ind w:left="360"/>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y,ϕ</m:t>
              </m:r>
            </m:e>
          </m:d>
          <m:r>
            <w:rPr>
              <w:rFonts w:ascii="Cambria Math" w:eastAsiaTheme="minorEastAsia" w:hAnsi="Cambria Math"/>
              <w:sz w:val="20"/>
              <w:szCs w:val="20"/>
            </w:rPr>
            <m:t>)</m:t>
          </m:r>
        </m:oMath>
      </m:oMathPara>
    </w:p>
    <w:p w14:paraId="549465CE" w14:textId="0D88D75B" w:rsidR="00D73F95" w:rsidRDefault="00D73F95" w:rsidP="003C4FA0">
      <w:r>
        <w:t>La log-vraisemblance de ce modèle s’</w:t>
      </w:r>
      <w:r w:rsidR="00B51CF2">
        <w:t>écrit</w:t>
      </w:r>
      <w:r>
        <w:t> :</w:t>
      </w:r>
    </w:p>
    <w:p w14:paraId="4BD7B7A1" w14:textId="39ACE059" w:rsidR="00D73F95" w:rsidRPr="00D73F95" w:rsidRDefault="00D73F95" w:rsidP="00D73F95">
      <w:pPr>
        <w:ind w:left="360"/>
        <w:rPr>
          <w:rFonts w:eastAsiaTheme="minorEastAsia"/>
          <w:sz w:val="20"/>
          <w:szCs w:val="20"/>
        </w:rPr>
      </w:pPr>
      <m:oMathPara>
        <m:oMath>
          <m:r>
            <w:rPr>
              <w:rFonts w:ascii="Cambria Math" w:hAnsi="Cambria Math"/>
            </w:rPr>
            <m:t>l</m:t>
          </m:r>
          <m:d>
            <m:dPr>
              <m:ctrlPr>
                <w:rPr>
                  <w:rFonts w:ascii="Cambria Math" w:hAnsi="Cambria Math"/>
                  <w:i/>
                </w:rPr>
              </m:ctrlPr>
            </m:dPr>
            <m:e>
              <m:r>
                <w:rPr>
                  <w:rFonts w:ascii="Cambria Math" w:hAnsi="Cambria Math"/>
                </w:rPr>
                <m:t>y,</m:t>
              </m:r>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r>
                <m:rPr>
                  <m:sty m:val="p"/>
                </m:rPr>
                <w:rPr>
                  <w:rFonts w:ascii="Cambria Math" w:hAnsi="Cambria Math"/>
                  <w:sz w:val="20"/>
                  <w:szCs w:val="20"/>
                </w:rPr>
                <m:t>ln⁡</m:t>
              </m:r>
              <m:r>
                <w:rPr>
                  <w:rFonts w:ascii="Cambria Math" w:hAnsi="Cambria Math"/>
                  <w:sz w:val="20"/>
                  <w:szCs w:val="20"/>
                </w:rPr>
                <m:t>(</m:t>
              </m:r>
            </m:e>
          </m:nary>
          <m:r>
            <w:rPr>
              <w:rFonts w:ascii="Cambria Math" w:hAnsi="Cambria Math"/>
            </w:rPr>
            <m:t>f</m:t>
          </m:r>
          <m:d>
            <m:dPr>
              <m:ctrlPr>
                <w:rPr>
                  <w:rFonts w:ascii="Cambria Math" w:hAnsi="Cambria Math"/>
                  <w:i/>
                </w:rPr>
              </m:ctrlPr>
            </m:dPr>
            <m:e>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e>
            <m:e>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r>
                <m:rPr>
                  <m:sty m:val="p"/>
                </m:rPr>
                <w:rPr>
                  <w:rFonts w:ascii="Cambria Math" w:hAnsi="Cambria Math"/>
                  <w:sz w:val="20"/>
                  <w:szCs w:val="20"/>
                </w:rPr>
                <m:t>, ϕ</m:t>
              </m:r>
              <m:ctrlPr>
                <w:rPr>
                  <w:rFonts w:ascii="Cambria Math" w:hAnsi="Cambria Math"/>
                  <w:sz w:val="20"/>
                  <w:szCs w:val="20"/>
                </w:rPr>
              </m:ctrlPr>
            </m:e>
          </m:d>
          <m:r>
            <w:rPr>
              <w:rFonts w:ascii="Cambria Math" w:hAnsi="Cambria Math"/>
              <w:sz w:val="20"/>
              <w:szCs w:val="20"/>
            </w:rPr>
            <m:t>)</m:t>
          </m:r>
        </m:oMath>
      </m:oMathPara>
    </w:p>
    <w:p w14:paraId="5F9CC647" w14:textId="54AF12D1" w:rsidR="00D73F95" w:rsidRPr="000D7F95" w:rsidRDefault="00D73F95" w:rsidP="00D73F95">
      <w:pPr>
        <w:ind w:left="360"/>
        <w:rPr>
          <w:rFonts w:eastAsiaTheme="minorEastAsia"/>
          <w:sz w:val="20"/>
          <w:szCs w:val="20"/>
        </w:rPr>
      </w:pPr>
      <m:oMathPara>
        <m:oMath>
          <m:r>
            <m:rPr>
              <m:sty m:val="p"/>
            </m:rPr>
            <w:rPr>
              <w:rFonts w:ascii="Cambria Math" w:hAnsi="Cambria Math"/>
              <w:sz w:val="20"/>
              <w:szCs w:val="20"/>
            </w:rPr>
            <m:t xml:space="preserve">                                         =</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r>
                    <m:rPr>
                      <m:sty m:val="p"/>
                    </m:rPr>
                    <w:rPr>
                      <w:rFonts w:ascii="Cambria Math" w:hAnsi="Cambria Math"/>
                      <w:sz w:val="20"/>
                      <w:szCs w:val="20"/>
                    </w:rPr>
                    <m:t>-b</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e>
                  </m:d>
                </m:num>
                <m:den>
                  <m:r>
                    <m:rPr>
                      <m:sty m:val="p"/>
                    </m:rPr>
                    <w:rPr>
                      <w:rFonts w:ascii="Cambria Math" w:hAnsi="Cambria Math"/>
                      <w:sz w:val="20"/>
                      <w:szCs w:val="20"/>
                    </w:rPr>
                    <m:t>ϕ</m:t>
                  </m:r>
                </m:den>
              </m:f>
            </m:e>
          </m:nary>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sz w:val="20"/>
                      <w:szCs w:val="20"/>
                    </w:rPr>
                  </m:ctrlPr>
                </m:sSubPr>
                <m:e>
                  <m:r>
                    <m:rPr>
                      <m:sty m:val="p"/>
                    </m:rPr>
                    <w:rPr>
                      <w:rFonts w:ascii="Cambria Math" w:hAnsi="Cambria Math"/>
                      <w:sz w:val="20"/>
                      <w:szCs w:val="20"/>
                    </w:rPr>
                    <m:t>c</m:t>
                  </m:r>
                </m:e>
                <m:sub>
                  <m:r>
                    <w:rPr>
                      <w:rFonts w:ascii="Cambria Math" w:hAnsi="Cambria Math"/>
                      <w:sz w:val="20"/>
                      <w:szCs w:val="20"/>
                    </w:rPr>
                    <m:t>i</m:t>
                  </m:r>
                </m:sub>
              </m:sSub>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,ϕ</m:t>
                  </m:r>
                </m:e>
              </m:d>
            </m:e>
          </m:nary>
        </m:oMath>
      </m:oMathPara>
    </w:p>
    <w:p w14:paraId="4666FEE8" w14:textId="0C17F7B2" w:rsidR="00D73F95" w:rsidRDefault="00DC7CBA" w:rsidP="003C4FA0">
      <w:r>
        <w:t>N</w:t>
      </w:r>
      <w:r w:rsidR="00D73F95">
        <w:t>ous utiliserons comme mesure de la qualité d’ajustement du modèle la statistique du rapport de vraisemblance suivante :</w:t>
      </w:r>
    </w:p>
    <w:p w14:paraId="5A05E52E" w14:textId="70256232" w:rsidR="00D73F95" w:rsidRPr="00D73F95" w:rsidRDefault="00D73F95" w:rsidP="00552EF3">
      <w:pPr>
        <w:jc w:val="center"/>
        <w:rPr>
          <w:rFonts w:eastAsiaTheme="minorEastAsia"/>
        </w:rPr>
      </w:pPr>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SAT</m:t>
                </m:r>
              </m:sub>
            </m:sSub>
          </m:num>
          <m:den>
            <m:r>
              <w:rPr>
                <w:rFonts w:ascii="Cambria Math" w:hAnsi="Cambria Math"/>
              </w:rPr>
              <m:t>L</m:t>
            </m:r>
          </m:den>
        </m:f>
      </m:oMath>
      <w:r>
        <w:rPr>
          <w:rFonts w:eastAsiaTheme="minorEastAsia"/>
        </w:rPr>
        <w:t xml:space="preserve"> </w:t>
      </w:r>
      <w:r w:rsidR="00552EF3">
        <w:rPr>
          <w:rFonts w:eastAsiaTheme="minorEastAsia"/>
        </w:rPr>
        <w:tab/>
      </w:r>
      <w:r>
        <w:rPr>
          <w:rFonts w:eastAsiaTheme="minorEastAsia"/>
        </w:rPr>
        <w:t xml:space="preserve">ou </w:t>
      </w:r>
      <w:r w:rsidR="00552EF3">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SAT</m:t>
                    </m:r>
                  </m:sub>
                </m:sSub>
              </m:e>
            </m:d>
          </m:e>
        </m:func>
        <m:r>
          <w:rPr>
            <w:rFonts w:ascii="Cambria Math" w:hAnsi="Cambria Math"/>
          </w:rPr>
          <m:t>-</m:t>
        </m:r>
        <m:r>
          <m:rPr>
            <m:sty m:val="p"/>
          </m:rPr>
          <w:rPr>
            <w:rFonts w:ascii="Cambria Math" w:hAnsi="Cambria Math"/>
          </w:rPr>
          <m:t>ln⁡</m:t>
        </m:r>
        <m:r>
          <w:rPr>
            <w:rFonts w:ascii="Cambria Math" w:hAnsi="Cambria Math"/>
          </w:rPr>
          <m:t>(L)</m:t>
        </m:r>
      </m:oMath>
    </w:p>
    <w:p w14:paraId="494D8B71" w14:textId="4C415CD3" w:rsidR="00DC7CBA" w:rsidRDefault="00DC7CBA" w:rsidP="003C4FA0">
      <w:r>
        <w:t xml:space="preserve">Car le modèle décrit bien les données lorsque L ≃ </w:t>
      </w:r>
      <m:oMath>
        <m:sSub>
          <m:sSubPr>
            <m:ctrlPr>
              <w:rPr>
                <w:rFonts w:ascii="Cambria Math" w:hAnsi="Cambria Math"/>
                <w:i/>
              </w:rPr>
            </m:ctrlPr>
          </m:sSubPr>
          <m:e>
            <m:r>
              <w:rPr>
                <w:rFonts w:ascii="Cambria Math" w:hAnsi="Cambria Math"/>
              </w:rPr>
              <m:t>L</m:t>
            </m:r>
          </m:e>
          <m:sub>
            <m:r>
              <w:rPr>
                <w:rFonts w:ascii="Cambria Math" w:hAnsi="Cambria Math"/>
              </w:rPr>
              <m:t>SAT</m:t>
            </m:r>
          </m:sub>
        </m:sSub>
      </m:oMath>
      <w:r>
        <w:rPr>
          <w:rFonts w:eastAsiaTheme="minorEastAsia"/>
        </w:rPr>
        <w:t xml:space="preserve"> </w:t>
      </w:r>
    </w:p>
    <w:p w14:paraId="3B99CDBF" w14:textId="40CCB72F" w:rsidR="00D73F95" w:rsidRDefault="00DC7CBA" w:rsidP="003C4FA0">
      <w:r>
        <w:t>Enfin, on définit la statistique de déviance réduite ou normalisée de la façon suivante :</w:t>
      </w:r>
    </w:p>
    <w:p w14:paraId="089C7007" w14:textId="54552080" w:rsidR="00DC7CBA" w:rsidRPr="00DC7CBA" w:rsidRDefault="00DC7CBA" w:rsidP="003C4FA0">
      <w:pPr>
        <w:rPr>
          <w:rFonts w:eastAsiaTheme="minorEastAsia"/>
        </w:rPr>
      </w:pPr>
      <m:oMathPara>
        <m:oMath>
          <m:r>
            <w:rPr>
              <w:rFonts w:ascii="Cambria Math" w:hAnsi="Cambria Math"/>
            </w:rPr>
            <m:t>D=2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hAnsi="Cambria Math"/>
            </w:rPr>
            <m:t>=2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SAT</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L</m:t>
                      </m:r>
                    </m:e>
                  </m:d>
                </m:e>
              </m:func>
            </m:e>
          </m:d>
        </m:oMath>
      </m:oMathPara>
    </w:p>
    <w:p w14:paraId="60CCAC75" w14:textId="126800A9" w:rsidR="00DC7CBA" w:rsidRDefault="00DC7CBA" w:rsidP="003C4FA0">
      <w:pPr>
        <w:rPr>
          <w:rFonts w:eastAsiaTheme="minorEastAsia"/>
        </w:rPr>
      </w:pPr>
      <w:r>
        <w:rPr>
          <w:rFonts w:eastAsiaTheme="minorEastAsia"/>
        </w:rPr>
        <w:t>La déviance non réduite est :</w:t>
      </w:r>
    </w:p>
    <w:p w14:paraId="7C36045D" w14:textId="0DAF9ADE" w:rsidR="00DC7CBA" w:rsidRPr="00DC7CBA" w:rsidRDefault="004057A7" w:rsidP="00DC7CBA">
      <w:pPr>
        <w:rPr>
          <w:rFonts w:eastAsiaTheme="minorEastAsia"/>
        </w:rP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m:rPr>
              <m:sty m:val="p"/>
            </m:rPr>
            <w:rPr>
              <w:rFonts w:ascii="Cambria Math" w:hAnsi="Cambria Math"/>
              <w:sz w:val="20"/>
              <w:szCs w:val="20"/>
            </w:rPr>
            <m:t>ϕ</m:t>
          </m:r>
          <m:r>
            <w:rPr>
              <w:rFonts w:ascii="Cambria Math" w:hAnsi="Cambria Math"/>
            </w:rPr>
            <m:t>D</m:t>
          </m:r>
        </m:oMath>
      </m:oMathPara>
    </w:p>
    <w:p w14:paraId="3AEDFC88" w14:textId="3293EE9E" w:rsidR="00DC7CBA" w:rsidRPr="00DC7CBA" w:rsidRDefault="00E00527" w:rsidP="00E00527">
      <w:pPr>
        <w:spacing w:after="480"/>
        <w:rPr>
          <w:rFonts w:eastAsiaTheme="minorEastAsia"/>
        </w:rPr>
      </w:pPr>
      <w:r>
        <w:rPr>
          <w:rFonts w:eastAsiaTheme="minorEastAsia"/>
        </w:rPr>
        <w:t xml:space="preserve">De plus,  </w:t>
      </w:r>
      <m:oMath>
        <m:r>
          <w:rPr>
            <w:rFonts w:ascii="Cambria Math" w:hAnsi="Cambria Math"/>
          </w:rPr>
          <m:t xml:space="preserve">D ∼ </m:t>
        </m:r>
        <m:sSubSup>
          <m:sSubSupPr>
            <m:ctrlPr>
              <w:rPr>
                <w:rFonts w:ascii="Cambria Math" w:hAnsi="Cambria Math"/>
                <w:i/>
              </w:rPr>
            </m:ctrlPr>
          </m:sSubSupPr>
          <m:e>
            <m:r>
              <w:rPr>
                <w:rFonts w:ascii="Cambria Math" w:hAnsi="Cambria Math"/>
              </w:rPr>
              <m:t>χ</m:t>
            </m:r>
          </m:e>
          <m:sub>
            <m:r>
              <w:rPr>
                <w:rFonts w:ascii="Cambria Math" w:hAnsi="Cambria Math"/>
              </w:rPr>
              <m:t>n-p-1</m:t>
            </m:r>
          </m:sub>
          <m:sup>
            <m:r>
              <w:rPr>
                <w:rFonts w:ascii="Cambria Math" w:hAnsi="Cambria Math"/>
              </w:rPr>
              <m:t>2</m:t>
            </m:r>
          </m:sup>
        </m:sSubSup>
      </m:oMath>
      <w:r>
        <w:rPr>
          <w:rFonts w:eastAsiaTheme="minorEastAsia"/>
        </w:rPr>
        <w:t xml:space="preserve">, c’est-à-dire que le modèle est de mauvaise qualité si  </w:t>
      </w:r>
      <m:oMath>
        <m:sSub>
          <m:sSubPr>
            <m:ctrlPr>
              <w:rPr>
                <w:rFonts w:ascii="Cambria Math" w:hAnsi="Cambria Math"/>
                <w:i/>
              </w:rPr>
            </m:ctrlPr>
          </m:sSubPr>
          <m:e>
            <m:r>
              <w:rPr>
                <w:rFonts w:ascii="Cambria Math" w:hAnsi="Cambria Math"/>
              </w:rPr>
              <m:t>D</m:t>
            </m:r>
          </m:e>
          <m:sub>
            <m:r>
              <w:rPr>
                <w:rFonts w:ascii="Cambria Math" w:hAnsi="Cambria Math"/>
              </w:rPr>
              <m:t>obs</m:t>
            </m:r>
          </m:sub>
        </m:sSub>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n-p-1;1-α</m:t>
            </m:r>
          </m:sub>
          <m:sup>
            <m:r>
              <w:rPr>
                <w:rFonts w:ascii="Cambria Math" w:hAnsi="Cambria Math"/>
              </w:rPr>
              <m:t>2</m:t>
            </m:r>
          </m:sup>
        </m:sSubSup>
      </m:oMath>
    </w:p>
    <w:p w14:paraId="5DE39615" w14:textId="4EDA7FBF" w:rsidR="003C4FA0" w:rsidRDefault="003C4FA0" w:rsidP="00154541">
      <w:pPr>
        <w:pStyle w:val="Paragraphedeliste"/>
        <w:numPr>
          <w:ilvl w:val="0"/>
          <w:numId w:val="34"/>
        </w:numPr>
        <w:spacing w:before="120"/>
      </w:pPr>
      <w:r>
        <w:t>La statistique de Pearson :</w:t>
      </w:r>
    </w:p>
    <w:p w14:paraId="3A72771A" w14:textId="38043FC4" w:rsidR="003C4FA0" w:rsidRDefault="00DC7CBA" w:rsidP="003C4FA0">
      <w:pPr>
        <w:pStyle w:val="Sansinterligne"/>
      </w:pPr>
      <w:r>
        <w:t>La statistique du test de significativité globale de Pearson est définie de la façon suivante :</w:t>
      </w:r>
    </w:p>
    <w:p w14:paraId="160F22B7" w14:textId="1E2C3CA4" w:rsidR="00DC7CBA" w:rsidRPr="00E00527" w:rsidRDefault="004057A7" w:rsidP="003C4FA0">
      <w:pPr>
        <w:pStyle w:val="Sansinterligne"/>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ϕ</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den>
              </m:f>
            </m:e>
          </m:nary>
        </m:oMath>
      </m:oMathPara>
    </w:p>
    <w:p w14:paraId="221F165A" w14:textId="132A983C" w:rsidR="00E00527" w:rsidRDefault="00E00527" w:rsidP="003C4FA0">
      <w:pPr>
        <w:pStyle w:val="Sansinterligne"/>
      </w:pPr>
    </w:p>
    <w:p w14:paraId="4B95AE34" w14:textId="4B5FB3C0" w:rsidR="00260AC0" w:rsidRPr="003C4FA0" w:rsidRDefault="00E00527" w:rsidP="000628FE">
      <w:pPr>
        <w:pStyle w:val="Sansinterligne"/>
      </w:pPr>
      <w:r>
        <w:t xml:space="preserve">Comme pour la Déviance, nous avons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n-p-1;1-α</m:t>
            </m:r>
          </m:sub>
          <m:sup>
            <m:r>
              <w:rPr>
                <w:rFonts w:ascii="Cambria Math" w:hAnsi="Cambria Math"/>
              </w:rPr>
              <m:t>2</m:t>
            </m:r>
          </m:sup>
        </m:sSubSup>
      </m:oMath>
      <w:r w:rsidR="00260AC0">
        <w:br w:type="page"/>
      </w:r>
    </w:p>
    <w:p w14:paraId="4848DDE0" w14:textId="77777777" w:rsidR="00260AC0" w:rsidRDefault="00260AC0" w:rsidP="00260AC0">
      <w:pPr>
        <w:pStyle w:val="Titre3"/>
      </w:pPr>
      <w:bookmarkStart w:id="53" w:name="_Toc112883480"/>
      <w:r>
        <w:lastRenderedPageBreak/>
        <w:t>Validation de la significativité individuelle des coefficients de la régression</w:t>
      </w:r>
      <w:bookmarkEnd w:id="53"/>
    </w:p>
    <w:p w14:paraId="2E74C42D" w14:textId="77777777" w:rsidR="00260AC0" w:rsidRPr="00D11D1D" w:rsidRDefault="00260AC0" w:rsidP="00260AC0"/>
    <w:p w14:paraId="070B04C5" w14:textId="5A56B10E" w:rsidR="009C014E" w:rsidRDefault="009C014E">
      <w:r>
        <w:t>Pour valider ou non le modèle en étudiant la significativité individuelle des coefficients de la régressions, nous pouvons utiliser des tests d’hypothèses sur les paramètres, pour cela nous introduirons l’hypothèse H</w:t>
      </w:r>
      <w:r>
        <w:rPr>
          <w:vertAlign w:val="subscript"/>
        </w:rPr>
        <w:t>0</w:t>
      </w:r>
      <w:r>
        <w:t xml:space="preserve"> de la façon suivante :</w:t>
      </w:r>
    </w:p>
    <w:p w14:paraId="51A51A6A" w14:textId="77777777" w:rsidR="00B031FB" w:rsidRDefault="009C014E" w:rsidP="009C014E">
      <w:pPr>
        <w:jc w:val="center"/>
        <w:rPr>
          <w:rFonts w:eastAsiaTheme="minor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0</m:t>
              </m:r>
            </m:sub>
          </m:sSub>
          <m:r>
            <w:rPr>
              <w:rFonts w:ascii="Cambria Math" w:hAnsi="Cambria Math"/>
            </w:rPr>
            <m:t>:</m:t>
          </m:r>
          <m:r>
            <m:rPr>
              <m:sty m:val="bi"/>
            </m:rPr>
            <w:rPr>
              <w:rFonts w:ascii="Cambria Math" w:hAnsi="Cambria Math"/>
            </w:rPr>
            <m:t>C</m:t>
          </m:r>
          <m:r>
            <w:rPr>
              <w:rFonts w:ascii="Cambria Math" w:hAnsi="Cambria Math"/>
            </w:rPr>
            <m:t>β</m:t>
          </m:r>
          <m:r>
            <w:rPr>
              <w:rFonts w:ascii="Cambria Math" w:hAnsi="Cambria Math"/>
            </w:rPr>
            <m:t>=</m:t>
          </m:r>
          <m:r>
            <w:rPr>
              <w:rFonts w:ascii="Cambria Math" w:eastAsiaTheme="minorEastAsia" w:hAnsi="Cambria Math"/>
            </w:rPr>
            <m:t>r</m:t>
          </m:r>
        </m:oMath>
      </m:oMathPara>
    </w:p>
    <w:p w14:paraId="2C64067F" w14:textId="783CB330" w:rsidR="008E18D4" w:rsidRDefault="00B031FB" w:rsidP="00B031FB">
      <w:pPr>
        <w:rPr>
          <w:rFonts w:eastAsiaTheme="minorEastAsia"/>
        </w:rPr>
      </w:pPr>
      <w:r>
        <w:rPr>
          <w:rFonts w:eastAsiaTheme="minorEastAsia"/>
        </w:rPr>
        <w:t xml:space="preserve">Avec : </w:t>
      </w:r>
      <w:r w:rsidRPr="00B031FB">
        <w:rPr>
          <w:rFonts w:eastAsiaTheme="minorEastAsia"/>
          <w:b/>
          <w:bCs/>
        </w:rPr>
        <w:t>C</w:t>
      </w:r>
      <w:r>
        <w:rPr>
          <w:rFonts w:eastAsiaTheme="minorEastAsia"/>
        </w:rPr>
        <w:t xml:space="preserve"> une matrice connue</w:t>
      </w:r>
      <w:r w:rsidR="00FC612F">
        <w:rPr>
          <w:rFonts w:eastAsiaTheme="minorEastAsia"/>
        </w:rPr>
        <w:t xml:space="preserve"> possédant q lignes</w:t>
      </w:r>
      <w:r>
        <w:rPr>
          <w:rFonts w:eastAsiaTheme="minorEastAsia"/>
        </w:rPr>
        <w:t xml:space="preserve"> et r un ensemble de valeurs testées.</w:t>
      </w:r>
    </w:p>
    <w:p w14:paraId="16C9BA48" w14:textId="49A52E5F" w:rsidR="008E18D4" w:rsidRDefault="008E18D4" w:rsidP="00B031FB">
      <w:pPr>
        <w:rPr>
          <w:rFonts w:eastAsiaTheme="minorEastAsia"/>
        </w:rPr>
      </w:pPr>
      <w:r>
        <w:rPr>
          <w:rFonts w:eastAsiaTheme="minorEastAsia"/>
        </w:rPr>
        <w:t>Ensuite nous pourrons considérer trois approches pour valider ou non cette hypothèse :</w:t>
      </w:r>
    </w:p>
    <w:p w14:paraId="60F0CF32" w14:textId="3234B783" w:rsidR="008E18D4" w:rsidRDefault="008E18D4" w:rsidP="008E18D4">
      <w:pPr>
        <w:pStyle w:val="Paragraphedeliste"/>
        <w:numPr>
          <w:ilvl w:val="0"/>
          <w:numId w:val="42"/>
        </w:numPr>
        <w:spacing w:before="360"/>
        <w:ind w:left="927"/>
        <w:rPr>
          <w:rFonts w:eastAsiaTheme="minorEastAsia"/>
        </w:rPr>
      </w:pPr>
      <w:r>
        <w:rPr>
          <w:rFonts w:eastAsiaTheme="minorEastAsia"/>
        </w:rPr>
        <w:t>Test du rapport de vraisemblance :</w:t>
      </w:r>
    </w:p>
    <w:p w14:paraId="2B70ED24" w14:textId="2B3A76BD" w:rsidR="008E18D4" w:rsidRDefault="008E18D4" w:rsidP="008E18D4">
      <w:pPr>
        <w:spacing w:before="120"/>
        <w:rPr>
          <w:rFonts w:eastAsiaTheme="minorEastAsia"/>
        </w:rPr>
      </w:pPr>
      <w:r>
        <w:rPr>
          <w:rFonts w:eastAsiaTheme="minorEastAsia"/>
        </w:rPr>
        <w:t xml:space="preserve">Nous avons défini le rapport de vraisemblance précédemment : </w:t>
      </w:r>
      <m:oMath>
        <m:r>
          <w:rPr>
            <w:rFonts w:ascii="Cambria Math" w:hAnsi="Cambria Math"/>
          </w:rPr>
          <m:t>λ</m:t>
        </m:r>
      </m:oMath>
      <w:r>
        <w:rPr>
          <w:rFonts w:eastAsiaTheme="minorEastAsia"/>
        </w:rPr>
        <w:t xml:space="preserve"> mais dans ce cas nous n’utiliserons pas un modèle saturé mais un modèle sans contrainte de vraisemblance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et un modèle sous contrainte de vraisemblance</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L</m:t>
            </m:r>
          </m:e>
        </m:acc>
      </m:oMath>
      <w:r>
        <w:rPr>
          <w:rFonts w:eastAsiaTheme="minorEastAsia"/>
        </w:rPr>
        <w:t>.</w:t>
      </w:r>
    </w:p>
    <w:p w14:paraId="7CEA0C12" w14:textId="67CEC6C2" w:rsidR="008E18D4" w:rsidRDefault="008E18D4" w:rsidP="008E18D4">
      <w:pPr>
        <w:spacing w:before="120"/>
        <w:rPr>
          <w:rFonts w:eastAsiaTheme="minorEastAsia"/>
        </w:rPr>
      </w:pPr>
      <w:r>
        <w:rPr>
          <w:rFonts w:eastAsiaTheme="minorEastAsia"/>
        </w:rPr>
        <w:t xml:space="preserve">Ainsi nous le rapport de vraisemblance s’exprimera : </w:t>
      </w:r>
      <m:oMath>
        <m:r>
          <w:rPr>
            <w:rFonts w:ascii="Cambria Math" w:hAnsi="Cambria Math"/>
          </w:rPr>
          <m:t xml:space="preserve">λ= </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L</m:t>
                </m:r>
              </m:e>
            </m:acc>
          </m:num>
          <m:den>
            <m:acc>
              <m:accPr>
                <m:chr m:val="̃"/>
                <m:ctrlPr>
                  <w:rPr>
                    <w:rFonts w:ascii="Cambria Math" w:eastAsiaTheme="minorEastAsia" w:hAnsi="Cambria Math"/>
                    <w:i/>
                  </w:rPr>
                </m:ctrlPr>
              </m:accPr>
              <m:e>
                <m:r>
                  <w:rPr>
                    <w:rFonts w:ascii="Cambria Math" w:eastAsiaTheme="minorEastAsia" w:hAnsi="Cambria Math"/>
                  </w:rPr>
                  <m:t>L</m:t>
                </m:r>
              </m:e>
            </m:acc>
          </m:den>
        </m:f>
      </m:oMath>
    </w:p>
    <w:p w14:paraId="02ABE137" w14:textId="1CC27843" w:rsidR="008E18D4" w:rsidRDefault="008E18D4" w:rsidP="008E18D4">
      <w:pPr>
        <w:spacing w:before="120"/>
        <w:rPr>
          <w:rFonts w:eastAsiaTheme="minorEastAsia"/>
        </w:rPr>
      </w:pPr>
      <w:r>
        <w:rPr>
          <w:rFonts w:eastAsiaTheme="minorEastAsia"/>
        </w:rPr>
        <w:t>La statistique de ce test est :</w:t>
      </w:r>
    </w:p>
    <w:p w14:paraId="6B8C61F4" w14:textId="4BB32D66" w:rsidR="008E18D4" w:rsidRPr="00FC612F" w:rsidRDefault="008E18D4" w:rsidP="008E18D4">
      <w:pPr>
        <w:spacing w:before="120"/>
        <w:rPr>
          <w:rFonts w:eastAsiaTheme="minorEastAsia"/>
        </w:rPr>
      </w:pPr>
      <m:oMathPara>
        <m:oMath>
          <m:r>
            <w:rPr>
              <w:rFonts w:ascii="Cambria Math" w:hAnsi="Cambria Math"/>
            </w:rPr>
            <m:t>D=2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eastAsiaTheme="minorEastAsia" w:hAnsi="Cambria Math"/>
            </w:rPr>
            <m:t>~</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70FDA784" w14:textId="2093B9B7" w:rsidR="00FC612F" w:rsidRDefault="00FC612F" w:rsidP="00FC612F">
      <w:pPr>
        <w:pStyle w:val="Paragraphedeliste"/>
        <w:numPr>
          <w:ilvl w:val="0"/>
          <w:numId w:val="42"/>
        </w:numPr>
        <w:spacing w:before="360"/>
        <w:ind w:left="927"/>
        <w:rPr>
          <w:rFonts w:eastAsiaTheme="minorEastAsia"/>
        </w:rPr>
      </w:pPr>
      <w:r>
        <w:rPr>
          <w:rFonts w:eastAsiaTheme="minorEastAsia"/>
        </w:rPr>
        <w:t>Test de Wald :</w:t>
      </w:r>
    </w:p>
    <w:p w14:paraId="4B96BF19" w14:textId="0724BA83" w:rsidR="00FC612F" w:rsidRDefault="0048476F" w:rsidP="00FC612F">
      <w:pPr>
        <w:spacing w:before="360"/>
        <w:rPr>
          <w:rFonts w:eastAsiaTheme="minorEastAsia"/>
        </w:rPr>
      </w:pPr>
      <w:r>
        <w:rPr>
          <w:rFonts w:eastAsiaTheme="minorEastAsia"/>
        </w:rPr>
        <w:t xml:space="preserve">Pour définir la statistique du test de Wald, il faut dans un premier temps définir l’estimateur du maximum de vraisemblance de </w:t>
      </w:r>
      <m:oMath>
        <m:r>
          <w:rPr>
            <w:rFonts w:ascii="Cambria Math" w:hAnsi="Cambria Math"/>
          </w:rPr>
          <m:t>β</m:t>
        </m:r>
      </m:oMath>
      <w:r>
        <w:rPr>
          <w:rFonts w:eastAsiaTheme="minorEastAsia"/>
        </w:rPr>
        <w:t xml:space="preserve">, </w:t>
      </w:r>
      <m:oMath>
        <m:acc>
          <m:accPr>
            <m:ctrlPr>
              <w:rPr>
                <w:rFonts w:ascii="Cambria Math" w:hAnsi="Cambria Math"/>
                <w:i/>
              </w:rPr>
            </m:ctrlPr>
          </m:accPr>
          <m:e>
            <m:r>
              <w:rPr>
                <w:rFonts w:ascii="Cambria Math" w:hAnsi="Cambria Math"/>
              </w:rPr>
              <m:t>β</m:t>
            </m:r>
          </m:e>
        </m:acc>
      </m:oMath>
      <w:r>
        <w:rPr>
          <w:rFonts w:eastAsiaTheme="minorEastAsia"/>
        </w:rPr>
        <w:t>.</w:t>
      </w:r>
    </w:p>
    <w:p w14:paraId="2713F1DB" w14:textId="6F426F56" w:rsidR="0048476F" w:rsidRPr="00FC612F" w:rsidRDefault="0048476F" w:rsidP="00FC612F">
      <w:pPr>
        <w:spacing w:before="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ℵ</m:t>
          </m:r>
          <m:d>
            <m:dPr>
              <m:ctrlPr>
                <w:rPr>
                  <w:rFonts w:ascii="Cambria Math" w:eastAsiaTheme="minorEastAsia" w:hAnsi="Cambria Math"/>
                  <w:i/>
                </w:rPr>
              </m:ctrlPr>
            </m:dPr>
            <m:e>
              <m:r>
                <w:rPr>
                  <w:rFonts w:ascii="Cambria Math" w:eastAsiaTheme="minorEastAsia" w:hAnsi="Cambria Math"/>
                </w:rPr>
                <m:t>β,ϕ</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e>
          </m:d>
        </m:oMath>
      </m:oMathPara>
    </w:p>
    <w:p w14:paraId="33E190BA" w14:textId="6F4EF3AB" w:rsidR="00FC612F" w:rsidRDefault="00815D90" w:rsidP="008E18D4">
      <w:pPr>
        <w:spacing w:before="120"/>
        <w:rPr>
          <w:rFonts w:eastAsiaTheme="minorEastAsia"/>
        </w:rPr>
      </w:pPr>
      <w:r>
        <w:rPr>
          <w:rFonts w:eastAsiaTheme="minorEastAsia"/>
        </w:rPr>
        <w:t>Avec W la matrice diagonale de pondération définie telle que :</w:t>
      </w:r>
    </w:p>
    <w:p w14:paraId="42E6E647" w14:textId="58E98E9E" w:rsidR="00815D90" w:rsidRPr="008E18D4" w:rsidRDefault="00815D90" w:rsidP="008E18D4">
      <w:pPr>
        <w:spacing w:before="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en>
          </m:f>
          <m:r>
            <w:rPr>
              <w:rFonts w:ascii="Cambria Math" w:eastAsiaTheme="minorEastAsia" w:hAnsi="Cambria Math"/>
            </w:rPr>
            <m:t>)²</m:t>
          </m:r>
        </m:oMath>
      </m:oMathPara>
    </w:p>
    <w:p w14:paraId="3367162F" w14:textId="77777777" w:rsidR="00815D90" w:rsidRDefault="00815D90" w:rsidP="00815D90">
      <w:r>
        <w:t>Et donc avec les notations précédentes, sous H</w:t>
      </w:r>
      <w:r>
        <w:rPr>
          <w:vertAlign w:val="subscript"/>
        </w:rPr>
        <w:t>0</w:t>
      </w:r>
      <w:r>
        <w:t xml:space="preserve">, </w:t>
      </w:r>
      <w:bookmarkStart w:id="54" w:name="_Hlk112934319"/>
      <w:r>
        <w:t xml:space="preserve"> </w:t>
      </w:r>
      <m:oMath>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 xml:space="preserve">-r </m:t>
        </m:r>
        <m:r>
          <w:rPr>
            <w:rFonts w:ascii="Cambria Math" w:hAnsi="Cambria Math"/>
          </w:rPr>
          <m:t>~</m:t>
        </m:r>
        <m:r>
          <w:rPr>
            <w:rFonts w:ascii="Cambria Math" w:hAnsi="Cambria Math"/>
          </w:rPr>
          <m:t xml:space="preserve"> </m:t>
        </m:r>
        <m:r>
          <w:rPr>
            <w:rFonts w:ascii="Cambria Math" w:eastAsiaTheme="minorEastAsia" w:hAnsi="Cambria Math"/>
          </w:rPr>
          <m:t>ℵ</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,ϕ</m:t>
            </m:r>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r>
              <w:rPr>
                <w:rFonts w:ascii="Cambria Math" w:eastAsiaTheme="minorEastAsia" w:hAnsi="Cambria Math"/>
              </w:rPr>
              <m:t>C'</m:t>
            </m:r>
          </m:e>
        </m:d>
      </m:oMath>
      <w:r>
        <w:t xml:space="preserve"> </w:t>
      </w:r>
      <w:bookmarkEnd w:id="54"/>
    </w:p>
    <w:p w14:paraId="69534936" w14:textId="77777777" w:rsidR="00815D90" w:rsidRDefault="00815D90" w:rsidP="00815D90">
      <w:r>
        <w:t>Enfin, la statistique du test de Wald est définie comme :</w:t>
      </w:r>
    </w:p>
    <w:p w14:paraId="3513C94E" w14:textId="3B18FD13" w:rsidR="00815D90" w:rsidRDefault="002C782A" w:rsidP="00815D90">
      <m:oMathPara>
        <m:oMath>
          <m:sSup>
            <m:sSupPr>
              <m:ctrlPr>
                <w:rPr>
                  <w:rFonts w:ascii="Cambria Math" w:hAnsi="Cambria Math"/>
                  <w:i/>
                </w:rPr>
              </m:ctrlPr>
            </m:sSupPr>
            <m:e>
              <m:d>
                <m:dPr>
                  <m:ctrlPr>
                    <w:rPr>
                      <w:rFonts w:ascii="Cambria Math" w:hAnsi="Cambria Math"/>
                      <w:b/>
                      <w:bCs/>
                      <w:i/>
                    </w:rPr>
                  </m:ctrlPr>
                </m:dPr>
                <m:e>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-r</m:t>
                  </m:r>
                  <m:ctrlPr>
                    <w:rPr>
                      <w:rFonts w:ascii="Cambria Math" w:hAnsi="Cambria Math"/>
                      <w:i/>
                    </w:rPr>
                  </m:ctrlPr>
                </m:e>
              </m:d>
            </m:e>
            <m:sup>
              <m:r>
                <w:rPr>
                  <w:rFonts w:ascii="Cambria Math" w:hAnsi="Cambria Math"/>
                </w:rPr>
                <m:t>'</m:t>
              </m:r>
            </m:sup>
          </m:sSup>
          <m:sSup>
            <m:sSupPr>
              <m:ctrlPr>
                <w:rPr>
                  <w:rFonts w:ascii="Cambria Math" w:hAnsi="Cambria Math"/>
                  <w:i/>
                </w:rPr>
              </m:ctrlPr>
            </m:sSupPr>
            <m:e>
              <m:r>
                <w:rPr>
                  <w:rFonts w:ascii="Cambria Math" w:hAnsi="Cambria Math"/>
                </w:rPr>
                <m:t>[</m:t>
              </m:r>
              <m:r>
                <w:rPr>
                  <w:rFonts w:ascii="Cambria Math" w:eastAsiaTheme="minorEastAsia" w:hAnsi="Cambria Math"/>
                </w:rPr>
                <m:t>ϕ</m:t>
              </m:r>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r>
                <w:rPr>
                  <w:rFonts w:ascii="Cambria Math" w:eastAsiaTheme="minorEastAsia" w:hAnsi="Cambria Math"/>
                </w:rPr>
                <m:t>C'</m:t>
              </m:r>
              <m:r>
                <w:rPr>
                  <w:rFonts w:ascii="Cambria Math" w:hAnsi="Cambria Math"/>
                </w:rPr>
                <m:t>]</m:t>
              </m:r>
            </m:e>
            <m:sup>
              <m:r>
                <w:rPr>
                  <w:rFonts w:ascii="Cambria Math" w:hAnsi="Cambria Math"/>
                </w:rPr>
                <m:t>-1</m:t>
              </m:r>
            </m:sup>
          </m:sSup>
          <m:r>
            <m:rPr>
              <m:sty m:val="bi"/>
            </m:rPr>
            <w:rPr>
              <w:rFonts w:ascii="Cambria Math" w:hAnsi="Cambria Math"/>
            </w:rPr>
            <m:t>(</m:t>
          </m:r>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-r)</m:t>
          </m:r>
          <m:r>
            <w:rPr>
              <w:rFonts w:ascii="Cambria Math" w:hAnsi="Cambria Math"/>
            </w:rPr>
            <m:t>~</m:t>
          </m:r>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6276C543" w14:textId="590D6457" w:rsidR="002C782A" w:rsidRDefault="002C782A" w:rsidP="00815D90">
      <w:r>
        <w:t>En pratique, nous pouvons tester un seul paramètre :</w:t>
      </w:r>
    </w:p>
    <w:p w14:paraId="3BC439C4" w14:textId="0ED214C2" w:rsidR="001811D2" w:rsidRDefault="001811D2" w:rsidP="001811D2">
      <w:pPr>
        <w:jc w:val="center"/>
        <w:rPr>
          <w:rFonts w:eastAsiaTheme="minor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m:oMathPara>
    </w:p>
    <w:p w14:paraId="71CF338C" w14:textId="55583A89" w:rsidR="002C782A" w:rsidRDefault="001811D2" w:rsidP="00815D90">
      <w:pPr>
        <w:rPr>
          <w:rFonts w:eastAsiaTheme="minorEastAsia"/>
        </w:rPr>
      </w:pPr>
      <w:r>
        <w:t xml:space="preserve">On a alors,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=0, pour i≠j et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=1</m:t>
        </m:r>
      </m:oMath>
      <w:r>
        <w:rPr>
          <w:rFonts w:eastAsiaTheme="minorEastAsia"/>
        </w:rPr>
        <w:t xml:space="preserve"> et </w:t>
      </w:r>
      <m:oMath>
        <m:sSub>
          <m:sSubPr>
            <m:ctrlPr>
              <w:rPr>
                <w:rFonts w:ascii="Cambria Math" w:hAnsi="Cambria Math"/>
                <w:i/>
              </w:rPr>
            </m:ctrlPr>
          </m:sSubPr>
          <m:e>
            <m:r>
              <w:rPr>
                <w:rFonts w:ascii="Cambria Math" w:hAnsi="Cambria Math"/>
              </w:rPr>
              <m:t>Var(</m:t>
            </m:r>
            <m:acc>
              <m:accPr>
                <m:ctrlPr>
                  <w:rPr>
                    <w:rFonts w:ascii="Cambria Math" w:eastAsiaTheme="minorEastAsia" w:hAnsi="Cambria Math"/>
                    <w:i/>
                  </w:rPr>
                </m:ctrlPr>
              </m:accPr>
              <m:e>
                <m:r>
                  <w:rPr>
                    <w:rFonts w:ascii="Cambria Math" w:eastAsiaTheme="minorEastAsia" w:hAnsi="Cambria Math"/>
                  </w:rPr>
                  <m:t>β</m:t>
                </m:r>
              </m:e>
            </m:acc>
          </m:e>
          <m:sub>
            <m:r>
              <w:rPr>
                <w:rFonts w:ascii="Cambria Math" w:hAnsi="Cambria Math"/>
              </w:rPr>
              <m:t>j</m:t>
            </m:r>
          </m:sub>
        </m:sSub>
        <m:r>
          <w:rPr>
            <w:rFonts w:ascii="Cambria Math" w:hAnsi="Cambria Math"/>
          </w:rPr>
          <m:t>)</m:t>
        </m:r>
        <m:r>
          <w:rPr>
            <w:rFonts w:ascii="Cambria Math" w:eastAsiaTheme="minorEastAsia" w:hAnsi="Cambria Math"/>
          </w:rPr>
          <m:t>=</m:t>
        </m:r>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j</m:t>
            </m:r>
          </m:sub>
        </m:sSub>
      </m:oMath>
      <w:r>
        <w:rPr>
          <w:rFonts w:eastAsiaTheme="minorEastAsia"/>
        </w:rPr>
        <w:t>.</w:t>
      </w:r>
    </w:p>
    <w:p w14:paraId="34CA6FDD" w14:textId="1EC609E0" w:rsidR="001811D2" w:rsidRDefault="001811D2" w:rsidP="00230D49">
      <w:r>
        <w:t xml:space="preserve">La statistique du test de Wald est dans ce cas égale à :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)²</m:t>
            </m:r>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r>
          <w:rPr>
            <w:rFonts w:ascii="Cambria Math" w:hAnsi="Cambria Math"/>
          </w:rPr>
          <m:t xml:space="preserve"> </m:t>
        </m:r>
        <m: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p>
    <w:p w14:paraId="624DC321" w14:textId="1E133F80" w:rsidR="008E18D4" w:rsidRDefault="008E18D4" w:rsidP="00815D90">
      <w:pPr>
        <w:rPr>
          <w:rFonts w:asciiTheme="majorHAnsi" w:eastAsiaTheme="majorEastAsia" w:hAnsiTheme="majorHAnsi" w:cstheme="majorBidi"/>
          <w:color w:val="1F3763" w:themeColor="accent1" w:themeShade="7F"/>
          <w:sz w:val="24"/>
          <w:szCs w:val="24"/>
        </w:rPr>
      </w:pPr>
    </w:p>
    <w:p w14:paraId="059B732F" w14:textId="1A14E785" w:rsidR="00C54EAB" w:rsidRDefault="00C54EAB" w:rsidP="00C54EAB">
      <w:pPr>
        <w:pStyle w:val="Paragraphedeliste"/>
        <w:numPr>
          <w:ilvl w:val="0"/>
          <w:numId w:val="42"/>
        </w:numPr>
        <w:spacing w:before="360"/>
        <w:ind w:left="927"/>
        <w:rPr>
          <w:rFonts w:eastAsiaTheme="minorEastAsia"/>
        </w:rPr>
      </w:pPr>
      <w:r>
        <w:rPr>
          <w:rFonts w:eastAsiaTheme="minorEastAsia"/>
        </w:rPr>
        <w:t>Test du Score :</w:t>
      </w:r>
    </w:p>
    <w:p w14:paraId="2F029D0E" w14:textId="648374E1" w:rsidR="00C54EAB" w:rsidRDefault="00C54EAB" w:rsidP="00C54EAB">
      <w:pPr>
        <w:spacing w:before="360"/>
        <w:rPr>
          <w:rFonts w:eastAsiaTheme="minorEastAsia"/>
        </w:rPr>
      </w:pPr>
      <w:r>
        <w:rPr>
          <w:rFonts w:eastAsiaTheme="minorEastAsia"/>
        </w:rPr>
        <w:lastRenderedPageBreak/>
        <w:t>Ce test est basé sur la dérivée de la fonction log-</w:t>
      </w:r>
      <w:proofErr w:type="spellStart"/>
      <w:r>
        <w:rPr>
          <w:rFonts w:eastAsiaTheme="minorEastAsia"/>
        </w:rPr>
        <w:t>vraissemblance</w:t>
      </w:r>
      <w:proofErr w:type="spellEnd"/>
      <w:r>
        <w:rPr>
          <w:rFonts w:eastAsiaTheme="minorEastAsia"/>
        </w:rPr>
        <w:t xml:space="preserve"> définie précédemment, cette dérivée est appelée le Score, on </w:t>
      </w:r>
      <w:proofErr w:type="gramStart"/>
      <w:r>
        <w:rPr>
          <w:rFonts w:eastAsiaTheme="minorEastAsia"/>
        </w:rPr>
        <w:t>la</w:t>
      </w:r>
      <w:proofErr w:type="gramEnd"/>
      <w:r>
        <w:rPr>
          <w:rFonts w:eastAsiaTheme="minorEastAsia"/>
        </w:rPr>
        <w:t xml:space="preserve"> défini en pratique dans ce cas par :</w:t>
      </w:r>
    </w:p>
    <w:p w14:paraId="2227D772" w14:textId="571D496C" w:rsidR="00C54EAB" w:rsidRPr="00230D49" w:rsidRDefault="00C54EAB" w:rsidP="00C54EAB">
      <w:pPr>
        <w:spacing w:before="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m:t>
          </m:r>
          <m:r>
            <w:rPr>
              <w:rFonts w:ascii="Cambria Math" w:eastAsiaTheme="minorEastAsia" w:hAnsi="Cambria Math"/>
            </w:rPr>
            <m:t>G(y-</m:t>
          </m:r>
          <m:r>
            <w:rPr>
              <w:rFonts w:ascii="Cambria Math" w:hAnsi="Cambria Math"/>
            </w:rPr>
            <m:t>μ)</m:t>
          </m:r>
        </m:oMath>
      </m:oMathPara>
    </w:p>
    <w:p w14:paraId="19968872" w14:textId="4988ABB7" w:rsidR="00230D49" w:rsidRPr="00C54EAB" w:rsidRDefault="00230D49" w:rsidP="00C54EAB">
      <w:pPr>
        <w:spacing w:before="360"/>
        <w:rPr>
          <w:rFonts w:eastAsiaTheme="minorEastAsia"/>
        </w:rPr>
      </w:pPr>
      <w:r>
        <w:rPr>
          <w:rFonts w:eastAsiaTheme="minorEastAsia"/>
        </w:rPr>
        <w:t>Avec G une matrice diagonale composée des éléments g</w:t>
      </w:r>
      <w:proofErr w:type="gramStart"/>
      <w:r>
        <w:rPr>
          <w:rFonts w:eastAsiaTheme="minorEastAsia"/>
        </w:rPr>
        <w:t>’(</w:t>
      </w:r>
      <w:proofErr w:type="gramEnd"/>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Pr>
          <w:rFonts w:eastAsiaTheme="minorEastAsia"/>
        </w:rPr>
        <w:t xml:space="preserve"> et W une matrice d’éléments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ctrlPr>
                              <w:rPr>
                                <w:rFonts w:ascii="Cambria Math" w:hAnsi="Cambria Math"/>
                                <w:i/>
                              </w:rPr>
                            </m:ctrlPr>
                          </m:e>
                        </m:d>
                        <m:ctrlPr>
                          <w:rPr>
                            <w:rFonts w:ascii="Cambria Math" w:hAnsi="Cambria Math"/>
                            <w:i/>
                          </w:rPr>
                        </m:ctrlPr>
                      </m:e>
                    </m:d>
                    <m:ctrlPr>
                      <w:rPr>
                        <w:rFonts w:ascii="Cambria Math" w:eastAsiaTheme="minorEastAsia" w:hAnsi="Cambria Math"/>
                        <w:i/>
                      </w:rPr>
                    </m:ctrlP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d>
          </m:e>
          <m:sup>
            <m:r>
              <w:rPr>
                <w:rFonts w:ascii="Cambria Math" w:eastAsiaTheme="minorEastAsia" w:hAnsi="Cambria Math"/>
              </w:rPr>
              <m:t>-1</m:t>
            </m:r>
          </m:sup>
        </m:sSup>
      </m:oMath>
      <w:r>
        <w:rPr>
          <w:rFonts w:eastAsiaTheme="minorEastAsia"/>
        </w:rPr>
        <w:t xml:space="preserve">. De plus, on peut montrer que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e>
        </m:d>
        <m:r>
          <w:rPr>
            <w:rFonts w:ascii="Cambria Math" w:hAnsi="Cambria Math"/>
          </w:rPr>
          <m:t>=0</m:t>
        </m:r>
      </m:oMath>
      <w:r>
        <w:rPr>
          <w:rFonts w:eastAsiaTheme="minorEastAsia"/>
        </w:rPr>
        <w:t xml:space="preserve"> et </w:t>
      </w:r>
      <m:oMath>
        <m:r>
          <w:rPr>
            <w:rFonts w:ascii="Cambria Math" w:eastAsiaTheme="minorEastAsia" w:hAnsi="Cambria Math"/>
          </w:rPr>
          <m:t>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ctrlPr>
              <w:rPr>
                <w:rFonts w:ascii="Cambria Math" w:hAnsi="Cambria Math"/>
                <w:i/>
              </w:rPr>
            </m:ctrlPr>
          </m:e>
        </m:d>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m:t>
        </m:r>
        <m:r>
          <w:rPr>
            <w:rFonts w:ascii="Cambria Math" w:eastAsiaTheme="minorEastAsia" w:hAnsi="Cambria Math"/>
          </w:rPr>
          <m:t>X</m:t>
        </m:r>
      </m:oMath>
    </w:p>
    <w:p w14:paraId="6377CA5E" w14:textId="1BAE4353" w:rsidR="00C54EAB" w:rsidRDefault="00230D49" w:rsidP="00230D49">
      <w:pPr>
        <w:pStyle w:val="Sansinterligne"/>
      </w:pPr>
      <w:r>
        <w:t>Et enfin la statistique du test du score est donnée par :</w:t>
      </w:r>
    </w:p>
    <w:p w14:paraId="07598559" w14:textId="389A5433" w:rsidR="00230D49" w:rsidRPr="00815D90" w:rsidRDefault="00230D49" w:rsidP="00230D49">
      <w:pPr>
        <w:pStyle w:val="Sansinterligne"/>
        <w:spacing w:before="240"/>
      </w:pPr>
      <m:oMathPara>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ctrlPr>
                    <w:rPr>
                      <w:rFonts w:ascii="Cambria Math" w:hAnsi="Cambria Math"/>
                      <w:i/>
                    </w:rPr>
                  </m:ctrlPr>
                </m:e>
              </m:d>
              <m:r>
                <w:rPr>
                  <w:rFonts w:ascii="Cambria Math"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 xml:space="preserve"> </m:t>
          </m:r>
          <m:r>
            <w:rPr>
              <w:rFonts w:ascii="Cambria Math" w:hAnsi="Cambria Math"/>
            </w:rPr>
            <m:t>~</m:t>
          </m:r>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08BB89F9" w14:textId="77777777" w:rsidR="00230D49" w:rsidRDefault="00230D49">
      <w:pPr>
        <w:jc w:val="left"/>
        <w:rPr>
          <w:rFonts w:eastAsiaTheme="majorEastAsia" w:cstheme="majorBidi"/>
          <w:color w:val="00B0F0"/>
          <w:sz w:val="24"/>
          <w:szCs w:val="24"/>
        </w:rPr>
      </w:pPr>
      <w:bookmarkStart w:id="55" w:name="_Toc112883481"/>
      <w:r>
        <w:br w:type="page"/>
      </w:r>
    </w:p>
    <w:p w14:paraId="4121C1C5" w14:textId="139CFDA6" w:rsidR="00260AC0" w:rsidRDefault="00260AC0" w:rsidP="00230D49">
      <w:pPr>
        <w:pStyle w:val="Titre3"/>
        <w:spacing w:before="600"/>
      </w:pPr>
      <w:r>
        <w:lastRenderedPageBreak/>
        <w:t>Etude des résidus</w:t>
      </w:r>
      <w:bookmarkEnd w:id="55"/>
    </w:p>
    <w:p w14:paraId="471373DD" w14:textId="77777777" w:rsidR="00260AC0" w:rsidRDefault="00260AC0" w:rsidP="001B2AD8">
      <w:pPr>
        <w:spacing w:before="360"/>
      </w:pPr>
      <w:r>
        <w:t>Pour évaluer l’erreur du modèle, nous pouvons calculer les résidus du modèle de différentes manières, les méthodes que l’on utilisera dans cette étude sont les principales utilisées pour calculer des résidus, les résidus de Pearson et les résidus de déviances définis tels que :</w:t>
      </w:r>
    </w:p>
    <w:p w14:paraId="5050C232" w14:textId="77777777" w:rsidR="00260AC0" w:rsidRDefault="00260AC0" w:rsidP="00154541">
      <w:pPr>
        <w:pStyle w:val="Paragraphedeliste"/>
        <w:numPr>
          <w:ilvl w:val="0"/>
          <w:numId w:val="29"/>
        </w:numPr>
        <w:jc w:val="left"/>
      </w:pPr>
      <w:r>
        <w:t>Les résidus de Pearson :</w:t>
      </w:r>
    </w:p>
    <w:p w14:paraId="4536DAFF" w14:textId="77777777" w:rsidR="00260AC0" w:rsidRDefault="00260AC0" w:rsidP="00260AC0">
      <w:pPr>
        <w:ind w:left="414"/>
      </w:pPr>
      <w:r>
        <w:t>Le résidu de Pearson est défini comme :</w:t>
      </w:r>
    </w:p>
    <w:p w14:paraId="647C3284" w14:textId="77777777" w:rsidR="00260AC0" w:rsidRPr="00426B17" w:rsidRDefault="004057A7" w:rsidP="00260AC0">
      <w:pPr>
        <w:ind w:left="414"/>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p</m:t>
              </m:r>
            </m:sup>
          </m:sSup>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ω</m:t>
                      </m:r>
                    </m:e>
                    <m:sub>
                      <m:r>
                        <w:rPr>
                          <w:rFonts w:ascii="Cambria Math" w:hAnsi="Cambria Math"/>
                        </w:rPr>
                        <m:t>i</m:t>
                      </m:r>
                    </m:sub>
                  </m:sSub>
                </m:e>
              </m:ra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num>
            <m:den>
              <m:rad>
                <m:radPr>
                  <m:degHide m:val="1"/>
                  <m:ctrlPr>
                    <w:rPr>
                      <w:rFonts w:ascii="Cambria Math" w:hAnsi="Cambria Math"/>
                      <w:i/>
                    </w:rPr>
                  </m:ctrlPr>
                </m:radPr>
                <m:deg/>
                <m:e>
                  <m:r>
                    <w:rPr>
                      <w:rFonts w:ascii="Cambria Math" w:hAnsi="Cambria Math"/>
                    </w:rPr>
                    <m:t>V(</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e>
              </m:rad>
            </m:den>
          </m:f>
        </m:oMath>
      </m:oMathPara>
    </w:p>
    <w:p w14:paraId="0BAACF8B" w14:textId="77777777" w:rsidR="00260AC0" w:rsidRDefault="00260AC0" w:rsidP="00154541">
      <w:pPr>
        <w:pStyle w:val="Paragraphedeliste"/>
        <w:numPr>
          <w:ilvl w:val="0"/>
          <w:numId w:val="29"/>
        </w:numPr>
        <w:jc w:val="left"/>
      </w:pPr>
      <w:r>
        <w:t>Les résidus de Déviance :</w:t>
      </w:r>
    </w:p>
    <w:p w14:paraId="32E8B5F4" w14:textId="77777777" w:rsidR="00260AC0" w:rsidRDefault="00260AC0" w:rsidP="00260AC0">
      <w:pPr>
        <w:ind w:left="414"/>
        <w:rPr>
          <w:rFonts w:eastAsiaTheme="minorEastAsia"/>
        </w:rPr>
      </w:pPr>
      <w:r>
        <w:t>On peut considérer que chaque observation y</w:t>
      </w:r>
      <w:r>
        <w:rPr>
          <w:vertAlign w:val="subscript"/>
        </w:rPr>
        <w:t>i</w:t>
      </w:r>
      <w:r>
        <w:t xml:space="preserve"> contribue à une quantité d</w:t>
      </w:r>
      <w:r w:rsidRPr="0051634A">
        <w:rPr>
          <w:vertAlign w:val="subscript"/>
        </w:rPr>
        <w:t>i</w:t>
      </w:r>
      <w:r>
        <w:t xml:space="preserve"> à la déviance (</w:t>
      </w:r>
      <m:oMath>
        <m:r>
          <w:rPr>
            <w:rFonts w:ascii="Cambria Math" w:hAnsi="Cambria Math"/>
          </w:rPr>
          <m:t xml:space="preserve">D=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rPr>
          <w:rFonts w:eastAsiaTheme="minorEastAsia"/>
        </w:rPr>
        <w:t>), le résidu de déviance est défini comme :</w:t>
      </w:r>
    </w:p>
    <w:p w14:paraId="24991CCC" w14:textId="77777777" w:rsidR="00260AC0" w:rsidRPr="0051634A" w:rsidRDefault="004057A7" w:rsidP="00260AC0">
      <w:pPr>
        <w:ind w:left="414"/>
        <w:jc w:val="cente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D</m:t>
              </m:r>
            </m:sup>
          </m:sSup>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i</m:t>
                  </m:r>
                </m:sub>
              </m:sSub>
            </m:e>
          </m:rad>
          <m:r>
            <w:rPr>
              <w:rFonts w:ascii="Cambria Math" w:hAnsi="Cambria Math"/>
            </w:rPr>
            <m:t>×signe(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oMath>
      </m:oMathPara>
    </w:p>
    <w:p w14:paraId="20F278B5" w14:textId="77777777" w:rsidR="00260AC0" w:rsidRPr="0051634A" w:rsidRDefault="00260AC0" w:rsidP="00260AC0">
      <w:pPr>
        <w:ind w:left="414"/>
        <w:rPr>
          <w:rFonts w:asciiTheme="minorHAnsi" w:eastAsiaTheme="minorEastAsia" w:hAnsiTheme="minorHAnsi"/>
        </w:rPr>
      </w:pPr>
    </w:p>
    <w:p w14:paraId="110D6CE2" w14:textId="77777777" w:rsidR="00260AC0" w:rsidRPr="0051634A" w:rsidRDefault="00260AC0" w:rsidP="00260AC0">
      <w:pPr>
        <w:ind w:left="414"/>
        <w:jc w:val="left"/>
        <w:rPr>
          <w:rFonts w:asciiTheme="minorHAnsi" w:eastAsiaTheme="minorEastAsia" w:hAnsiTheme="minorHAnsi"/>
        </w:rPr>
      </w:pPr>
      <w:r>
        <w:rPr>
          <w:rFonts w:eastAsiaTheme="minorEastAsia"/>
        </w:rPr>
        <w:t>La somme des carrés des résidus dans les deux cas est asymptotiquement une statistique du  Khi-2 à n-p-1 degrés de liberté.</w:t>
      </w:r>
    </w:p>
    <w:p w14:paraId="112018FD" w14:textId="708D0DA2" w:rsidR="00260AC0" w:rsidRPr="00E354EE" w:rsidRDefault="00260AC0" w:rsidP="00260AC0">
      <w:pPr>
        <w:rPr>
          <w:rFonts w:asciiTheme="majorHAnsi" w:eastAsiaTheme="majorEastAsia" w:hAnsiTheme="majorHAnsi" w:cstheme="majorBidi"/>
          <w:color w:val="1F3763" w:themeColor="accent1" w:themeShade="7F"/>
          <w:sz w:val="24"/>
          <w:szCs w:val="24"/>
        </w:rPr>
      </w:pPr>
    </w:p>
    <w:p w14:paraId="71220FD8" w14:textId="49919546" w:rsidR="00B8637C" w:rsidRDefault="00B8637C" w:rsidP="00FB72CD">
      <w:pPr>
        <w:rPr>
          <w:b/>
          <w:bCs/>
        </w:rPr>
      </w:pPr>
      <w:r>
        <w:rPr>
          <w:b/>
          <w:bCs/>
        </w:rPr>
        <w:br w:type="page"/>
      </w:r>
    </w:p>
    <w:p w14:paraId="71188C7F" w14:textId="2885DAED" w:rsidR="00163B1C" w:rsidRDefault="00B8637C" w:rsidP="00B8637C">
      <w:pPr>
        <w:pStyle w:val="Titre1"/>
        <w:jc w:val="center"/>
      </w:pPr>
      <w:bookmarkStart w:id="56" w:name="_Toc112883483"/>
      <w:r>
        <w:lastRenderedPageBreak/>
        <w:t>Conclusion</w:t>
      </w:r>
      <w:r w:rsidR="00602D96">
        <w:t xml:space="preserve"> – Pistes pour la suite</w:t>
      </w:r>
      <w:bookmarkEnd w:id="56"/>
    </w:p>
    <w:p w14:paraId="322C7843" w14:textId="6F0E7BBA" w:rsidR="0077022A" w:rsidRDefault="0077022A" w:rsidP="0077022A"/>
    <w:p w14:paraId="19AD8329" w14:textId="308D87A6" w:rsidR="0077022A" w:rsidRDefault="0077022A" w:rsidP="0077022A"/>
    <w:p w14:paraId="589496EF" w14:textId="0D44E8A9" w:rsidR="002F2EFF" w:rsidRDefault="002F2EFF" w:rsidP="0077022A">
      <w:r>
        <w:t>L’étude du risque arrêt de travail est de plus en plus importante de nos jours, le phénomène très couteux d’absentéisme doit être appréhender</w:t>
      </w:r>
      <w:r w:rsidR="00D33417">
        <w:t>, évaluer et gérer par les assureurs mais aussi par les entreprises en général.</w:t>
      </w:r>
    </w:p>
    <w:p w14:paraId="01D06A99" w14:textId="4BC82732" w:rsidR="0077022A" w:rsidRDefault="0077022A" w:rsidP="0077022A">
      <w:r>
        <w:t>Dans le cadre de ce mémoire, nous avons pu étudier l’absentéisme dans la globalité sur le portefeuille collectif de Generali Vie, d’abord en expliquant les notions clés à comprendre pour appréhender le phénomène de l’absentéisme en entreprise, puis en analysant le portefeuille, les tendances sur les arrêts de travail et l’impact du COVID-19 sur l’absentéisme.</w:t>
      </w:r>
    </w:p>
    <w:p w14:paraId="4099B748" w14:textId="279E5970" w:rsidR="0077022A" w:rsidRDefault="0077022A" w:rsidP="0077022A">
      <w:r>
        <w:t>La phase de préparation des données a été primordiale dans cette étude, car l’objectif principal de ce mémoire était je le rappel</w:t>
      </w:r>
      <w:r w:rsidR="002F2EFF">
        <w:t>le</w:t>
      </w:r>
      <w:r>
        <w:t xml:space="preserve"> de fournir les premiers outils pour analyser l’absentéisme de notre portefeuille collectif. Pour la poursuite de ce mémoire, l’objectif est d’aller plus loin en étudiant l’absentéisme individuel des salariés, d’abord en construisant une base de données agrégée par année pour chaque salarié</w:t>
      </w:r>
      <w:r w:rsidR="002F2EFF">
        <w:t>, puis d’analyser ce phénomène, de le comprendre et d’étudier les méthodes pour gérer ce risque en pratique.</w:t>
      </w:r>
      <w:r w:rsidR="00D33417">
        <w:t xml:space="preserve"> </w:t>
      </w:r>
    </w:p>
    <w:p w14:paraId="35C6FFD8" w14:textId="720A98CC" w:rsidR="002F2EFF" w:rsidRDefault="002F2EFF" w:rsidP="0077022A">
      <w:r>
        <w:t xml:space="preserve">Grâce à ce mémoire, nous avons pu constater les limites que le manques d’informations sur les assurés </w:t>
      </w:r>
      <w:r w:rsidR="00780D29">
        <w:t>du périmètre collectif crée pour la modélisation de l’absentéisme avec des modèles linéaires généralisés. Ainsi nous avons pu fournir une piste d’amélioration pour l’étude de l’absentéisme sur notre portefeuille qui est la création d’une base de données sur les bénéficiaires des contrats en y indiquant par exemple leur situation professionnelle, leur secteur d’activité, leur position géographique.</w:t>
      </w:r>
    </w:p>
    <w:p w14:paraId="33D52227" w14:textId="128C07D0" w:rsidR="0077022A" w:rsidRDefault="0077022A" w:rsidP="0077022A"/>
    <w:p w14:paraId="211481A5" w14:textId="77777777" w:rsidR="0077022A" w:rsidRPr="0077022A" w:rsidRDefault="0077022A" w:rsidP="0077022A"/>
    <w:sectPr w:rsidR="0077022A" w:rsidRPr="0077022A" w:rsidSect="00C57E5E">
      <w:footerReference w:type="default" r:id="rId25"/>
      <w:pgSz w:w="11906" w:h="16838"/>
      <w:pgMar w:top="1417" w:right="1417" w:bottom="1417" w:left="1417"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F0C41" w14:textId="77777777" w:rsidR="00431AD6" w:rsidRDefault="00431AD6" w:rsidP="00260AC0">
      <w:pPr>
        <w:spacing w:after="0" w:line="240" w:lineRule="auto"/>
      </w:pPr>
      <w:r>
        <w:separator/>
      </w:r>
    </w:p>
  </w:endnote>
  <w:endnote w:type="continuationSeparator" w:id="0">
    <w:p w14:paraId="542940A6" w14:textId="77777777" w:rsidR="00431AD6" w:rsidRDefault="00431AD6" w:rsidP="0026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G Omega">
    <w:altName w:val="Yu Gothic"/>
    <w:charset w:val="80"/>
    <w:family w:val="roman"/>
    <w:pitch w:val="variable"/>
  </w:font>
  <w:font w:name="Tms Rmn">
    <w:altName w:val="Times New Roman"/>
    <w:panose1 w:val="02020603040505020304"/>
    <w:charset w:val="00"/>
    <w:family w:val="roman"/>
    <w:pitch w:val="variable"/>
    <w:sig w:usb0="00000003" w:usb1="00000000" w:usb2="00000000" w:usb3="00000000" w:csb0="00000001" w:csb1="00000000"/>
  </w:font>
  <w:font w:name="ArialMT">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Utopia-Bold">
    <w:altName w:val="Calibri"/>
    <w:panose1 w:val="00000000000000000000"/>
    <w:charset w:val="00"/>
    <w:family w:val="auto"/>
    <w:notTrueType/>
    <w:pitch w:val="default"/>
    <w:sig w:usb0="00000003" w:usb1="00000000" w:usb2="00000000" w:usb3="00000000" w:csb0="00000001" w:csb1="00000000"/>
  </w:font>
  <w:font w:name="Utopia-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051455"/>
      <w:docPartObj>
        <w:docPartGallery w:val="Page Numbers (Bottom of Page)"/>
        <w:docPartUnique/>
      </w:docPartObj>
    </w:sdtPr>
    <w:sdtContent>
      <w:p w14:paraId="4466CEEC" w14:textId="6F28E2E2" w:rsidR="00230D49" w:rsidRDefault="00230D49">
        <w:pPr>
          <w:pStyle w:val="Pieddepage"/>
          <w:jc w:val="center"/>
        </w:pPr>
        <w:r>
          <w:fldChar w:fldCharType="begin"/>
        </w:r>
        <w:r>
          <w:instrText>PAGE   \* MERGEFORMAT</w:instrText>
        </w:r>
        <w:r>
          <w:fldChar w:fldCharType="separate"/>
        </w:r>
        <w:r>
          <w:t>2</w:t>
        </w:r>
        <w:r>
          <w:fldChar w:fldCharType="end"/>
        </w:r>
      </w:p>
    </w:sdtContent>
  </w:sdt>
  <w:p w14:paraId="6D225A3D" w14:textId="77777777" w:rsidR="00230D49" w:rsidRDefault="00230D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E6963" w14:textId="77777777" w:rsidR="00431AD6" w:rsidRDefault="00431AD6" w:rsidP="00260AC0">
      <w:pPr>
        <w:spacing w:after="0" w:line="240" w:lineRule="auto"/>
      </w:pPr>
      <w:r>
        <w:separator/>
      </w:r>
    </w:p>
  </w:footnote>
  <w:footnote w:type="continuationSeparator" w:id="0">
    <w:p w14:paraId="2505E208" w14:textId="77777777" w:rsidR="00431AD6" w:rsidRDefault="00431AD6" w:rsidP="00260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396"/>
    <w:multiLevelType w:val="hybridMultilevel"/>
    <w:tmpl w:val="2602623E"/>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1" w15:restartNumberingAfterBreak="0">
    <w:nsid w:val="00EF79FE"/>
    <w:multiLevelType w:val="hybridMultilevel"/>
    <w:tmpl w:val="A4886492"/>
    <w:lvl w:ilvl="0" w:tplc="A68CD3DA">
      <w:start w:val="1"/>
      <w:numFmt w:val="bullet"/>
      <w:lvlText w:val=""/>
      <w:lvlJc w:val="left"/>
      <w:pPr>
        <w:tabs>
          <w:tab w:val="num" w:pos="720"/>
        </w:tabs>
        <w:ind w:left="720" w:hanging="360"/>
      </w:pPr>
      <w:rPr>
        <w:rFonts w:ascii="Wingdings" w:hAnsi="Wingdings" w:hint="default"/>
      </w:rPr>
    </w:lvl>
    <w:lvl w:ilvl="1" w:tplc="F09A0812" w:tentative="1">
      <w:start w:val="1"/>
      <w:numFmt w:val="bullet"/>
      <w:lvlText w:val=""/>
      <w:lvlJc w:val="left"/>
      <w:pPr>
        <w:tabs>
          <w:tab w:val="num" w:pos="1440"/>
        </w:tabs>
        <w:ind w:left="1440" w:hanging="360"/>
      </w:pPr>
      <w:rPr>
        <w:rFonts w:ascii="Wingdings" w:hAnsi="Wingdings" w:hint="default"/>
      </w:rPr>
    </w:lvl>
    <w:lvl w:ilvl="2" w:tplc="F940CECA" w:tentative="1">
      <w:start w:val="1"/>
      <w:numFmt w:val="bullet"/>
      <w:lvlText w:val=""/>
      <w:lvlJc w:val="left"/>
      <w:pPr>
        <w:tabs>
          <w:tab w:val="num" w:pos="2160"/>
        </w:tabs>
        <w:ind w:left="2160" w:hanging="360"/>
      </w:pPr>
      <w:rPr>
        <w:rFonts w:ascii="Wingdings" w:hAnsi="Wingdings" w:hint="default"/>
      </w:rPr>
    </w:lvl>
    <w:lvl w:ilvl="3" w:tplc="AFD63114" w:tentative="1">
      <w:start w:val="1"/>
      <w:numFmt w:val="bullet"/>
      <w:lvlText w:val=""/>
      <w:lvlJc w:val="left"/>
      <w:pPr>
        <w:tabs>
          <w:tab w:val="num" w:pos="2880"/>
        </w:tabs>
        <w:ind w:left="2880" w:hanging="360"/>
      </w:pPr>
      <w:rPr>
        <w:rFonts w:ascii="Wingdings" w:hAnsi="Wingdings" w:hint="default"/>
      </w:rPr>
    </w:lvl>
    <w:lvl w:ilvl="4" w:tplc="41DA9344" w:tentative="1">
      <w:start w:val="1"/>
      <w:numFmt w:val="bullet"/>
      <w:lvlText w:val=""/>
      <w:lvlJc w:val="left"/>
      <w:pPr>
        <w:tabs>
          <w:tab w:val="num" w:pos="3600"/>
        </w:tabs>
        <w:ind w:left="3600" w:hanging="360"/>
      </w:pPr>
      <w:rPr>
        <w:rFonts w:ascii="Wingdings" w:hAnsi="Wingdings" w:hint="default"/>
      </w:rPr>
    </w:lvl>
    <w:lvl w:ilvl="5" w:tplc="3D486EF6" w:tentative="1">
      <w:start w:val="1"/>
      <w:numFmt w:val="bullet"/>
      <w:lvlText w:val=""/>
      <w:lvlJc w:val="left"/>
      <w:pPr>
        <w:tabs>
          <w:tab w:val="num" w:pos="4320"/>
        </w:tabs>
        <w:ind w:left="4320" w:hanging="360"/>
      </w:pPr>
      <w:rPr>
        <w:rFonts w:ascii="Wingdings" w:hAnsi="Wingdings" w:hint="default"/>
      </w:rPr>
    </w:lvl>
    <w:lvl w:ilvl="6" w:tplc="6E8C7DF0" w:tentative="1">
      <w:start w:val="1"/>
      <w:numFmt w:val="bullet"/>
      <w:lvlText w:val=""/>
      <w:lvlJc w:val="left"/>
      <w:pPr>
        <w:tabs>
          <w:tab w:val="num" w:pos="5040"/>
        </w:tabs>
        <w:ind w:left="5040" w:hanging="360"/>
      </w:pPr>
      <w:rPr>
        <w:rFonts w:ascii="Wingdings" w:hAnsi="Wingdings" w:hint="default"/>
      </w:rPr>
    </w:lvl>
    <w:lvl w:ilvl="7" w:tplc="E160B928" w:tentative="1">
      <w:start w:val="1"/>
      <w:numFmt w:val="bullet"/>
      <w:lvlText w:val=""/>
      <w:lvlJc w:val="left"/>
      <w:pPr>
        <w:tabs>
          <w:tab w:val="num" w:pos="5760"/>
        </w:tabs>
        <w:ind w:left="5760" w:hanging="360"/>
      </w:pPr>
      <w:rPr>
        <w:rFonts w:ascii="Wingdings" w:hAnsi="Wingdings" w:hint="default"/>
      </w:rPr>
    </w:lvl>
    <w:lvl w:ilvl="8" w:tplc="AA2025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0965B1"/>
    <w:multiLevelType w:val="hybridMultilevel"/>
    <w:tmpl w:val="105A8BDA"/>
    <w:lvl w:ilvl="0" w:tplc="4050925E">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8A55A57"/>
    <w:multiLevelType w:val="hybridMultilevel"/>
    <w:tmpl w:val="270E9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E915CB"/>
    <w:multiLevelType w:val="hybridMultilevel"/>
    <w:tmpl w:val="F17E0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BD73BF"/>
    <w:multiLevelType w:val="hybridMultilevel"/>
    <w:tmpl w:val="81A4F250"/>
    <w:lvl w:ilvl="0" w:tplc="040C0003">
      <w:start w:val="1"/>
      <w:numFmt w:val="bullet"/>
      <w:lvlText w:val="o"/>
      <w:lvlJc w:val="left"/>
      <w:pPr>
        <w:ind w:left="1423" w:hanging="360"/>
      </w:pPr>
      <w:rPr>
        <w:rFonts w:ascii="Courier New" w:hAnsi="Courier New" w:cs="Courier New"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6" w15:restartNumberingAfterBreak="0">
    <w:nsid w:val="1149515C"/>
    <w:multiLevelType w:val="hybridMultilevel"/>
    <w:tmpl w:val="F076A250"/>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504F46"/>
    <w:multiLevelType w:val="hybridMultilevel"/>
    <w:tmpl w:val="F62477C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15580193"/>
    <w:multiLevelType w:val="hybridMultilevel"/>
    <w:tmpl w:val="070EEE50"/>
    <w:lvl w:ilvl="0" w:tplc="040C0005">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9" w15:restartNumberingAfterBreak="0">
    <w:nsid w:val="16E456E9"/>
    <w:multiLevelType w:val="hybridMultilevel"/>
    <w:tmpl w:val="EE0CEBDC"/>
    <w:lvl w:ilvl="0" w:tplc="7AF6C38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3B7EB5"/>
    <w:multiLevelType w:val="hybridMultilevel"/>
    <w:tmpl w:val="AB02D7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B5C3FA3"/>
    <w:multiLevelType w:val="hybridMultilevel"/>
    <w:tmpl w:val="41B888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5D4D41"/>
    <w:multiLevelType w:val="hybridMultilevel"/>
    <w:tmpl w:val="1F602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9E441B"/>
    <w:multiLevelType w:val="hybridMultilevel"/>
    <w:tmpl w:val="0A58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1B4A59"/>
    <w:multiLevelType w:val="hybridMultilevel"/>
    <w:tmpl w:val="F5EE2D5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039319D"/>
    <w:multiLevelType w:val="hybridMultilevel"/>
    <w:tmpl w:val="63AE60D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147F9"/>
    <w:multiLevelType w:val="hybridMultilevel"/>
    <w:tmpl w:val="E14473D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69C4D59"/>
    <w:multiLevelType w:val="hybridMultilevel"/>
    <w:tmpl w:val="09185B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2F4779"/>
    <w:multiLevelType w:val="hybridMultilevel"/>
    <w:tmpl w:val="5F14175C"/>
    <w:lvl w:ilvl="0" w:tplc="830E1238">
      <w:start w:val="1"/>
      <w:numFmt w:val="bullet"/>
      <w:lvlText w:val=""/>
      <w:lvlJc w:val="left"/>
      <w:pPr>
        <w:tabs>
          <w:tab w:val="num" w:pos="720"/>
        </w:tabs>
        <w:ind w:left="720" w:hanging="360"/>
      </w:pPr>
      <w:rPr>
        <w:rFonts w:ascii="Wingdings" w:hAnsi="Wingdings" w:hint="default"/>
      </w:rPr>
    </w:lvl>
    <w:lvl w:ilvl="1" w:tplc="73BC7F48" w:tentative="1">
      <w:start w:val="1"/>
      <w:numFmt w:val="bullet"/>
      <w:lvlText w:val=""/>
      <w:lvlJc w:val="left"/>
      <w:pPr>
        <w:tabs>
          <w:tab w:val="num" w:pos="1440"/>
        </w:tabs>
        <w:ind w:left="1440" w:hanging="360"/>
      </w:pPr>
      <w:rPr>
        <w:rFonts w:ascii="Wingdings" w:hAnsi="Wingdings" w:hint="default"/>
      </w:rPr>
    </w:lvl>
    <w:lvl w:ilvl="2" w:tplc="7DBAEEC2" w:tentative="1">
      <w:start w:val="1"/>
      <w:numFmt w:val="bullet"/>
      <w:lvlText w:val=""/>
      <w:lvlJc w:val="left"/>
      <w:pPr>
        <w:tabs>
          <w:tab w:val="num" w:pos="2160"/>
        </w:tabs>
        <w:ind w:left="2160" w:hanging="360"/>
      </w:pPr>
      <w:rPr>
        <w:rFonts w:ascii="Wingdings" w:hAnsi="Wingdings" w:hint="default"/>
      </w:rPr>
    </w:lvl>
    <w:lvl w:ilvl="3" w:tplc="2D18630A" w:tentative="1">
      <w:start w:val="1"/>
      <w:numFmt w:val="bullet"/>
      <w:lvlText w:val=""/>
      <w:lvlJc w:val="left"/>
      <w:pPr>
        <w:tabs>
          <w:tab w:val="num" w:pos="2880"/>
        </w:tabs>
        <w:ind w:left="2880" w:hanging="360"/>
      </w:pPr>
      <w:rPr>
        <w:rFonts w:ascii="Wingdings" w:hAnsi="Wingdings" w:hint="default"/>
      </w:rPr>
    </w:lvl>
    <w:lvl w:ilvl="4" w:tplc="D1487336" w:tentative="1">
      <w:start w:val="1"/>
      <w:numFmt w:val="bullet"/>
      <w:lvlText w:val=""/>
      <w:lvlJc w:val="left"/>
      <w:pPr>
        <w:tabs>
          <w:tab w:val="num" w:pos="3600"/>
        </w:tabs>
        <w:ind w:left="3600" w:hanging="360"/>
      </w:pPr>
      <w:rPr>
        <w:rFonts w:ascii="Wingdings" w:hAnsi="Wingdings" w:hint="default"/>
      </w:rPr>
    </w:lvl>
    <w:lvl w:ilvl="5" w:tplc="62D8637A" w:tentative="1">
      <w:start w:val="1"/>
      <w:numFmt w:val="bullet"/>
      <w:lvlText w:val=""/>
      <w:lvlJc w:val="left"/>
      <w:pPr>
        <w:tabs>
          <w:tab w:val="num" w:pos="4320"/>
        </w:tabs>
        <w:ind w:left="4320" w:hanging="360"/>
      </w:pPr>
      <w:rPr>
        <w:rFonts w:ascii="Wingdings" w:hAnsi="Wingdings" w:hint="default"/>
      </w:rPr>
    </w:lvl>
    <w:lvl w:ilvl="6" w:tplc="B6347C38" w:tentative="1">
      <w:start w:val="1"/>
      <w:numFmt w:val="bullet"/>
      <w:lvlText w:val=""/>
      <w:lvlJc w:val="left"/>
      <w:pPr>
        <w:tabs>
          <w:tab w:val="num" w:pos="5040"/>
        </w:tabs>
        <w:ind w:left="5040" w:hanging="360"/>
      </w:pPr>
      <w:rPr>
        <w:rFonts w:ascii="Wingdings" w:hAnsi="Wingdings" w:hint="default"/>
      </w:rPr>
    </w:lvl>
    <w:lvl w:ilvl="7" w:tplc="DB2E1340" w:tentative="1">
      <w:start w:val="1"/>
      <w:numFmt w:val="bullet"/>
      <w:lvlText w:val=""/>
      <w:lvlJc w:val="left"/>
      <w:pPr>
        <w:tabs>
          <w:tab w:val="num" w:pos="5760"/>
        </w:tabs>
        <w:ind w:left="5760" w:hanging="360"/>
      </w:pPr>
      <w:rPr>
        <w:rFonts w:ascii="Wingdings" w:hAnsi="Wingdings" w:hint="default"/>
      </w:rPr>
    </w:lvl>
    <w:lvl w:ilvl="8" w:tplc="E6061A8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AF1223"/>
    <w:multiLevelType w:val="hybridMultilevel"/>
    <w:tmpl w:val="E3665F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3F0C44"/>
    <w:multiLevelType w:val="hybridMultilevel"/>
    <w:tmpl w:val="7A2EA404"/>
    <w:lvl w:ilvl="0" w:tplc="B8AC264C">
      <w:start w:val="1"/>
      <w:numFmt w:val="bullet"/>
      <w:lvlText w:val=""/>
      <w:lvlJc w:val="left"/>
      <w:pPr>
        <w:tabs>
          <w:tab w:val="num" w:pos="720"/>
        </w:tabs>
        <w:ind w:left="720" w:hanging="360"/>
      </w:pPr>
      <w:rPr>
        <w:rFonts w:ascii="Wingdings" w:hAnsi="Wingdings" w:hint="default"/>
      </w:rPr>
    </w:lvl>
    <w:lvl w:ilvl="1" w:tplc="AF1C3A4E" w:tentative="1">
      <w:start w:val="1"/>
      <w:numFmt w:val="bullet"/>
      <w:lvlText w:val=""/>
      <w:lvlJc w:val="left"/>
      <w:pPr>
        <w:tabs>
          <w:tab w:val="num" w:pos="1440"/>
        </w:tabs>
        <w:ind w:left="1440" w:hanging="360"/>
      </w:pPr>
      <w:rPr>
        <w:rFonts w:ascii="Wingdings" w:hAnsi="Wingdings" w:hint="default"/>
      </w:rPr>
    </w:lvl>
    <w:lvl w:ilvl="2" w:tplc="413855C6" w:tentative="1">
      <w:start w:val="1"/>
      <w:numFmt w:val="bullet"/>
      <w:lvlText w:val=""/>
      <w:lvlJc w:val="left"/>
      <w:pPr>
        <w:tabs>
          <w:tab w:val="num" w:pos="2160"/>
        </w:tabs>
        <w:ind w:left="2160" w:hanging="360"/>
      </w:pPr>
      <w:rPr>
        <w:rFonts w:ascii="Wingdings" w:hAnsi="Wingdings" w:hint="default"/>
      </w:rPr>
    </w:lvl>
    <w:lvl w:ilvl="3" w:tplc="0AA0E0AE" w:tentative="1">
      <w:start w:val="1"/>
      <w:numFmt w:val="bullet"/>
      <w:lvlText w:val=""/>
      <w:lvlJc w:val="left"/>
      <w:pPr>
        <w:tabs>
          <w:tab w:val="num" w:pos="2880"/>
        </w:tabs>
        <w:ind w:left="2880" w:hanging="360"/>
      </w:pPr>
      <w:rPr>
        <w:rFonts w:ascii="Wingdings" w:hAnsi="Wingdings" w:hint="default"/>
      </w:rPr>
    </w:lvl>
    <w:lvl w:ilvl="4" w:tplc="14124904" w:tentative="1">
      <w:start w:val="1"/>
      <w:numFmt w:val="bullet"/>
      <w:lvlText w:val=""/>
      <w:lvlJc w:val="left"/>
      <w:pPr>
        <w:tabs>
          <w:tab w:val="num" w:pos="3600"/>
        </w:tabs>
        <w:ind w:left="3600" w:hanging="360"/>
      </w:pPr>
      <w:rPr>
        <w:rFonts w:ascii="Wingdings" w:hAnsi="Wingdings" w:hint="default"/>
      </w:rPr>
    </w:lvl>
    <w:lvl w:ilvl="5" w:tplc="AABEB304" w:tentative="1">
      <w:start w:val="1"/>
      <w:numFmt w:val="bullet"/>
      <w:lvlText w:val=""/>
      <w:lvlJc w:val="left"/>
      <w:pPr>
        <w:tabs>
          <w:tab w:val="num" w:pos="4320"/>
        </w:tabs>
        <w:ind w:left="4320" w:hanging="360"/>
      </w:pPr>
      <w:rPr>
        <w:rFonts w:ascii="Wingdings" w:hAnsi="Wingdings" w:hint="default"/>
      </w:rPr>
    </w:lvl>
    <w:lvl w:ilvl="6" w:tplc="4F66602C" w:tentative="1">
      <w:start w:val="1"/>
      <w:numFmt w:val="bullet"/>
      <w:lvlText w:val=""/>
      <w:lvlJc w:val="left"/>
      <w:pPr>
        <w:tabs>
          <w:tab w:val="num" w:pos="5040"/>
        </w:tabs>
        <w:ind w:left="5040" w:hanging="360"/>
      </w:pPr>
      <w:rPr>
        <w:rFonts w:ascii="Wingdings" w:hAnsi="Wingdings" w:hint="default"/>
      </w:rPr>
    </w:lvl>
    <w:lvl w:ilvl="7" w:tplc="0E86A086" w:tentative="1">
      <w:start w:val="1"/>
      <w:numFmt w:val="bullet"/>
      <w:lvlText w:val=""/>
      <w:lvlJc w:val="left"/>
      <w:pPr>
        <w:tabs>
          <w:tab w:val="num" w:pos="5760"/>
        </w:tabs>
        <w:ind w:left="5760" w:hanging="360"/>
      </w:pPr>
      <w:rPr>
        <w:rFonts w:ascii="Wingdings" w:hAnsi="Wingdings" w:hint="default"/>
      </w:rPr>
    </w:lvl>
    <w:lvl w:ilvl="8" w:tplc="E6E0D60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C91F9C"/>
    <w:multiLevelType w:val="hybridMultilevel"/>
    <w:tmpl w:val="AEBE47CE"/>
    <w:lvl w:ilvl="0" w:tplc="221CD1CC">
      <w:start w:val="1"/>
      <w:numFmt w:val="bullet"/>
      <w:lvlText w:val=""/>
      <w:lvlJc w:val="left"/>
      <w:pPr>
        <w:tabs>
          <w:tab w:val="num" w:pos="720"/>
        </w:tabs>
        <w:ind w:left="720" w:hanging="360"/>
      </w:pPr>
      <w:rPr>
        <w:rFonts w:ascii="Wingdings" w:hAnsi="Wingdings" w:hint="default"/>
      </w:rPr>
    </w:lvl>
    <w:lvl w:ilvl="1" w:tplc="1B7E1788" w:tentative="1">
      <w:start w:val="1"/>
      <w:numFmt w:val="bullet"/>
      <w:lvlText w:val=""/>
      <w:lvlJc w:val="left"/>
      <w:pPr>
        <w:tabs>
          <w:tab w:val="num" w:pos="1440"/>
        </w:tabs>
        <w:ind w:left="1440" w:hanging="360"/>
      </w:pPr>
      <w:rPr>
        <w:rFonts w:ascii="Wingdings" w:hAnsi="Wingdings" w:hint="default"/>
      </w:rPr>
    </w:lvl>
    <w:lvl w:ilvl="2" w:tplc="2EEEB3B2" w:tentative="1">
      <w:start w:val="1"/>
      <w:numFmt w:val="bullet"/>
      <w:lvlText w:val=""/>
      <w:lvlJc w:val="left"/>
      <w:pPr>
        <w:tabs>
          <w:tab w:val="num" w:pos="2160"/>
        </w:tabs>
        <w:ind w:left="2160" w:hanging="360"/>
      </w:pPr>
      <w:rPr>
        <w:rFonts w:ascii="Wingdings" w:hAnsi="Wingdings" w:hint="default"/>
      </w:rPr>
    </w:lvl>
    <w:lvl w:ilvl="3" w:tplc="2BB87C7A" w:tentative="1">
      <w:start w:val="1"/>
      <w:numFmt w:val="bullet"/>
      <w:lvlText w:val=""/>
      <w:lvlJc w:val="left"/>
      <w:pPr>
        <w:tabs>
          <w:tab w:val="num" w:pos="2880"/>
        </w:tabs>
        <w:ind w:left="2880" w:hanging="360"/>
      </w:pPr>
      <w:rPr>
        <w:rFonts w:ascii="Wingdings" w:hAnsi="Wingdings" w:hint="default"/>
      </w:rPr>
    </w:lvl>
    <w:lvl w:ilvl="4" w:tplc="C7ACB660" w:tentative="1">
      <w:start w:val="1"/>
      <w:numFmt w:val="bullet"/>
      <w:lvlText w:val=""/>
      <w:lvlJc w:val="left"/>
      <w:pPr>
        <w:tabs>
          <w:tab w:val="num" w:pos="3600"/>
        </w:tabs>
        <w:ind w:left="3600" w:hanging="360"/>
      </w:pPr>
      <w:rPr>
        <w:rFonts w:ascii="Wingdings" w:hAnsi="Wingdings" w:hint="default"/>
      </w:rPr>
    </w:lvl>
    <w:lvl w:ilvl="5" w:tplc="2F3682BE" w:tentative="1">
      <w:start w:val="1"/>
      <w:numFmt w:val="bullet"/>
      <w:lvlText w:val=""/>
      <w:lvlJc w:val="left"/>
      <w:pPr>
        <w:tabs>
          <w:tab w:val="num" w:pos="4320"/>
        </w:tabs>
        <w:ind w:left="4320" w:hanging="360"/>
      </w:pPr>
      <w:rPr>
        <w:rFonts w:ascii="Wingdings" w:hAnsi="Wingdings" w:hint="default"/>
      </w:rPr>
    </w:lvl>
    <w:lvl w:ilvl="6" w:tplc="24EE0298" w:tentative="1">
      <w:start w:val="1"/>
      <w:numFmt w:val="bullet"/>
      <w:lvlText w:val=""/>
      <w:lvlJc w:val="left"/>
      <w:pPr>
        <w:tabs>
          <w:tab w:val="num" w:pos="5040"/>
        </w:tabs>
        <w:ind w:left="5040" w:hanging="360"/>
      </w:pPr>
      <w:rPr>
        <w:rFonts w:ascii="Wingdings" w:hAnsi="Wingdings" w:hint="default"/>
      </w:rPr>
    </w:lvl>
    <w:lvl w:ilvl="7" w:tplc="E1BEC408" w:tentative="1">
      <w:start w:val="1"/>
      <w:numFmt w:val="bullet"/>
      <w:lvlText w:val=""/>
      <w:lvlJc w:val="left"/>
      <w:pPr>
        <w:tabs>
          <w:tab w:val="num" w:pos="5760"/>
        </w:tabs>
        <w:ind w:left="5760" w:hanging="360"/>
      </w:pPr>
      <w:rPr>
        <w:rFonts w:ascii="Wingdings" w:hAnsi="Wingdings" w:hint="default"/>
      </w:rPr>
    </w:lvl>
    <w:lvl w:ilvl="8" w:tplc="E83E240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96E7C"/>
    <w:multiLevelType w:val="hybridMultilevel"/>
    <w:tmpl w:val="9A6E02F4"/>
    <w:lvl w:ilvl="0" w:tplc="040C0001">
      <w:start w:val="1"/>
      <w:numFmt w:val="bullet"/>
      <w:lvlText w:val=""/>
      <w:lvlJc w:val="left"/>
      <w:pPr>
        <w:ind w:left="770" w:hanging="360"/>
      </w:pPr>
      <w:rPr>
        <w:rFonts w:ascii="Symbol" w:hAnsi="Symbol" w:hint="default"/>
      </w:rPr>
    </w:lvl>
    <w:lvl w:ilvl="1" w:tplc="040C0003">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3" w15:restartNumberingAfterBreak="0">
    <w:nsid w:val="4B2053C2"/>
    <w:multiLevelType w:val="hybridMultilevel"/>
    <w:tmpl w:val="F356F0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B45647B"/>
    <w:multiLevelType w:val="hybridMultilevel"/>
    <w:tmpl w:val="FC200DEA"/>
    <w:lvl w:ilvl="0" w:tplc="0B006406">
      <w:start w:val="1"/>
      <w:numFmt w:val="bullet"/>
      <w:lvlText w:val=""/>
      <w:lvlJc w:val="left"/>
      <w:pPr>
        <w:tabs>
          <w:tab w:val="num" w:pos="720"/>
        </w:tabs>
        <w:ind w:left="720" w:hanging="360"/>
      </w:pPr>
      <w:rPr>
        <w:rFonts w:ascii="Wingdings" w:hAnsi="Wingdings" w:hint="default"/>
      </w:rPr>
    </w:lvl>
    <w:lvl w:ilvl="1" w:tplc="BE8235EC" w:tentative="1">
      <w:start w:val="1"/>
      <w:numFmt w:val="bullet"/>
      <w:lvlText w:val=""/>
      <w:lvlJc w:val="left"/>
      <w:pPr>
        <w:tabs>
          <w:tab w:val="num" w:pos="1440"/>
        </w:tabs>
        <w:ind w:left="1440" w:hanging="360"/>
      </w:pPr>
      <w:rPr>
        <w:rFonts w:ascii="Wingdings" w:hAnsi="Wingdings" w:hint="default"/>
      </w:rPr>
    </w:lvl>
    <w:lvl w:ilvl="2" w:tplc="04B4C0DE" w:tentative="1">
      <w:start w:val="1"/>
      <w:numFmt w:val="bullet"/>
      <w:lvlText w:val=""/>
      <w:lvlJc w:val="left"/>
      <w:pPr>
        <w:tabs>
          <w:tab w:val="num" w:pos="2160"/>
        </w:tabs>
        <w:ind w:left="2160" w:hanging="360"/>
      </w:pPr>
      <w:rPr>
        <w:rFonts w:ascii="Wingdings" w:hAnsi="Wingdings" w:hint="default"/>
      </w:rPr>
    </w:lvl>
    <w:lvl w:ilvl="3" w:tplc="767C0180" w:tentative="1">
      <w:start w:val="1"/>
      <w:numFmt w:val="bullet"/>
      <w:lvlText w:val=""/>
      <w:lvlJc w:val="left"/>
      <w:pPr>
        <w:tabs>
          <w:tab w:val="num" w:pos="2880"/>
        </w:tabs>
        <w:ind w:left="2880" w:hanging="360"/>
      </w:pPr>
      <w:rPr>
        <w:rFonts w:ascii="Wingdings" w:hAnsi="Wingdings" w:hint="default"/>
      </w:rPr>
    </w:lvl>
    <w:lvl w:ilvl="4" w:tplc="E856D160" w:tentative="1">
      <w:start w:val="1"/>
      <w:numFmt w:val="bullet"/>
      <w:lvlText w:val=""/>
      <w:lvlJc w:val="left"/>
      <w:pPr>
        <w:tabs>
          <w:tab w:val="num" w:pos="3600"/>
        </w:tabs>
        <w:ind w:left="3600" w:hanging="360"/>
      </w:pPr>
      <w:rPr>
        <w:rFonts w:ascii="Wingdings" w:hAnsi="Wingdings" w:hint="default"/>
      </w:rPr>
    </w:lvl>
    <w:lvl w:ilvl="5" w:tplc="E48C78A4" w:tentative="1">
      <w:start w:val="1"/>
      <w:numFmt w:val="bullet"/>
      <w:lvlText w:val=""/>
      <w:lvlJc w:val="left"/>
      <w:pPr>
        <w:tabs>
          <w:tab w:val="num" w:pos="4320"/>
        </w:tabs>
        <w:ind w:left="4320" w:hanging="360"/>
      </w:pPr>
      <w:rPr>
        <w:rFonts w:ascii="Wingdings" w:hAnsi="Wingdings" w:hint="default"/>
      </w:rPr>
    </w:lvl>
    <w:lvl w:ilvl="6" w:tplc="A1E8C2A2" w:tentative="1">
      <w:start w:val="1"/>
      <w:numFmt w:val="bullet"/>
      <w:lvlText w:val=""/>
      <w:lvlJc w:val="left"/>
      <w:pPr>
        <w:tabs>
          <w:tab w:val="num" w:pos="5040"/>
        </w:tabs>
        <w:ind w:left="5040" w:hanging="360"/>
      </w:pPr>
      <w:rPr>
        <w:rFonts w:ascii="Wingdings" w:hAnsi="Wingdings" w:hint="default"/>
      </w:rPr>
    </w:lvl>
    <w:lvl w:ilvl="7" w:tplc="44A04090" w:tentative="1">
      <w:start w:val="1"/>
      <w:numFmt w:val="bullet"/>
      <w:lvlText w:val=""/>
      <w:lvlJc w:val="left"/>
      <w:pPr>
        <w:tabs>
          <w:tab w:val="num" w:pos="5760"/>
        </w:tabs>
        <w:ind w:left="5760" w:hanging="360"/>
      </w:pPr>
      <w:rPr>
        <w:rFonts w:ascii="Wingdings" w:hAnsi="Wingdings" w:hint="default"/>
      </w:rPr>
    </w:lvl>
    <w:lvl w:ilvl="8" w:tplc="528C140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BE73A0"/>
    <w:multiLevelType w:val="hybridMultilevel"/>
    <w:tmpl w:val="4132A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ECA58E2"/>
    <w:multiLevelType w:val="hybridMultilevel"/>
    <w:tmpl w:val="4C945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F97CA9"/>
    <w:multiLevelType w:val="hybridMultilevel"/>
    <w:tmpl w:val="495CBB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4C0629"/>
    <w:multiLevelType w:val="hybridMultilevel"/>
    <w:tmpl w:val="ECFE5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3FB0BCD"/>
    <w:multiLevelType w:val="hybridMultilevel"/>
    <w:tmpl w:val="C1849EC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0" w15:restartNumberingAfterBreak="0">
    <w:nsid w:val="55CE1629"/>
    <w:multiLevelType w:val="hybridMultilevel"/>
    <w:tmpl w:val="9CB08E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243420"/>
    <w:multiLevelType w:val="hybridMultilevel"/>
    <w:tmpl w:val="F01CE8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411791"/>
    <w:multiLevelType w:val="hybridMultilevel"/>
    <w:tmpl w:val="F54036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C4D4B09"/>
    <w:multiLevelType w:val="hybridMultilevel"/>
    <w:tmpl w:val="BBC4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1D336F1"/>
    <w:multiLevelType w:val="hybridMultilevel"/>
    <w:tmpl w:val="E81873D0"/>
    <w:lvl w:ilvl="0" w:tplc="040C0005">
      <w:start w:val="1"/>
      <w:numFmt w:val="bullet"/>
      <w:lvlText w:val=""/>
      <w:lvlJc w:val="left"/>
      <w:pPr>
        <w:ind w:left="1423" w:hanging="360"/>
      </w:pPr>
      <w:rPr>
        <w:rFonts w:ascii="Wingdings" w:hAnsi="Wingdings" w:hint="default"/>
      </w:rPr>
    </w:lvl>
    <w:lvl w:ilvl="1" w:tplc="040C0003">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35" w15:restartNumberingAfterBreak="0">
    <w:nsid w:val="67090280"/>
    <w:multiLevelType w:val="hybridMultilevel"/>
    <w:tmpl w:val="15ACB824"/>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A84C2B"/>
    <w:multiLevelType w:val="hybridMultilevel"/>
    <w:tmpl w:val="0952E8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B74032B"/>
    <w:multiLevelType w:val="hybridMultilevel"/>
    <w:tmpl w:val="70200EE4"/>
    <w:lvl w:ilvl="0" w:tplc="040C0005">
      <w:start w:val="1"/>
      <w:numFmt w:val="bullet"/>
      <w:lvlText w:val=""/>
      <w:lvlJc w:val="left"/>
      <w:pPr>
        <w:ind w:left="1003" w:hanging="360"/>
      </w:pPr>
      <w:rPr>
        <w:rFonts w:ascii="Wingdings" w:hAnsi="Wingdings"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8" w15:restartNumberingAfterBreak="0">
    <w:nsid w:val="6D9B12E2"/>
    <w:multiLevelType w:val="hybridMultilevel"/>
    <w:tmpl w:val="23C0E44A"/>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15:restartNumberingAfterBreak="0">
    <w:nsid w:val="6DEC534D"/>
    <w:multiLevelType w:val="hybridMultilevel"/>
    <w:tmpl w:val="F4CE1F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510303C"/>
    <w:multiLevelType w:val="hybridMultilevel"/>
    <w:tmpl w:val="62EA23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CAC26BB"/>
    <w:multiLevelType w:val="hybridMultilevel"/>
    <w:tmpl w:val="25E672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FC615C4"/>
    <w:multiLevelType w:val="hybridMultilevel"/>
    <w:tmpl w:val="DF6CBBE6"/>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28"/>
  </w:num>
  <w:num w:numId="4">
    <w:abstractNumId w:val="26"/>
  </w:num>
  <w:num w:numId="5">
    <w:abstractNumId w:val="22"/>
  </w:num>
  <w:num w:numId="6">
    <w:abstractNumId w:val="34"/>
  </w:num>
  <w:num w:numId="7">
    <w:abstractNumId w:val="19"/>
  </w:num>
  <w:num w:numId="8">
    <w:abstractNumId w:val="10"/>
  </w:num>
  <w:num w:numId="9">
    <w:abstractNumId w:val="31"/>
  </w:num>
  <w:num w:numId="10">
    <w:abstractNumId w:val="17"/>
  </w:num>
  <w:num w:numId="11">
    <w:abstractNumId w:val="41"/>
  </w:num>
  <w:num w:numId="12">
    <w:abstractNumId w:val="16"/>
  </w:num>
  <w:num w:numId="13">
    <w:abstractNumId w:val="27"/>
  </w:num>
  <w:num w:numId="14">
    <w:abstractNumId w:val="7"/>
  </w:num>
  <w:num w:numId="15">
    <w:abstractNumId w:val="40"/>
  </w:num>
  <w:num w:numId="16">
    <w:abstractNumId w:val="11"/>
  </w:num>
  <w:num w:numId="17">
    <w:abstractNumId w:val="36"/>
  </w:num>
  <w:num w:numId="18">
    <w:abstractNumId w:val="30"/>
  </w:num>
  <w:num w:numId="19">
    <w:abstractNumId w:val="37"/>
  </w:num>
  <w:num w:numId="20">
    <w:abstractNumId w:val="3"/>
  </w:num>
  <w:num w:numId="21">
    <w:abstractNumId w:val="15"/>
  </w:num>
  <w:num w:numId="22">
    <w:abstractNumId w:val="9"/>
  </w:num>
  <w:num w:numId="23">
    <w:abstractNumId w:val="4"/>
  </w:num>
  <w:num w:numId="24">
    <w:abstractNumId w:val="0"/>
  </w:num>
  <w:num w:numId="25">
    <w:abstractNumId w:val="13"/>
  </w:num>
  <w:num w:numId="26">
    <w:abstractNumId w:val="39"/>
  </w:num>
  <w:num w:numId="27">
    <w:abstractNumId w:val="38"/>
  </w:num>
  <w:num w:numId="28">
    <w:abstractNumId w:val="23"/>
  </w:num>
  <w:num w:numId="29">
    <w:abstractNumId w:val="8"/>
  </w:num>
  <w:num w:numId="30">
    <w:abstractNumId w:val="35"/>
  </w:num>
  <w:num w:numId="31">
    <w:abstractNumId w:val="14"/>
  </w:num>
  <w:num w:numId="32">
    <w:abstractNumId w:val="5"/>
  </w:num>
  <w:num w:numId="33">
    <w:abstractNumId w:val="12"/>
  </w:num>
  <w:num w:numId="34">
    <w:abstractNumId w:val="42"/>
  </w:num>
  <w:num w:numId="35">
    <w:abstractNumId w:val="18"/>
  </w:num>
  <w:num w:numId="36">
    <w:abstractNumId w:val="21"/>
  </w:num>
  <w:num w:numId="37">
    <w:abstractNumId w:val="20"/>
  </w:num>
  <w:num w:numId="38">
    <w:abstractNumId w:val="1"/>
  </w:num>
  <w:num w:numId="39">
    <w:abstractNumId w:val="24"/>
  </w:num>
  <w:num w:numId="40">
    <w:abstractNumId w:val="2"/>
  </w:num>
  <w:num w:numId="41">
    <w:abstractNumId w:val="29"/>
  </w:num>
  <w:num w:numId="42">
    <w:abstractNumId w:val="6"/>
  </w:num>
  <w:num w:numId="43">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40"/>
    <w:rsid w:val="000046F7"/>
    <w:rsid w:val="00025912"/>
    <w:rsid w:val="000273B5"/>
    <w:rsid w:val="00033CE8"/>
    <w:rsid w:val="00053CE5"/>
    <w:rsid w:val="000605D4"/>
    <w:rsid w:val="000628FE"/>
    <w:rsid w:val="000649C9"/>
    <w:rsid w:val="00070EF6"/>
    <w:rsid w:val="0007518C"/>
    <w:rsid w:val="000A3616"/>
    <w:rsid w:val="000C235A"/>
    <w:rsid w:val="000C387D"/>
    <w:rsid w:val="0012643E"/>
    <w:rsid w:val="001322DF"/>
    <w:rsid w:val="00154541"/>
    <w:rsid w:val="00163B1C"/>
    <w:rsid w:val="0017422A"/>
    <w:rsid w:val="001811D2"/>
    <w:rsid w:val="0019409C"/>
    <w:rsid w:val="001969F9"/>
    <w:rsid w:val="001B2AD8"/>
    <w:rsid w:val="001B3A0A"/>
    <w:rsid w:val="001B7625"/>
    <w:rsid w:val="0020223C"/>
    <w:rsid w:val="0020407C"/>
    <w:rsid w:val="00214899"/>
    <w:rsid w:val="00215D68"/>
    <w:rsid w:val="00230D49"/>
    <w:rsid w:val="00242245"/>
    <w:rsid w:val="00245FB4"/>
    <w:rsid w:val="00260AC0"/>
    <w:rsid w:val="00266DD7"/>
    <w:rsid w:val="0027197C"/>
    <w:rsid w:val="00283363"/>
    <w:rsid w:val="00294B8F"/>
    <w:rsid w:val="00296E07"/>
    <w:rsid w:val="002B4499"/>
    <w:rsid w:val="002C782A"/>
    <w:rsid w:val="002D5679"/>
    <w:rsid w:val="002E04D4"/>
    <w:rsid w:val="002E13A3"/>
    <w:rsid w:val="002F2EFF"/>
    <w:rsid w:val="00335EBE"/>
    <w:rsid w:val="00350A0A"/>
    <w:rsid w:val="00385FB3"/>
    <w:rsid w:val="003965B1"/>
    <w:rsid w:val="00397EA1"/>
    <w:rsid w:val="003A76E2"/>
    <w:rsid w:val="003B3EDA"/>
    <w:rsid w:val="003C4FA0"/>
    <w:rsid w:val="003C752A"/>
    <w:rsid w:val="003D4032"/>
    <w:rsid w:val="003E0C37"/>
    <w:rsid w:val="003E41AA"/>
    <w:rsid w:val="003E5258"/>
    <w:rsid w:val="003F058D"/>
    <w:rsid w:val="003F0B1C"/>
    <w:rsid w:val="004057A7"/>
    <w:rsid w:val="004108B0"/>
    <w:rsid w:val="004167E1"/>
    <w:rsid w:val="00421FAA"/>
    <w:rsid w:val="00431AD6"/>
    <w:rsid w:val="00456F0C"/>
    <w:rsid w:val="0046574F"/>
    <w:rsid w:val="0048476F"/>
    <w:rsid w:val="004A5139"/>
    <w:rsid w:val="004D3176"/>
    <w:rsid w:val="004D450D"/>
    <w:rsid w:val="004F5DA7"/>
    <w:rsid w:val="005100C8"/>
    <w:rsid w:val="005303CD"/>
    <w:rsid w:val="005423EC"/>
    <w:rsid w:val="00552EF3"/>
    <w:rsid w:val="005B2353"/>
    <w:rsid w:val="005E1C3A"/>
    <w:rsid w:val="005F1B32"/>
    <w:rsid w:val="005F5B85"/>
    <w:rsid w:val="00602D96"/>
    <w:rsid w:val="00621C55"/>
    <w:rsid w:val="0062499A"/>
    <w:rsid w:val="00637264"/>
    <w:rsid w:val="006471B9"/>
    <w:rsid w:val="006476E8"/>
    <w:rsid w:val="00661A1B"/>
    <w:rsid w:val="00662879"/>
    <w:rsid w:val="00676A53"/>
    <w:rsid w:val="006878CD"/>
    <w:rsid w:val="006A3D5B"/>
    <w:rsid w:val="006A3FB9"/>
    <w:rsid w:val="006B00D1"/>
    <w:rsid w:val="006B718A"/>
    <w:rsid w:val="006E5444"/>
    <w:rsid w:val="006F6474"/>
    <w:rsid w:val="00721820"/>
    <w:rsid w:val="00723223"/>
    <w:rsid w:val="00747135"/>
    <w:rsid w:val="0077022A"/>
    <w:rsid w:val="00775045"/>
    <w:rsid w:val="00780D29"/>
    <w:rsid w:val="007A2019"/>
    <w:rsid w:val="007D653B"/>
    <w:rsid w:val="007E5C00"/>
    <w:rsid w:val="00807575"/>
    <w:rsid w:val="00815D90"/>
    <w:rsid w:val="00816B10"/>
    <w:rsid w:val="00820C0F"/>
    <w:rsid w:val="00823F3F"/>
    <w:rsid w:val="00826370"/>
    <w:rsid w:val="00830330"/>
    <w:rsid w:val="00843D17"/>
    <w:rsid w:val="00850DE0"/>
    <w:rsid w:val="00850EFE"/>
    <w:rsid w:val="0085582F"/>
    <w:rsid w:val="00862C24"/>
    <w:rsid w:val="008C35AC"/>
    <w:rsid w:val="008E18D4"/>
    <w:rsid w:val="00913A68"/>
    <w:rsid w:val="009177F2"/>
    <w:rsid w:val="009212F2"/>
    <w:rsid w:val="009410B2"/>
    <w:rsid w:val="0097744D"/>
    <w:rsid w:val="00982F68"/>
    <w:rsid w:val="009C014E"/>
    <w:rsid w:val="009D742E"/>
    <w:rsid w:val="009E37DF"/>
    <w:rsid w:val="009E7804"/>
    <w:rsid w:val="00A103B7"/>
    <w:rsid w:val="00A37CC4"/>
    <w:rsid w:val="00A41C6F"/>
    <w:rsid w:val="00A51CCF"/>
    <w:rsid w:val="00A529CB"/>
    <w:rsid w:val="00A71C6E"/>
    <w:rsid w:val="00A74A85"/>
    <w:rsid w:val="00A84E4C"/>
    <w:rsid w:val="00AB44E0"/>
    <w:rsid w:val="00AC1FD6"/>
    <w:rsid w:val="00AC25EE"/>
    <w:rsid w:val="00AC6C46"/>
    <w:rsid w:val="00AC7AE8"/>
    <w:rsid w:val="00AF56B0"/>
    <w:rsid w:val="00B031FB"/>
    <w:rsid w:val="00B11043"/>
    <w:rsid w:val="00B3024D"/>
    <w:rsid w:val="00B320F2"/>
    <w:rsid w:val="00B51CF2"/>
    <w:rsid w:val="00B610EB"/>
    <w:rsid w:val="00B71D8B"/>
    <w:rsid w:val="00B85F07"/>
    <w:rsid w:val="00B8637C"/>
    <w:rsid w:val="00B948DB"/>
    <w:rsid w:val="00BA57B2"/>
    <w:rsid w:val="00BB2BAB"/>
    <w:rsid w:val="00BB40B6"/>
    <w:rsid w:val="00BB5F86"/>
    <w:rsid w:val="00BD24A2"/>
    <w:rsid w:val="00C040FB"/>
    <w:rsid w:val="00C21A8E"/>
    <w:rsid w:val="00C4573A"/>
    <w:rsid w:val="00C54EAB"/>
    <w:rsid w:val="00C57E5E"/>
    <w:rsid w:val="00C737EF"/>
    <w:rsid w:val="00C8300D"/>
    <w:rsid w:val="00C85FED"/>
    <w:rsid w:val="00C95FB0"/>
    <w:rsid w:val="00CA31DB"/>
    <w:rsid w:val="00CC50F3"/>
    <w:rsid w:val="00CC560A"/>
    <w:rsid w:val="00CE0C9B"/>
    <w:rsid w:val="00CE6D17"/>
    <w:rsid w:val="00CF7F66"/>
    <w:rsid w:val="00D2593E"/>
    <w:rsid w:val="00D33417"/>
    <w:rsid w:val="00D46B28"/>
    <w:rsid w:val="00D479BF"/>
    <w:rsid w:val="00D52CBD"/>
    <w:rsid w:val="00D5746E"/>
    <w:rsid w:val="00D71E35"/>
    <w:rsid w:val="00D73F95"/>
    <w:rsid w:val="00D917AA"/>
    <w:rsid w:val="00DC1238"/>
    <w:rsid w:val="00DC7CBA"/>
    <w:rsid w:val="00DF01E9"/>
    <w:rsid w:val="00E00527"/>
    <w:rsid w:val="00E26834"/>
    <w:rsid w:val="00E351F0"/>
    <w:rsid w:val="00E354EE"/>
    <w:rsid w:val="00E6565F"/>
    <w:rsid w:val="00E677E6"/>
    <w:rsid w:val="00E83A64"/>
    <w:rsid w:val="00EB1625"/>
    <w:rsid w:val="00EB7709"/>
    <w:rsid w:val="00EC06A4"/>
    <w:rsid w:val="00ED15F7"/>
    <w:rsid w:val="00EE78D8"/>
    <w:rsid w:val="00F13C33"/>
    <w:rsid w:val="00F16702"/>
    <w:rsid w:val="00F22DB5"/>
    <w:rsid w:val="00F271A3"/>
    <w:rsid w:val="00F3594C"/>
    <w:rsid w:val="00F5259B"/>
    <w:rsid w:val="00F62E54"/>
    <w:rsid w:val="00F71898"/>
    <w:rsid w:val="00F86A40"/>
    <w:rsid w:val="00F86B6E"/>
    <w:rsid w:val="00F9611C"/>
    <w:rsid w:val="00FB0A25"/>
    <w:rsid w:val="00FB72CD"/>
    <w:rsid w:val="00FC612F"/>
    <w:rsid w:val="00FE2857"/>
    <w:rsid w:val="00FE55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2CF32"/>
  <w15:chartTrackingRefBased/>
  <w15:docId w15:val="{8D10A507-2FD1-4828-9673-7BA0A550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E07"/>
    <w:pPr>
      <w:jc w:val="both"/>
    </w:pPr>
    <w:rPr>
      <w:rFonts w:ascii="Cambria" w:hAnsi="Cambria"/>
    </w:rPr>
  </w:style>
  <w:style w:type="paragraph" w:styleId="Titre1">
    <w:name w:val="heading 1"/>
    <w:basedOn w:val="Normal"/>
    <w:next w:val="Normal"/>
    <w:link w:val="Titre1Car"/>
    <w:uiPriority w:val="9"/>
    <w:qFormat/>
    <w:rsid w:val="006E5444"/>
    <w:pPr>
      <w:keepNext/>
      <w:keepLines/>
      <w:spacing w:before="240" w:after="0"/>
      <w:outlineLvl w:val="0"/>
    </w:pPr>
    <w:rPr>
      <w:rFonts w:eastAsiaTheme="majorEastAsia" w:cstheme="majorBidi"/>
      <w:b/>
      <w:color w:val="002060"/>
      <w:sz w:val="32"/>
      <w:szCs w:val="32"/>
    </w:rPr>
  </w:style>
  <w:style w:type="paragraph" w:styleId="Titre2">
    <w:name w:val="heading 2"/>
    <w:basedOn w:val="Normal"/>
    <w:next w:val="Normal"/>
    <w:link w:val="Titre2Car"/>
    <w:uiPriority w:val="9"/>
    <w:unhideWhenUsed/>
    <w:qFormat/>
    <w:rsid w:val="00862C24"/>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6E5444"/>
    <w:pPr>
      <w:keepNext/>
      <w:keepLines/>
      <w:spacing w:before="40" w:after="0"/>
      <w:outlineLvl w:val="2"/>
    </w:pPr>
    <w:rPr>
      <w:rFonts w:eastAsiaTheme="majorEastAsia" w:cstheme="majorBidi"/>
      <w:color w:val="00B0F0"/>
      <w:sz w:val="24"/>
      <w:szCs w:val="24"/>
    </w:rPr>
  </w:style>
  <w:style w:type="paragraph" w:styleId="Titre4">
    <w:name w:val="heading 4"/>
    <w:basedOn w:val="Normal"/>
    <w:next w:val="Normal"/>
    <w:link w:val="Titre4Car"/>
    <w:uiPriority w:val="9"/>
    <w:unhideWhenUsed/>
    <w:qFormat/>
    <w:rsid w:val="00D917AA"/>
    <w:pPr>
      <w:keepNext/>
      <w:keepLines/>
      <w:spacing w:before="40" w:after="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D917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F5B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5B8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E5444"/>
    <w:rPr>
      <w:rFonts w:ascii="Cambria" w:eastAsiaTheme="majorEastAsia" w:hAnsi="Cambria" w:cstheme="majorBidi"/>
      <w:b/>
      <w:color w:val="002060"/>
      <w:sz w:val="32"/>
      <w:szCs w:val="32"/>
    </w:rPr>
  </w:style>
  <w:style w:type="character" w:customStyle="1" w:styleId="Titre2Car">
    <w:name w:val="Titre 2 Car"/>
    <w:basedOn w:val="Policepardfaut"/>
    <w:link w:val="Titre2"/>
    <w:uiPriority w:val="9"/>
    <w:rsid w:val="00862C24"/>
    <w:rPr>
      <w:rFonts w:ascii="Cambria" w:eastAsiaTheme="majorEastAsia" w:hAnsi="Cambria" w:cstheme="majorBidi"/>
      <w:color w:val="2F5496" w:themeColor="accent1" w:themeShade="BF"/>
      <w:sz w:val="26"/>
      <w:szCs w:val="26"/>
    </w:rPr>
  </w:style>
  <w:style w:type="paragraph" w:styleId="Textedebulles">
    <w:name w:val="Balloon Text"/>
    <w:basedOn w:val="Normal"/>
    <w:link w:val="TextedebullesCar"/>
    <w:uiPriority w:val="99"/>
    <w:semiHidden/>
    <w:unhideWhenUsed/>
    <w:rsid w:val="00F718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898"/>
    <w:rPr>
      <w:rFonts w:ascii="Segoe UI" w:hAnsi="Segoe UI" w:cs="Segoe UI"/>
      <w:sz w:val="18"/>
      <w:szCs w:val="18"/>
    </w:rPr>
  </w:style>
  <w:style w:type="paragraph" w:styleId="En-ttedetabledesmatires">
    <w:name w:val="TOC Heading"/>
    <w:basedOn w:val="Titre1"/>
    <w:next w:val="Normal"/>
    <w:uiPriority w:val="39"/>
    <w:unhideWhenUsed/>
    <w:qFormat/>
    <w:rsid w:val="00A103B7"/>
    <w:pPr>
      <w:outlineLvl w:val="9"/>
    </w:pPr>
    <w:rPr>
      <w:lang w:eastAsia="fr-FR"/>
    </w:rPr>
  </w:style>
  <w:style w:type="paragraph" w:styleId="TM1">
    <w:name w:val="toc 1"/>
    <w:basedOn w:val="Normal"/>
    <w:next w:val="Normal"/>
    <w:autoRedefine/>
    <w:uiPriority w:val="39"/>
    <w:unhideWhenUsed/>
    <w:rsid w:val="00A103B7"/>
    <w:pPr>
      <w:spacing w:after="100"/>
    </w:pPr>
  </w:style>
  <w:style w:type="paragraph" w:styleId="TM2">
    <w:name w:val="toc 2"/>
    <w:basedOn w:val="Normal"/>
    <w:next w:val="Normal"/>
    <w:autoRedefine/>
    <w:uiPriority w:val="39"/>
    <w:unhideWhenUsed/>
    <w:rsid w:val="00A103B7"/>
    <w:pPr>
      <w:spacing w:after="100"/>
      <w:ind w:left="220"/>
    </w:pPr>
  </w:style>
  <w:style w:type="character" w:styleId="Lienhypertexte">
    <w:name w:val="Hyperlink"/>
    <w:basedOn w:val="Policepardfaut"/>
    <w:uiPriority w:val="99"/>
    <w:unhideWhenUsed/>
    <w:rsid w:val="00A103B7"/>
    <w:rPr>
      <w:color w:val="0563C1" w:themeColor="hyperlink"/>
      <w:u w:val="single"/>
    </w:rPr>
  </w:style>
  <w:style w:type="paragraph" w:styleId="Paragraphedeliste">
    <w:name w:val="List Paragraph"/>
    <w:basedOn w:val="Normal"/>
    <w:uiPriority w:val="34"/>
    <w:qFormat/>
    <w:rsid w:val="001B3A0A"/>
    <w:pPr>
      <w:ind w:left="720"/>
      <w:contextualSpacing/>
    </w:pPr>
  </w:style>
  <w:style w:type="character" w:customStyle="1" w:styleId="Titre3Car">
    <w:name w:val="Titre 3 Car"/>
    <w:basedOn w:val="Policepardfaut"/>
    <w:link w:val="Titre3"/>
    <w:uiPriority w:val="9"/>
    <w:rsid w:val="006E5444"/>
    <w:rPr>
      <w:rFonts w:ascii="Cambria" w:eastAsiaTheme="majorEastAsia" w:hAnsi="Cambria" w:cstheme="majorBidi"/>
      <w:color w:val="00B0F0"/>
      <w:sz w:val="24"/>
      <w:szCs w:val="24"/>
    </w:rPr>
  </w:style>
  <w:style w:type="paragraph" w:styleId="TM3">
    <w:name w:val="toc 3"/>
    <w:basedOn w:val="Normal"/>
    <w:next w:val="Normal"/>
    <w:autoRedefine/>
    <w:uiPriority w:val="39"/>
    <w:unhideWhenUsed/>
    <w:rsid w:val="00025912"/>
    <w:pPr>
      <w:spacing w:after="100"/>
      <w:ind w:left="440"/>
    </w:pPr>
  </w:style>
  <w:style w:type="paragraph" w:styleId="Sansinterligne">
    <w:name w:val="No Spacing"/>
    <w:uiPriority w:val="1"/>
    <w:qFormat/>
    <w:rsid w:val="00242245"/>
    <w:pPr>
      <w:spacing w:after="0" w:line="240" w:lineRule="auto"/>
    </w:pPr>
    <w:rPr>
      <w:rFonts w:ascii="Cambria" w:hAnsi="Cambria"/>
    </w:rPr>
  </w:style>
  <w:style w:type="paragraph" w:styleId="Sous-titre">
    <w:name w:val="Subtitle"/>
    <w:basedOn w:val="Normal"/>
    <w:next w:val="Normal"/>
    <w:link w:val="Sous-titreCar"/>
    <w:uiPriority w:val="11"/>
    <w:qFormat/>
    <w:rsid w:val="00D917AA"/>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D917AA"/>
    <w:rPr>
      <w:rFonts w:eastAsiaTheme="minorEastAsia"/>
      <w:color w:val="5A5A5A" w:themeColor="text1" w:themeTint="A5"/>
      <w:spacing w:val="15"/>
    </w:rPr>
  </w:style>
  <w:style w:type="character" w:customStyle="1" w:styleId="Titre4Car">
    <w:name w:val="Titre 4 Car"/>
    <w:basedOn w:val="Policepardfaut"/>
    <w:link w:val="Titre4"/>
    <w:uiPriority w:val="9"/>
    <w:rsid w:val="00D917AA"/>
    <w:rPr>
      <w:rFonts w:ascii="Cambria" w:eastAsiaTheme="majorEastAsia" w:hAnsi="Cambria" w:cstheme="majorBidi"/>
      <w:i/>
      <w:iCs/>
      <w:color w:val="2F5496" w:themeColor="accent1" w:themeShade="BF"/>
    </w:rPr>
  </w:style>
  <w:style w:type="character" w:customStyle="1" w:styleId="Titre5Car">
    <w:name w:val="Titre 5 Car"/>
    <w:basedOn w:val="Policepardfaut"/>
    <w:link w:val="Titre5"/>
    <w:uiPriority w:val="9"/>
    <w:rsid w:val="00D917AA"/>
    <w:rPr>
      <w:rFonts w:asciiTheme="majorHAnsi" w:eastAsiaTheme="majorEastAsia" w:hAnsiTheme="majorHAnsi" w:cstheme="majorBidi"/>
      <w:color w:val="2F5496" w:themeColor="accent1" w:themeShade="BF"/>
    </w:rPr>
  </w:style>
  <w:style w:type="table" w:styleId="Grilledutableau">
    <w:name w:val="Table Grid"/>
    <w:basedOn w:val="TableauNormal"/>
    <w:uiPriority w:val="39"/>
    <w:rsid w:val="00163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1C6E"/>
    <w:pPr>
      <w:autoSpaceDE w:val="0"/>
      <w:autoSpaceDN w:val="0"/>
      <w:adjustRightInd w:val="0"/>
      <w:spacing w:after="0" w:line="240" w:lineRule="auto"/>
    </w:pPr>
    <w:rPr>
      <w:rFonts w:ascii="Wingdings" w:hAnsi="Wingdings" w:cs="Wingdings"/>
      <w:color w:val="000000"/>
      <w:sz w:val="24"/>
      <w:szCs w:val="24"/>
    </w:rPr>
  </w:style>
  <w:style w:type="paragraph" w:styleId="En-tte">
    <w:name w:val="header"/>
    <w:basedOn w:val="Normal"/>
    <w:link w:val="En-tteCar"/>
    <w:uiPriority w:val="99"/>
    <w:unhideWhenUsed/>
    <w:rsid w:val="00260AC0"/>
    <w:pPr>
      <w:tabs>
        <w:tab w:val="center" w:pos="4536"/>
        <w:tab w:val="right" w:pos="9072"/>
      </w:tabs>
      <w:spacing w:after="0" w:line="240" w:lineRule="auto"/>
    </w:pPr>
  </w:style>
  <w:style w:type="character" w:customStyle="1" w:styleId="En-tteCar">
    <w:name w:val="En-tête Car"/>
    <w:basedOn w:val="Policepardfaut"/>
    <w:link w:val="En-tte"/>
    <w:uiPriority w:val="99"/>
    <w:rsid w:val="00260AC0"/>
    <w:rPr>
      <w:rFonts w:ascii="Cambria" w:hAnsi="Cambria"/>
    </w:rPr>
  </w:style>
  <w:style w:type="paragraph" w:styleId="Pieddepage">
    <w:name w:val="footer"/>
    <w:basedOn w:val="Normal"/>
    <w:link w:val="PieddepageCar"/>
    <w:uiPriority w:val="99"/>
    <w:unhideWhenUsed/>
    <w:rsid w:val="00260A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AC0"/>
    <w:rPr>
      <w:rFonts w:ascii="Cambria" w:hAnsi="Cambria"/>
    </w:rPr>
  </w:style>
  <w:style w:type="character" w:styleId="Textedelespacerserv">
    <w:name w:val="Placeholder Text"/>
    <w:basedOn w:val="Policepardfaut"/>
    <w:uiPriority w:val="99"/>
    <w:semiHidden/>
    <w:rsid w:val="00FB72CD"/>
    <w:rPr>
      <w:color w:val="808080"/>
    </w:rPr>
  </w:style>
  <w:style w:type="paragraph" w:styleId="Lgende">
    <w:name w:val="caption"/>
    <w:basedOn w:val="Normal"/>
    <w:next w:val="Normal"/>
    <w:uiPriority w:val="35"/>
    <w:unhideWhenUsed/>
    <w:qFormat/>
    <w:rsid w:val="00B110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316700">
      <w:bodyDiv w:val="1"/>
      <w:marLeft w:val="0"/>
      <w:marRight w:val="0"/>
      <w:marTop w:val="0"/>
      <w:marBottom w:val="0"/>
      <w:divBdr>
        <w:top w:val="none" w:sz="0" w:space="0" w:color="auto"/>
        <w:left w:val="none" w:sz="0" w:space="0" w:color="auto"/>
        <w:bottom w:val="none" w:sz="0" w:space="0" w:color="auto"/>
        <w:right w:val="none" w:sz="0" w:space="0" w:color="auto"/>
      </w:divBdr>
      <w:divsChild>
        <w:div w:id="1134254346">
          <w:marLeft w:val="274"/>
          <w:marRight w:val="0"/>
          <w:marTop w:val="0"/>
          <w:marBottom w:val="0"/>
          <w:divBdr>
            <w:top w:val="none" w:sz="0" w:space="0" w:color="auto"/>
            <w:left w:val="none" w:sz="0" w:space="0" w:color="auto"/>
            <w:bottom w:val="none" w:sz="0" w:space="0" w:color="auto"/>
            <w:right w:val="none" w:sz="0" w:space="0" w:color="auto"/>
          </w:divBdr>
        </w:div>
        <w:div w:id="840630791">
          <w:marLeft w:val="274"/>
          <w:marRight w:val="0"/>
          <w:marTop w:val="0"/>
          <w:marBottom w:val="0"/>
          <w:divBdr>
            <w:top w:val="none" w:sz="0" w:space="0" w:color="auto"/>
            <w:left w:val="none" w:sz="0" w:space="0" w:color="auto"/>
            <w:bottom w:val="none" w:sz="0" w:space="0" w:color="auto"/>
            <w:right w:val="none" w:sz="0" w:space="0" w:color="auto"/>
          </w:divBdr>
        </w:div>
        <w:div w:id="1251430432">
          <w:marLeft w:val="274"/>
          <w:marRight w:val="0"/>
          <w:marTop w:val="0"/>
          <w:marBottom w:val="0"/>
          <w:divBdr>
            <w:top w:val="none" w:sz="0" w:space="0" w:color="auto"/>
            <w:left w:val="none" w:sz="0" w:space="0" w:color="auto"/>
            <w:bottom w:val="none" w:sz="0" w:space="0" w:color="auto"/>
            <w:right w:val="none" w:sz="0" w:space="0" w:color="auto"/>
          </w:divBdr>
        </w:div>
        <w:div w:id="1586917479">
          <w:marLeft w:val="274"/>
          <w:marRight w:val="0"/>
          <w:marTop w:val="0"/>
          <w:marBottom w:val="0"/>
          <w:divBdr>
            <w:top w:val="none" w:sz="0" w:space="0" w:color="auto"/>
            <w:left w:val="none" w:sz="0" w:space="0" w:color="auto"/>
            <w:bottom w:val="none" w:sz="0" w:space="0" w:color="auto"/>
            <w:right w:val="none" w:sz="0" w:space="0" w:color="auto"/>
          </w:divBdr>
        </w:div>
        <w:div w:id="1772824028">
          <w:marLeft w:val="274"/>
          <w:marRight w:val="0"/>
          <w:marTop w:val="0"/>
          <w:marBottom w:val="0"/>
          <w:divBdr>
            <w:top w:val="none" w:sz="0" w:space="0" w:color="auto"/>
            <w:left w:val="none" w:sz="0" w:space="0" w:color="auto"/>
            <w:bottom w:val="none" w:sz="0" w:space="0" w:color="auto"/>
            <w:right w:val="none" w:sz="0" w:space="0" w:color="auto"/>
          </w:divBdr>
        </w:div>
        <w:div w:id="1734544543">
          <w:marLeft w:val="274"/>
          <w:marRight w:val="0"/>
          <w:marTop w:val="0"/>
          <w:marBottom w:val="0"/>
          <w:divBdr>
            <w:top w:val="none" w:sz="0" w:space="0" w:color="auto"/>
            <w:left w:val="none" w:sz="0" w:space="0" w:color="auto"/>
            <w:bottom w:val="none" w:sz="0" w:space="0" w:color="auto"/>
            <w:right w:val="none" w:sz="0" w:space="0" w:color="auto"/>
          </w:divBdr>
        </w:div>
        <w:div w:id="1751005320">
          <w:marLeft w:val="274"/>
          <w:marRight w:val="0"/>
          <w:marTop w:val="0"/>
          <w:marBottom w:val="0"/>
          <w:divBdr>
            <w:top w:val="none" w:sz="0" w:space="0" w:color="auto"/>
            <w:left w:val="none" w:sz="0" w:space="0" w:color="auto"/>
            <w:bottom w:val="none" w:sz="0" w:space="0" w:color="auto"/>
            <w:right w:val="none" w:sz="0" w:space="0" w:color="auto"/>
          </w:divBdr>
        </w:div>
        <w:div w:id="213471284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itutdesactuaires.fr/gene/main.ph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3DE27-BF50-41D6-8FC3-81687F87C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10595</Words>
  <Characters>58273</Characters>
  <Application>Microsoft Office Word</Application>
  <DocSecurity>0</DocSecurity>
  <Lines>485</Lines>
  <Paragraphs>137</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68731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DATSI Khalil</cp:lastModifiedBy>
  <cp:revision>71</cp:revision>
  <dcterms:created xsi:type="dcterms:W3CDTF">2022-08-02T14:08:00Z</dcterms:created>
  <dcterms:modified xsi:type="dcterms:W3CDTF">2022-09-01T18:04:00Z</dcterms:modified>
</cp:coreProperties>
</file>