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7B357" w14:textId="6BBCDFB8" w:rsidR="00A53BE9" w:rsidRPr="00A53BE9" w:rsidRDefault="00A53BE9" w:rsidP="00E72307">
      <w:pPr>
        <w:shd w:val="clear" w:color="auto" w:fill="F9F5E9"/>
        <w:spacing w:after="100" w:afterAutospacing="1" w:line="240" w:lineRule="auto"/>
        <w:ind w:firstLine="0"/>
        <w:outlineLvl w:val="0"/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</w:pPr>
      <w:r w:rsidRPr="00A53BE9"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  <w:t xml:space="preserve">The </w:t>
      </w:r>
      <w:proofErr w:type="spellStart"/>
      <w:r w:rsidRPr="00A53BE9"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  <w:t>Future</w:t>
      </w:r>
      <w:proofErr w:type="spellEnd"/>
      <w:r w:rsidRPr="00A53BE9"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  <w:t xml:space="preserve"> </w:t>
      </w:r>
      <w:proofErr w:type="spellStart"/>
      <w:r w:rsidRPr="00A53BE9"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  <w:t>of</w:t>
      </w:r>
      <w:proofErr w:type="spellEnd"/>
      <w:r w:rsidRPr="00A53BE9"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  <w:t xml:space="preserve"> </w:t>
      </w:r>
      <w:proofErr w:type="spellStart"/>
      <w:r w:rsidRPr="00A53BE9"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  <w:t>Implant</w:t>
      </w:r>
      <w:proofErr w:type="spellEnd"/>
      <w:r w:rsidRPr="00A53BE9"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  <w:t xml:space="preserve"> </w:t>
      </w:r>
      <w:proofErr w:type="spellStart"/>
      <w:r w:rsidRPr="00A53BE9">
        <w:rPr>
          <w:rFonts w:ascii="Sitka Heading" w:eastAsia="Times New Roman" w:hAnsi="Sitka Heading"/>
          <w:b/>
          <w:bCs/>
          <w:color w:val="333333"/>
          <w:kern w:val="36"/>
          <w:sz w:val="48"/>
          <w:szCs w:val="48"/>
          <w:lang w:eastAsia="vi-VN"/>
        </w:rPr>
        <w:t>Dentistry</w:t>
      </w:r>
      <w:proofErr w:type="spellEnd"/>
    </w:p>
    <w:p w14:paraId="6BB7F023" w14:textId="128073B9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A53BE9">
        <w:rPr>
          <w:rFonts w:ascii="Sitka Text" w:eastAsia="Times New Roman" w:hAnsi="Sitka Text"/>
          <w:noProof/>
          <w:color w:val="333333"/>
          <w:sz w:val="27"/>
          <w:szCs w:val="27"/>
          <w:lang w:eastAsia="vi-VN"/>
        </w:rPr>
        <w:drawing>
          <wp:inline distT="0" distB="0" distL="0" distR="0" wp14:anchorId="52FACAD1" wp14:editId="55EA2453">
            <wp:extent cx="5943600" cy="4453890"/>
            <wp:effectExtent l="0" t="0" r="0" b="0"/>
            <wp:docPr id="1349782148" name="Picture 2" descr="A close-up of teeth and a scr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82148" name="Picture 2" descr="A close-up of teeth and a scre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5F43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clinicians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we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replacing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teeth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evolved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changed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throughout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thousands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years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Maxillary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molars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example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3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roots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instead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2,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because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bone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softer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forces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greater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posterior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mouth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.</w:t>
      </w:r>
    </w:p>
    <w:p w14:paraId="2E916EFB" w14:textId="50788B8A" w:rsidR="00A53BE9" w:rsidRPr="00A53BE9" w:rsidRDefault="00A53BE9" w:rsidP="00C360E5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val="en-US" w:eastAsia="vi-VN"/>
        </w:rPr>
      </w:pP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already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since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 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Today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section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first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published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I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thank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Today</w:t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’s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editor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-in-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chief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Damon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Adams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invitation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be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editor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section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fostering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vision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between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exciting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new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support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encouragement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entire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editorial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team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positive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feedback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readers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very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much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appreciated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I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would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acknowledge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thank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members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world-class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Advisory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Board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during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contributed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excellent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relevant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articles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aimed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GP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reader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takes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dedication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write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quality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article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those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efforts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, 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Today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offer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abundance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solid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should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make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positive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impact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practices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Damon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would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encourage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clinician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readers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submit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articles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Today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editorial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review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accepted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publication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readers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colleagues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contribute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interesting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report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articles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culture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knowledge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created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concept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knowledge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upon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which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editorial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 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Today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founded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C5B5798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 “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”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inaugural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topic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last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September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along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11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topics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covered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throughout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revisited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each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revisiting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specified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topics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cover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aspects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fresh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annual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retrospective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realized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evolving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discipline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re-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examining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same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well-rounded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topics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fresh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perspectives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presented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content-rich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topics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guided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surgery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aesthetic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zone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overdentures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beam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CT (CBCT)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8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exciting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implant-related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topics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new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updated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discussed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each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773C35D6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exciting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evolving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predictable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industry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billion-dollar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enterprise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supported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improved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various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procedures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I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would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look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grounding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perspective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first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looking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clinicians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replacing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evolved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changed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throughout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thousands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Maxillary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molars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example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3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roots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instead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2,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because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softer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forces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greater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posterior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mouth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Cuspids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longer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roots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support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forces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occlusion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extrusive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movements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historical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evolutionary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perspective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appreciate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progress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respect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daunting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task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responsibility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Misch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speaking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perspective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successfully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replacing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nature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created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—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 xml:space="preserve">then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sometimes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fails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—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requires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latest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education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(CE).</w:t>
      </w:r>
    </w:p>
    <w:p w14:paraId="5BEA47DB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A53BE9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FUTURE TECHNOLOGIES</w:t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br/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computer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direct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impact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success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number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companies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offer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CBCT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machines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software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programs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Better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resolution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faster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availability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virtual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examples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arena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improvement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sophisticated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Internet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higher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speeds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clinicians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laboratory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teams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foster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better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collaboration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among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clinicians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those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professionals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representing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different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specialties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work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together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patient’s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behalf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CBCT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associated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CAD/CAM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entire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files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following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surgical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positions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provisional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final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prosthesis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both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quadrant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full-arch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replacement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measure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initial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post-integrated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stability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impacted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success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Stability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Quota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(ISQ)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measures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-to-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contact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opposed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perceived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torque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value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ISQ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reference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number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loading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decisions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made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objective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value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behind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especially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useful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decisions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related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immediately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loaded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5D372CD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Intraoral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evolved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level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totally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replace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manual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impressions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requires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appropriate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impression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coping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correlates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appropriate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system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library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Currently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available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copings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affiliated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closed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systems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specific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company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, 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open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impression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systems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utilize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intraoral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impression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made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design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custom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abutment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provisional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final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crowns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intraoral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entire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workflow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great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accuracy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Models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either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CAD/CAM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milled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3-D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printed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availability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chairside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box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scanners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clinician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prosthetically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approved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full-arch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bridge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provisional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so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zirconia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duplicate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milled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permanent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restoration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Box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scanners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substantially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reduced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price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size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units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making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easier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clinicians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obtain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5BE7FEEF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A53BE9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FUTURE TECHNIQUES</w:t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br/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Surgical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prosthetic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closely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related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CE.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clinician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adapts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new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often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tied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advancements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Immediate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loading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example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advancements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design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availability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measuring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stability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ISQ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reading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immediately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loaded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become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predictable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immediate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loading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becomes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mainstream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studies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upon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which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knowledge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then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educational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venues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6E2BF635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Another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example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factors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everyday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ago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expensive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cumbersome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obtain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platelet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factors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via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ability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platelet-based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factors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platelet-rich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plasma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fibrin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can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obtained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processed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simple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inexpensive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manner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trending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: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conservative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sinus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grafting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extraction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soft-tissue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grafting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hard-tissue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grafting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evolved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do so,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advancements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education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279131DD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A53BE9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FUTURE MATERIALS</w:t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br/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material-oriented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discipline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itself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prosthetic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parts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impact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success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rates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few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toward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innovative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designs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help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stabilize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hard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soft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tissue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around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choices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manufacturers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different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heights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widths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Manufacturers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offered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shorter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designs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time-tested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success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industry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partially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dictated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demand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manufacturers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listening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trends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industry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0832A043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Zirconia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industry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both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design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prosthetic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2-piece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zirconia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available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2-stage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applications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Major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companies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starting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create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zirconia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showing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presence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zirconia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CAD/CAM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which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creation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zirconia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bridges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crowns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addition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toward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acceptance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zirconia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shows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success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prosthetic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3-D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printing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provisionals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models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demonstrated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accuracy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during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past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few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while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becoming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affordable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total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workflow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milled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-then-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sintered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awaiting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US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Food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Drug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Administration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approval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should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available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soon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would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simplify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designing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creating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smaller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laboratories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93AEDEE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A53BE9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FUTURE EDUCATION</w:t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br/>
        <w:t xml:space="preserve">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collaboration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experience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grounded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upon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journals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courses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online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true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industry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occurs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become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prevalent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assist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success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goes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Webinars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online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sessions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online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telecasts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just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few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venues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available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education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online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education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groups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XP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VuMedi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offer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thousands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hours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not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available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just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few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ago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quality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presentations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higher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level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quality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education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Online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becoming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mainstream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planning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collaborative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efforts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exchanging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information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propagate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field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believe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exponentially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goes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04C670CC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month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, 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Today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Advisory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Board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member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Natalie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Wong’s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begin"/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instrText>HYPERLINK "https://www.dentistrytoday.com/the-future-of-implant-dentistry/articles/10220"</w:instrText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separate"/>
      </w:r>
      <w:r w:rsidRPr="00A53BE9">
        <w:rPr>
          <w:rFonts w:ascii="Sitka Text" w:eastAsia="Times New Roman" w:hAnsi="Sitka Text"/>
          <w:color w:val="0000FF"/>
          <w:sz w:val="27"/>
          <w:szCs w:val="27"/>
          <w:u w:val="single"/>
          <w:lang w:eastAsia="vi-VN"/>
        </w:rPr>
        <w:t>article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end"/>
      </w:r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exemplifies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collaboration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create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excellence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guided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case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presented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truly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shows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how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industry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become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physically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implemented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based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milled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guides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pre-created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provisional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restoration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delivered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surgery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BE1F177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publication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excellent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cases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clinicians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world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learn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about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latest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Here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Dentistry</w:t>
      </w:r>
      <w:proofErr w:type="spellEnd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i/>
          <w:iCs/>
          <w:color w:val="333333"/>
          <w:sz w:val="27"/>
          <w:szCs w:val="27"/>
          <w:lang w:eastAsia="vi-VN"/>
        </w:rPr>
        <w:t>Today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we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envision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collaboration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science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only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leading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predictable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A53BE9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35F93447" w14:textId="77777777" w:rsidR="00A53BE9" w:rsidRPr="00A53BE9" w:rsidRDefault="00A53BE9" w:rsidP="00A53BE9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A53BE9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Also</w:t>
      </w:r>
      <w:proofErr w:type="spellEnd"/>
      <w:r w:rsidRPr="00A53BE9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from</w:t>
      </w:r>
      <w:proofErr w:type="spellEnd"/>
      <w:r w:rsidRPr="00A53BE9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 </w:t>
      </w:r>
      <w:proofErr w:type="spellStart"/>
      <w:r w:rsidRPr="00A53BE9">
        <w:rPr>
          <w:rFonts w:ascii="Sitka Text" w:eastAsia="Times New Roman" w:hAnsi="Sitka Text"/>
          <w:b/>
          <w:bCs/>
          <w:i/>
          <w:iCs/>
          <w:color w:val="333333"/>
          <w:sz w:val="27"/>
          <w:szCs w:val="27"/>
          <w:lang w:eastAsia="vi-VN"/>
        </w:rPr>
        <w:t>Implants</w:t>
      </w:r>
      <w:proofErr w:type="spellEnd"/>
      <w:r w:rsidRPr="00A53BE9">
        <w:rPr>
          <w:rFonts w:ascii="Sitka Text" w:eastAsia="Times New Roman" w:hAnsi="Sitka Text"/>
          <w:b/>
          <w:bCs/>
          <w:i/>
          <w:iCs/>
          <w:color w:val="333333"/>
          <w:sz w:val="27"/>
          <w:szCs w:val="27"/>
          <w:lang w:eastAsia="vi-VN"/>
        </w:rPr>
        <w:t xml:space="preserve"> </w:t>
      </w:r>
      <w:proofErr w:type="spellStart"/>
      <w:r w:rsidRPr="00A53BE9">
        <w:rPr>
          <w:rFonts w:ascii="Sitka Text" w:eastAsia="Times New Roman" w:hAnsi="Sitka Text"/>
          <w:b/>
          <w:bCs/>
          <w:i/>
          <w:iCs/>
          <w:color w:val="333333"/>
          <w:sz w:val="27"/>
          <w:szCs w:val="27"/>
          <w:lang w:eastAsia="vi-VN"/>
        </w:rPr>
        <w:t>Today</w:t>
      </w:r>
      <w:proofErr w:type="spellEnd"/>
    </w:p>
    <w:p w14:paraId="14DA8FB0" w14:textId="77777777" w:rsidR="005E2332" w:rsidRDefault="005E2332"/>
    <w:sectPr w:rsidR="005E2332" w:rsidSect="00C6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2A3"/>
    <w:rsid w:val="00303156"/>
    <w:rsid w:val="00476E60"/>
    <w:rsid w:val="005E2332"/>
    <w:rsid w:val="008D74AE"/>
    <w:rsid w:val="00A53BE9"/>
    <w:rsid w:val="00C360E5"/>
    <w:rsid w:val="00C632A3"/>
    <w:rsid w:val="00D31EFB"/>
    <w:rsid w:val="00E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4E26"/>
  <w15:chartTrackingRefBased/>
  <w15:docId w15:val="{B8AB3E03-8EAA-4A9F-9A20-C1C7A18F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FB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EFB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31EFB"/>
    <w:pPr>
      <w:keepNext/>
      <w:keepLines/>
      <w:ind w:firstLine="0"/>
      <w:outlineLvl w:val="1"/>
    </w:pPr>
    <w:rPr>
      <w:rFonts w:eastAsiaTheme="majorEastAsia" w:cstheme="majorBidi"/>
      <w:b/>
      <w:bCs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8"/>
    <w:qFormat/>
    <w:rsid w:val="00D31EFB"/>
    <w:pPr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D31EFB"/>
    <w:rPr>
      <w:rFonts w:eastAsia="Calibri"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6"/>
    <w:qFormat/>
    <w:rsid w:val="00D31EFB"/>
    <w:pPr>
      <w:contextualSpacing/>
      <w:jc w:val="center"/>
    </w:pPr>
    <w:rPr>
      <w:rFonts w:eastAsiaTheme="majorEastAsia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D31EFB"/>
    <w:rPr>
      <w:rFonts w:eastAsiaTheme="majorEastAsia" w:cstheme="majorBidi"/>
      <w:b/>
      <w:sz w:val="22"/>
    </w:rPr>
  </w:style>
  <w:style w:type="paragraph" w:customStyle="1" w:styleId="SectionTitle">
    <w:name w:val="Section Title"/>
    <w:basedOn w:val="Normal"/>
    <w:next w:val="Normal"/>
    <w:uiPriority w:val="15"/>
    <w:qFormat/>
    <w:rsid w:val="00D31EFB"/>
    <w:pPr>
      <w:pageBreakBefore/>
      <w:jc w:val="center"/>
      <w:outlineLvl w:val="0"/>
    </w:pPr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31EFB"/>
    <w:rPr>
      <w:rFonts w:eastAsiaTheme="majorEastAsia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31EFB"/>
    <w:rPr>
      <w:rFonts w:eastAsiaTheme="majorEastAsia" w:cstheme="majorBidi"/>
      <w:b/>
      <w:bCs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A3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63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3BE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A53B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3B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1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1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4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0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1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1669</Words>
  <Characters>9517</Characters>
  <Application>Microsoft Office Word</Application>
  <DocSecurity>0</DocSecurity>
  <Lines>79</Lines>
  <Paragraphs>22</Paragraphs>
  <ScaleCrop>false</ScaleCrop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Quang-Hung Ha</dc:creator>
  <cp:keywords/>
  <dc:description/>
  <cp:lastModifiedBy>Quang-Hung Ha</cp:lastModifiedBy>
  <cp:revision>5</cp:revision>
  <dcterms:created xsi:type="dcterms:W3CDTF">2024-03-15T11:05:00Z</dcterms:created>
  <dcterms:modified xsi:type="dcterms:W3CDTF">2024-03-15T11:07:00Z</dcterms:modified>
</cp:coreProperties>
</file>