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left w:color="auto" w:space="11" w:sz="0" w:val="none"/>
          <w:right w:color="auto" w:space="11" w:sz="0" w:val="none"/>
        </w:pBdr>
        <w:shd w:fill="ffffff" w:val="clear"/>
        <w:spacing w:after="160" w:before="300" w:line="264" w:lineRule="auto"/>
        <w:jc w:val="center"/>
        <w:rPr/>
      </w:pPr>
      <w:bookmarkStart w:colFirst="0" w:colLast="0" w:name="_ymbc42j65ia" w:id="0"/>
      <w:bookmarkEnd w:id="0"/>
      <w:r w:rsidDel="00000000" w:rsidR="00000000" w:rsidRPr="00000000">
        <w:rPr>
          <w:b w:val="1"/>
          <w:color w:val="333333"/>
          <w:sz w:val="48"/>
          <w:szCs w:val="48"/>
          <w:rtl w:val="0"/>
        </w:rPr>
        <w:t xml:space="preserve">Formulaires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à renseigner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72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