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3.</w:t>
      </w:r>
      <w:r w:rsidDel="00000000" w:rsidR="00000000" w:rsidRPr="00000000">
        <w:rPr>
          <w:sz w:val="24"/>
          <w:szCs w:val="24"/>
          <w:rtl w:val="0"/>
        </w:rPr>
        <w:t xml:space="preserve"> Significant biological processes of upregulated genes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 regulation of endopeptidase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1.10E-13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AHSG, SERPINA4, ITIH2, C5, HRG, C3, AMBP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Lipid metabolic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6.12418754002164E-07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DHCR7, CYP2C8, DGAT2, SCD, DPEP1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Chemotaxis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5.93572794588528E-08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SERPIND1, LECT2, S100A8, CXCL3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Inflammatory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4.29597825009908E-07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SPP1, IL1B, CRHBP, DPEP1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Neutrophil chemotaxis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7.86462234397606E-07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IL1B, DPEP1, S100A8, CXCL3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Proteolysis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3.1633274035452E-09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KLK6, F12, F7, MMP11, MMP1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Angiogenesis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0.000430161325751758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ESM1, TNFRSF12A, COL4A2, FAP, EREG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Acyl-Coa Metabolic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0.00702465131840229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ACSM2B, BAAT, ACSM2A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Negative regulation of 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8.78E-08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SERPINA4, ITIH2, AMBP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Lipoprotein metabolic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firstLine="72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1.59E-07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APOM, APOA2, APOC3, OLR1, PCSK9, APOB, MTTP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4.</w:t>
      </w:r>
      <w:r w:rsidDel="00000000" w:rsidR="00000000" w:rsidRPr="00000000">
        <w:rPr>
          <w:sz w:val="24"/>
          <w:szCs w:val="24"/>
          <w:rtl w:val="0"/>
        </w:rPr>
        <w:t xml:space="preserve"> Significant biological processes of downregulated genes</w:t>
      </w:r>
    </w:p>
    <w:tbl>
      <w:tblPr>
        <w:tblStyle w:val="Table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4.999999999999"/>
        <w:gridCol w:w="3235.000000000001"/>
        <w:tblGridChange w:id="0">
          <w:tblGrid>
            <w:gridCol w:w="3240"/>
            <w:gridCol w:w="3244.999999999999"/>
            <w:gridCol w:w="3235.00000000000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1090.00000000000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Immunoglobulin 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3.15E-18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IGLV6-57, IGLV5-45, VPREB3, IGKV1-27, IGLV8-61</w:t>
            </w:r>
          </w:p>
        </w:tc>
      </w:tr>
      <w:tr>
        <w:trPr>
          <w:cantSplit w:val="0"/>
          <w:trHeight w:val="860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Immune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6.57E-12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CXCL13, IGLV6-57, BMP6, CD8A, NKX2-3</w:t>
            </w:r>
          </w:p>
        </w:tc>
      </w:tr>
      <w:tr>
        <w:trPr>
          <w:cantSplit w:val="0"/>
          <w:trHeight w:val="1175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Adaptive immune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1.09E-08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CD79A, TNFRSF17, IGLV6-57, CD8A, IGLV5-45</w:t>
            </w:r>
          </w:p>
        </w:tc>
      </w:tr>
      <w:tr>
        <w:trPr>
          <w:cantSplit w:val="0"/>
          <w:trHeight w:val="1174.99999999999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 regulation of B cell activation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Phagocytosis, recognition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904.99999999999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 activation, classical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CR2, IGHV1-18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cell receptor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3.96E-06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CD79A, IGHV5-51, IGHV2-5, IGHV6-1, IGHV1-18</w:t>
            </w:r>
          </w:p>
        </w:tc>
      </w:tr>
      <w:tr>
        <w:trPr>
          <w:cantSplit w:val="0"/>
          <w:trHeight w:val="1105.00000000000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Phagocytosis, engulfment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Proteolysis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0.001083905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FGL2, MEP1A, TPSAB1, CMA1, ADAM28, CTSE, CPA3</w:t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Significant MF pathways of upregulated genes</w:t>
      </w:r>
    </w:p>
    <w:tbl>
      <w:tblPr>
        <w:tblStyle w:val="Table3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50.0000000000005"/>
        <w:gridCol w:w="3905"/>
        <w:tblGridChange w:id="0">
          <w:tblGrid>
            <w:gridCol w:w="3120"/>
            <w:gridCol w:w="2650.0000000000005"/>
            <w:gridCol w:w="3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Serine-type endopeptidase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1.86E-12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KLK6, F12, F7, MMP11, MMP1</w:t>
            </w:r>
          </w:p>
        </w:tc>
      </w:tr>
      <w:tr>
        <w:trPr>
          <w:cantSplit w:val="0"/>
          <w:trHeight w:val="1115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Serine-type endopeptidase inhibitor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6.36E-11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SERPINA4</w:t>
            </w:r>
          </w:p>
        </w:tc>
      </w:tr>
      <w:tr>
        <w:trPr>
          <w:cantSplit w:val="0"/>
          <w:trHeight w:val="984.99999999999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Cytokine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3.09E-10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SPP1, IL1B, AREG, INHBB, CXCL3</w:t>
            </w:r>
          </w:p>
        </w:tc>
      </w:tr>
      <w:tr>
        <w:trPr>
          <w:cantSplit w:val="0"/>
          <w:trHeight w:val="1000.00000000000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CXCR chemokine receptor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1.71E-09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CXCL3, CXCL6, CXCL10, CXCL1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Heparin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3.05E-09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SERPIND1, COMP, SERPINA10, APOH</w:t>
            </w:r>
          </w:p>
        </w:tc>
      </w:tr>
      <w:tr>
        <w:trPr>
          <w:cantSplit w:val="0"/>
          <w:trHeight w:val="103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matrix structural constituent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7.61E-09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COMP, FGA, MFAP2, FGB, COL11A1</w:t>
            </w:r>
          </w:p>
        </w:tc>
      </w:tr>
      <w:tr>
        <w:trPr>
          <w:cantSplit w:val="0"/>
          <w:trHeight w:val="1010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Endopeptidase inhibitor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2.64E-08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AHSG, ITIH2, C5</w:t>
            </w:r>
          </w:p>
        </w:tc>
      </w:tr>
      <w:tr>
        <w:trPr>
          <w:cantSplit w:val="0"/>
          <w:trHeight w:val="999.99999999999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Growth factor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7.39E-08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AREG, INHBB, IGF2, INHBE, GDF15, CXCL1</w:t>
            </w:r>
          </w:p>
        </w:tc>
      </w:tr>
      <w:tr>
        <w:trPr>
          <w:cantSplit w:val="0"/>
          <w:trHeight w:val="785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Peptidase inhibitor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9.67E-08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SERPINA4</w:t>
            </w:r>
          </w:p>
        </w:tc>
      </w:tr>
      <w:tr>
        <w:trPr>
          <w:cantSplit w:val="0"/>
          <w:trHeight w:val="785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Serine-type 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6.84E-07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KLK6, F12, F7, C2, F9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MF pathways of downregulated genes</w:t>
      </w:r>
    </w:p>
    <w:tbl>
      <w:tblPr>
        <w:tblStyle w:val="Table4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919.9999999999995"/>
        <w:gridCol w:w="3485.0000000000005"/>
        <w:tblGridChange w:id="0">
          <w:tblGrid>
            <w:gridCol w:w="3105"/>
            <w:gridCol w:w="2919.9999999999995"/>
            <w:gridCol w:w="3485.0000000000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Antigen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2.13E-15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IGLV6-57, IGHV5-51, MFAP4, IGHV2-5, IGHV6-1,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Immunoglobulin receptor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3.75E-08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IGHV5-51, IGHV2-5, IGHV6-1, IGHV1-18, IGHV4-59, </w:t>
            </w:r>
          </w:p>
        </w:tc>
      </w:tr>
      <w:tr>
        <w:trPr>
          <w:cantSplit w:val="0"/>
          <w:trHeight w:val="895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matrix structural constituent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2.29E-06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SRPX, CILP, COL17A1, SPON1</w:t>
            </w:r>
          </w:p>
        </w:tc>
      </w:tr>
      <w:tr>
        <w:trPr>
          <w:cantSplit w:val="0"/>
          <w:trHeight w:val="860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Hormone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1.39E-05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UCN3, EDN2, CHGB, NPY, GCG</w:t>
            </w:r>
          </w:p>
        </w:tc>
      </w:tr>
      <w:tr>
        <w:trPr>
          <w:cantSplit w:val="0"/>
          <w:trHeight w:val="940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Galactoside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1.53E-05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LGALS9B, LGALS4, LGALS9C, LGALS2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Carbonate dehydratase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0.000151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CA1, CA2, CA7, CA4</w:t>
            </w:r>
          </w:p>
        </w:tc>
      </w:tr>
      <w:tr>
        <w:trPr>
          <w:cantSplit w:val="0"/>
          <w:trHeight w:val="1014.99999999999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Hexosyl transferase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0.000238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GGTA1, B3GNT7, B3GALT5, B3GNT6, B4GALNT2</w:t>
            </w:r>
          </w:p>
        </w:tc>
      </w:tr>
      <w:tr>
        <w:trPr>
          <w:cantSplit w:val="0"/>
          <w:trHeight w:val="1074.9999999999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MEP1A, TPSAB1, CMA1, ADAM28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Guanylate cyclase activator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0.000364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GUCA2B, GUCA2A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Symporter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0.000439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SLC15A1, SLC1A1, SLC13A2, SLC4A4, SLC36A1</w:t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CC pathways of upregulated genes</w:t>
      </w:r>
    </w:p>
    <w:tbl>
      <w:tblPr>
        <w:tblStyle w:val="Table5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070"/>
        <w:gridCol w:w="3420"/>
        <w:tblGridChange w:id="0">
          <w:tblGrid>
            <w:gridCol w:w="3810"/>
            <w:gridCol w:w="2070"/>
            <w:gridCol w:w="3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754.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8.13E-48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HAMP, KLK6, F12, AZGP1, FJX1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Collagen-containing extracellular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2.60E-23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F12, AZGP1, COMP, F7, FGA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Blood microparticle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7.51E-18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FGA, ALB, FGB, APCS, AHSG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exosome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4.00E-17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F12, AZGP1, ITIH3, SERPIND1, COMP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Endoplasmic reticulum lumen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1.66E-15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SERPIND1, F7, FGA, SPP1, STC2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Platelet alpha granule lumen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1.33E-13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FGA, ALB, FGB, IGF2, AHSG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2.07E-10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COMP, MMP11, MMP1, COL11A1, THBS2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High-density lipoprotein particle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4.75E-09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APOM, APOH, APOA2, SAA4, APOF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Platelet alpha granule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1.70E-07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FGA, FGB, THBS2, FGG, F5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Collagen trimer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3.10E-07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MMP1, MARCO, COL11A1, COL4A2, CTHRC1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CC pathways of downregulated genes</w:t>
      </w:r>
    </w:p>
    <w:tbl>
      <w:tblPr>
        <w:tblStyle w:val="Table6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2400"/>
        <w:gridCol w:w="3195"/>
        <w:tblGridChange w:id="0">
          <w:tblGrid>
            <w:gridCol w:w="3840"/>
            <w:gridCol w:w="2400"/>
            <w:gridCol w:w="3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Immunoglobulin complex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5.02E-17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IGLV6-57, IGLV5-45, IGKV1-27, IGLV8-61, IGLV2-33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Collagen-containing extracellular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9.69E-11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SPARCL1, SFRP2, F13A1, LGALS4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exosome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5.24E-10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GPD1L, MEP1A, SIAE, KRT19</w:t>
            </w:r>
          </w:p>
        </w:tc>
      </w:tr>
      <w:tr>
        <w:trPr>
          <w:cantSplit w:val="0"/>
          <w:trHeight w:val="1087.1191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Immunoglobulin complex, circulating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4.35E-07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Plasma membrane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1.74E-06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CD79A, AQP8, SLC15A1, GPD1L, FOLR2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Apical plasma membrane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2.87E-06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SLC15A1, CEACAM1, MAL, CLIC5, CNTFR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Secretory granule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CMA1, CHGB, CPA3, KLK1, CCL28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Peptidase complex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0.001133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TPSAB1, TPSB2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Microfibril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0.001842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MFAP4, MFAP5, LTBP4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Basolateral plasma membrane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SLC51B, ADRA2A, SLC51A, CLDN8, HPGD</w:t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ind w:left="18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KEGG pathways of upregulated genes</w:t>
      </w:r>
    </w:p>
    <w:tbl>
      <w:tblPr>
        <w:tblStyle w:val="Table7"/>
        <w:tblW w:w="9445.0" w:type="dxa"/>
        <w:jc w:val="left"/>
        <w:tblInd w:w="170.000000000000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0"/>
        <w:gridCol w:w="2505"/>
        <w:gridCol w:w="3660"/>
        <w:tblGridChange w:id="0">
          <w:tblGrid>
            <w:gridCol w:w="3280"/>
            <w:gridCol w:w="2505"/>
            <w:gridCol w:w="36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Genes</w:t>
            </w:r>
          </w:p>
        </w:tc>
      </w:tr>
      <w:tr>
        <w:trPr>
          <w:cantSplit w:val="0"/>
          <w:trHeight w:val="1015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Complement and coagulation cascades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2.47E-16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F12, SERPIND1, F7, FGA, C2, FGB, CFHR5, F9, C6, C5, C3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IL-17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3.34E-08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MMP1, S100A8, CXCL3, CXCL6, CXCL10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Rheumatoid arthritis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8.49E-06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MMP1, CXCL3, ATP6V1C2, CXCL6, CXCL1, CXCL2, VEGFA, MMP3, IL6, CXCL8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Amoebiasis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2.32E-05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CXCL3, COL4A2, CXCL1, CXCL2, ARG1, COL4A1, IL6, CXCL8, C8B, C8A</w:t>
            </w:r>
          </w:p>
        </w:tc>
      </w:tr>
      <w:tr>
        <w:trPr>
          <w:cantSplit w:val="0"/>
          <w:trHeight w:val="1295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Alcoholic liver disease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2.78E-05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SCD, C2, CXCL3, CXCL1, C5, CXCL2, ADH4, C3, LBP, IL6, CXCL8, CYP2E1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TNF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0.000292801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CXCL3, CXCL6, CXCL10, CEBPB, CXCL1, CXCL2, MMP9, MMP3, IL6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Bile secretion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4.20E-05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NR0B2, SLC22A1, SLC10A1, BAAT, SLC22A7, UGT2B4, SLC27A5, SULT2A1, SLC2A1, AQP9</w:t>
            </w:r>
          </w:p>
        </w:tc>
      </w:tr>
      <w:tr>
        <w:trPr>
          <w:cantSplit w:val="0"/>
          <w:trHeight w:val="1389.9999999999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PPAR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5.45E-05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MMP1, SCD, PLIN2, CYP8B1, APOA2, APOC3, SLC27A5, OLR1, FABP6</w:t>
            </w:r>
          </w:p>
        </w:tc>
      </w:tr>
      <w:tr>
        <w:trPr>
          <w:cantSplit w:val="0"/>
          <w:trHeight w:val="1040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Cytokine-cytokine receptor interaction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0.000526405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IL1B, TNFRSF12A, INHBB, CXCL3, INHBE, GDF15, CXCL6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Biosynthesis of amino acids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0.000327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ALDOB, PYCR1, MAT1A, CPS1, PSAT1, ARG1, PHGDH, PAH</w:t>
            </w:r>
          </w:p>
        </w:tc>
      </w:tr>
    </w:tbl>
    <w:p w:rsidR="00000000" w:rsidDel="00000000" w:rsidP="00000000" w:rsidRDefault="00000000" w:rsidRPr="00000000" w14:paraId="000000F2">
      <w:pPr>
        <w:spacing w:line="360" w:lineRule="auto"/>
        <w:ind w:left="1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10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Significant</w:t>
      </w:r>
      <w:r w:rsidDel="00000000" w:rsidR="00000000" w:rsidRPr="00000000">
        <w:rPr>
          <w:sz w:val="24"/>
          <w:szCs w:val="24"/>
          <w:rtl w:val="0"/>
        </w:rPr>
        <w:t xml:space="preserve"> KEGG pathways of downregulated genes</w:t>
      </w:r>
    </w:p>
    <w:tbl>
      <w:tblPr>
        <w:tblStyle w:val="Table8"/>
        <w:tblW w:w="9620.0" w:type="dxa"/>
        <w:jc w:val="left"/>
        <w:tblInd w:w="69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30.0000000000005"/>
        <w:gridCol w:w="3090"/>
        <w:gridCol w:w="3600"/>
        <w:tblGridChange w:id="0">
          <w:tblGrid>
            <w:gridCol w:w="2930.0000000000005"/>
            <w:gridCol w:w="3090"/>
            <w:gridCol w:w="3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94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 secretion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AQP8, SLC51B, ATP1A2, UGT1A8, PRKACB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Proximal tubule bicarbonate reclamation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8.74E-05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PCK1, ATP1A2, CA2, SLC4A4, CA4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Nitrogen metabolism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0.000336428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CA1, CA2, CA7, CA4</w:t>
            </w:r>
          </w:p>
        </w:tc>
      </w:tr>
      <w:tr>
        <w:trPr>
          <w:cantSplit w:val="0"/>
          <w:trHeight w:val="1194.9999999999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Pentose and glucuronate interconversions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0.00060156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CRPPA, UGP2, UGT1A8, UGT2A3, UGDH</w:t>
            </w:r>
          </w:p>
        </w:tc>
      </w:tr>
      <w:tr>
        <w:trPr>
          <w:cantSplit w:val="0"/>
          <w:trHeight w:val="940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Renin-angiotensin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0.0011366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CMA1, CPA3, KLK1, CTSG</w:t>
            </w:r>
          </w:p>
        </w:tc>
      </w:tr>
      <w:tr>
        <w:trPr>
          <w:cantSplit w:val="0"/>
          <w:trHeight w:val="109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Mineral absorption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0.001399141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ATP1A2, MT1F, MT1E, CYBRD1, MT1H, MT1G</w:t>
            </w:r>
          </w:p>
        </w:tc>
      </w:tr>
      <w:tr>
        <w:trPr>
          <w:cantSplit w:val="0"/>
          <w:trHeight w:val="1269.99999999996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Protein digestion and absorption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0.005269487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SLC15A1, MEP1A, ATP1A2, COL17A1, CPA3, SLC1A1, SLC36A1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Pancreatic secretion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0.004995902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ATP1A2, CPA3, CA2, CLCA1, SLC4A4, SLC9A1, CLCA4</w:t>
            </w:r>
          </w:p>
        </w:tc>
      </w:tr>
      <w:tr>
        <w:trPr>
          <w:cantSplit w:val="0"/>
          <w:trHeight w:val="106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Neuroactive ligand-receptor interaction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0.005936979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UCN3, VIPR1, EDN2, ADRA2A, NPY</w:t>
            </w:r>
          </w:p>
        </w:tc>
      </w:tr>
      <w:tr>
        <w:trPr>
          <w:cantSplit w:val="0"/>
          <w:trHeight w:val="939.99999999996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Aldosterone-regulated sodium reabsorption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0.006778452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NR3C2, ATP1A2, NEDD4L, SCNN1B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3338" cy="31950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19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biological processes of upregulated genes. Barchart plot of top 20 BP in tumor vs. normal. The x-axis is the –log10(Pval Adj), while the gene number for each BP is represented on the y-axis. It represents the proteolysis and lipid metabolic process as significant BP.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214813" cy="349543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49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biological processes of downregulated genes. Barchart plot of top 20 BP in tumor vs. normal. The x-axis is the –log10(Pval Adj), while the gene number for each BP is represented on the y-axis. It represents immune response and adaptive immune response as significant BP. 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91434" cy="31956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34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GO molecular functions of upregulated genes. Barchart plot of top 20 MF in tumor vs. normal. The x-axis is the –log10(Pval Adj), while the gene number for each MF is represented on the y-axis. It represents  cytokine activity, serine-type endopeptidase activity, signaling receptor binding, peptidase activity, and oxidoreductase activity as a significant MF.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842655" cy="319489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655" cy="3194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S4.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GO molecular functions of downregulated genes. Barchart plot of top 20 MF in tumor vs. normal. The x-axis is the –log10(Pval Adj), while the gene number for each MF is represented on the y-axis. It represents hydrolase activity as a significant MF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05300" cy="325641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6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S5.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cellular components of upregulated genes—bar chart plot of top 20 CC in tumor vs. normal. The x-axis is the –log10(Pval Adj), while the gene number for each CC is represented on the y-axis. It represents extracellular region and space as significant CC.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201988" cy="25345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988" cy="253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S6.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cellular components of downregulated genes—bar chart plot of top 20 CC in tumor vs. normal. The x-axis is the –log10(Pval Adj), while the gene number for each CC is represented on the y-axis. It represents the extracellular region and plasma membrane as significant CC.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114838" cy="35776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38" cy="3577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S7.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KEGG pathway analysis of upregulated genes. Barchart plot of top 20 pathways in tumor vs. normal. The x-axis is the –log10(Pval Adj), while the gene number for each pathway is represented on the y-axis.</w:t>
      </w:r>
    </w:p>
    <w:p w:rsidR="00000000" w:rsidDel="00000000" w:rsidP="00000000" w:rsidRDefault="00000000" w:rsidRPr="00000000" w14:paraId="00000143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18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384282" cy="2794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282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S8.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KEGG pathway analysis of downregulated genes. Barchart plot of top 20 pathways in tumor vs normal. The x-axis is the –log10(Pval Adj), while the gene number for each pathway is represented on the y-axis.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